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b/>
          <w:color w:val="505050"/>
          <w:sz w:val="24"/>
        </w:rPr>
        <w:t>UNIVERSIDAD / PROGRAMA DE POSTGRADO</w:t>
        <w:br/>
        <w:t>MAESTRÍA EN INGENIERÍA DE SOFTWARE Y SISTEMAS INFORMÁTICOS</w:t>
      </w:r>
    </w:p>
    <w:p>
      <w:pPr>
        <w:jc w:val="center"/>
      </w:pPr>
      <w:r>
        <w:rPr>
          <w:color w:val="102C57"/>
        </w:rPr>
        <w:t>____________________________________________________________</w:t>
      </w:r>
    </w:p>
    <w:p>
      <w:pPr>
        <w:spacing w:before="400"/>
        <w:jc w:val="center"/>
      </w:pPr>
      <w:r>
        <w:rPr>
          <w:b/>
          <w:color w:val="1C5094"/>
          <w:sz w:val="26"/>
        </w:rPr>
        <w:t>MÓDULO 3: DESARROLLO AL LADO DEL CLIENTE Y SERVIDOR WEB</w:t>
      </w:r>
    </w:p>
    <w:p>
      <w:pPr>
        <w:spacing w:before="500" w:after="500"/>
        <w:jc w:val="center"/>
      </w:pPr>
      <w:r>
        <w:rPr>
          <w:b/>
          <w:color w:val="102C57"/>
          <w:sz w:val="36"/>
        </w:rPr>
        <w:t>PORTAFOLIO DE ENTREGAS Y MEMORIA TÉCNICA DEL MÓDULO:</w:t>
        <w:br/>
        <w:t>CASOS DE ESTUDIO, PRÁCTICAS Y TRABAJO FINAL</w:t>
      </w:r>
    </w:p>
    <w:p>
      <w:pPr>
        <w:spacing w:after="1600"/>
        <w:jc w:val="center"/>
      </w:pPr>
      <w:r>
        <w:rPr>
          <w:color w:val="3C3C3C"/>
          <w:sz w:val="22"/>
        </w:rPr>
        <w:t>1. Caso de Estudio 1: Validación de RF/RNF Mediante Agentes</w:t>
        <w:br/>
        <w:t>2. Caso de Estudio 2: Validación de Arquitectura de Software</w:t>
        <w:br/>
        <w:t>3. Práctica Nº 1: Diseño e Implementación de Base de Datos</w:t>
        <w:br/>
        <w:t>4. Práctica Nº 2: Desarrollo Backend y Desarrollo de API REST</w:t>
        <w:br/>
        <w:t>5. Trabajo Final: Desarrollo de Landing Page Funcional (Altiplano Marketplace)</w:t>
      </w:r>
    </w:p>
    <w:p>
      <w:pPr>
        <w:jc w:val="center"/>
      </w:pPr>
      <w:r>
        <w:rPr>
          <w:b/>
          <w:sz w:val="21"/>
        </w:rPr>
        <w:t>Estudiante: Maestrando en Ingeniería de Software</w:t>
        <w:br/>
        <w:t>Docente / Asesor: Módulo 3</w:t>
        <w:br/>
        <w:t>Fecha: Octubre 2026</w:t>
      </w:r>
    </w:p>
    <w:p>
      <w:r>
        <w:br w:type="page"/>
      </w:r>
    </w:p>
    <w:p>
      <w:pPr>
        <w:pStyle w:val="Heading1"/>
        <w:keepNext/>
        <w:spacing w:before="280" w:after="120"/>
      </w:pPr>
      <w:r>
        <w:rPr>
          <w:b/>
          <w:color w:val="102C57"/>
          <w:sz w:val="34"/>
        </w:rPr>
        <w:t>CASO DE ESTUDIO 1: VALIDACIÓN DE REQUERIMIENTOS FUNCIONALES Y NO FUNCIONALES MEDIANTE AGENTES</w:t>
      </w:r>
    </w:p>
    <w:p>
      <w:r>
        <w:t>El objetivo de esta actividad consiste en redactar los Requerimientos Funcionales (RF) y No Funcionales (RNF) del Sistema de Seguimiento de Solicitudes Internas Hospitalarias (S3IH), someterlos al análisis crítico de un agente especializado (@requirements-analyst) y determinar de forma justificada si cada observación es válida o descartable de acuerdo al contexto real.</w:t>
      </w:r>
    </w:p>
    <w:p>
      <w:pPr>
        <w:pStyle w:val="Heading2"/>
        <w:keepNext/>
        <w:spacing w:before="280" w:after="120"/>
      </w:pPr>
      <w:r>
        <w:rPr>
          <w:b/>
          <w:color w:val="1C5094"/>
          <w:sz w:val="26"/>
        </w:rPr>
        <w:t>1.1. Especificación Inicial de Requerimientos (Propuesta del Estudiante)</w:t>
      </w:r>
    </w:p>
    <w:tbl>
      <w:tblPr>
        <w:tblW w:type="auto" w:w="0"/>
        <w:jc w:val="center"/>
        <w:tblLook w:firstColumn="1" w:firstRow="1" w:lastColumn="0" w:lastRow="0" w:noHBand="0" w:noVBand="1" w:val="04A0"/>
      </w:tblPr>
      <w:tblGrid>
        <w:gridCol w:w="3120"/>
        <w:gridCol w:w="3120"/>
        <w:gridCol w:w="3120"/>
      </w:tblGrid>
      <w:tr>
        <w:tc>
          <w:tcPr>
            <w:tcW w:type="dxa" w:w="1440"/>
            <w:shd w:fill="102C57"/>
            <w:tcMar>
              <w:top w:w="120" w:type="dxa"/>
              <w:bottom w:w="120" w:type="dxa"/>
              <w:left w:w="140" w:type="dxa"/>
              <w:right w:w="140" w:type="dxa"/>
            </w:tcMar>
          </w:tcPr>
          <w:p>
            <w:pPr>
              <w:jc w:val="center"/>
            </w:pPr>
            <w:r>
              <w:rPr>
                <w:b/>
                <w:color w:val="FFFFFF"/>
                <w:sz w:val="19"/>
              </w:rPr>
              <w:t>Código</w:t>
            </w:r>
          </w:p>
        </w:tc>
        <w:tc>
          <w:tcPr>
            <w:tcW w:type="dxa" w:w="3168"/>
            <w:shd w:fill="102C57"/>
            <w:tcMar>
              <w:top w:w="120" w:type="dxa"/>
              <w:bottom w:w="120" w:type="dxa"/>
              <w:left w:w="140" w:type="dxa"/>
              <w:right w:w="140" w:type="dxa"/>
            </w:tcMar>
          </w:tcPr>
          <w:p>
            <w:pPr>
              <w:jc w:val="center"/>
            </w:pPr>
            <w:r>
              <w:rPr>
                <w:b/>
                <w:color w:val="FFFFFF"/>
                <w:sz w:val="19"/>
              </w:rPr>
              <w:t>Requerimiento Funcional (RF)</w:t>
            </w:r>
          </w:p>
        </w:tc>
        <w:tc>
          <w:tcPr>
            <w:tcW w:type="dxa" w:w="4752"/>
            <w:shd w:fill="102C57"/>
            <w:tcMar>
              <w:top w:w="120" w:type="dxa"/>
              <w:bottom w:w="120" w:type="dxa"/>
              <w:left w:w="140" w:type="dxa"/>
              <w:right w:w="140" w:type="dxa"/>
            </w:tcMar>
          </w:tcPr>
          <w:p>
            <w:pPr>
              <w:jc w:val="center"/>
            </w:pPr>
            <w:r>
              <w:rPr>
                <w:b/>
                <w:color w:val="FFFFFF"/>
                <w:sz w:val="19"/>
              </w:rPr>
              <w:t>Descripción Clínica y Operativa</w:t>
            </w:r>
          </w:p>
        </w:tc>
      </w:tr>
      <w:tr>
        <w:tc>
          <w:tcPr>
            <w:tcW w:type="dxa" w:w="1440"/>
            <w:shd w:fill="FFFFFF"/>
            <w:tcMar>
              <w:top w:w="90" w:type="dxa"/>
              <w:bottom w:w="90" w:type="dxa"/>
              <w:left w:w="120" w:type="dxa"/>
              <w:right w:w="120" w:type="dxa"/>
            </w:tcMar>
          </w:tcPr>
          <w:p>
            <w:pPr>
              <w:spacing w:before="20" w:after="20"/>
            </w:pPr>
            <w:r>
              <w:rPr>
                <w:sz w:val="18"/>
              </w:rPr>
              <w:t>RF-01</w:t>
            </w:r>
          </w:p>
        </w:tc>
        <w:tc>
          <w:tcPr>
            <w:tcW w:type="dxa" w:w="3168"/>
            <w:shd w:fill="FFFFFF"/>
            <w:tcMar>
              <w:top w:w="90" w:type="dxa"/>
              <w:bottom w:w="90" w:type="dxa"/>
              <w:left w:w="120" w:type="dxa"/>
              <w:right w:w="120" w:type="dxa"/>
            </w:tcMar>
          </w:tcPr>
          <w:p>
            <w:pPr>
              <w:spacing w:before="20" w:after="20"/>
            </w:pPr>
            <w:r>
              <w:rPr>
                <w:sz w:val="18"/>
              </w:rPr>
              <w:t>Gestión Multisede y Áreas</w:t>
            </w:r>
          </w:p>
        </w:tc>
        <w:tc>
          <w:tcPr>
            <w:tcW w:type="dxa" w:w="4752"/>
            <w:shd w:fill="FFFFFF"/>
            <w:tcMar>
              <w:top w:w="90" w:type="dxa"/>
              <w:bottom w:w="90" w:type="dxa"/>
              <w:left w:w="120" w:type="dxa"/>
              <w:right w:w="120" w:type="dxa"/>
            </w:tcMar>
          </w:tcPr>
          <w:p>
            <w:pPr>
              <w:spacing w:before="20" w:after="20"/>
            </w:pPr>
            <w:r>
              <w:rPr>
                <w:sz w:val="18"/>
              </w:rPr>
              <w:t>Administrar las 4 sedes de la red hospitalaria y registrar sus servicios asistenciales y técnicos resolutores.</w:t>
            </w:r>
          </w:p>
        </w:tc>
      </w:tr>
      <w:tr>
        <w:tc>
          <w:tcPr>
            <w:tcW w:type="dxa" w:w="1440"/>
            <w:shd w:fill="F9FBFD"/>
            <w:tcMar>
              <w:top w:w="90" w:type="dxa"/>
              <w:bottom w:w="90" w:type="dxa"/>
              <w:left w:w="120" w:type="dxa"/>
              <w:right w:w="120" w:type="dxa"/>
            </w:tcMar>
          </w:tcPr>
          <w:p>
            <w:pPr>
              <w:spacing w:before="20" w:after="20"/>
            </w:pPr>
            <w:r>
              <w:rPr>
                <w:sz w:val="18"/>
              </w:rPr>
              <w:t>RF-02</w:t>
            </w:r>
          </w:p>
        </w:tc>
        <w:tc>
          <w:tcPr>
            <w:tcW w:type="dxa" w:w="3168"/>
            <w:shd w:fill="F9FBFD"/>
            <w:tcMar>
              <w:top w:w="90" w:type="dxa"/>
              <w:bottom w:w="90" w:type="dxa"/>
              <w:left w:w="120" w:type="dxa"/>
              <w:right w:w="120" w:type="dxa"/>
            </w:tcMar>
          </w:tcPr>
          <w:p>
            <w:pPr>
              <w:spacing w:before="20" w:after="20"/>
            </w:pPr>
            <w:r>
              <w:rPr>
                <w:sz w:val="18"/>
              </w:rPr>
              <w:t>Control de Acceso Basado en Roles (RBAC)</w:t>
            </w:r>
          </w:p>
        </w:tc>
        <w:tc>
          <w:tcPr>
            <w:tcW w:type="dxa" w:w="4752"/>
            <w:shd w:fill="F9FBFD"/>
            <w:tcMar>
              <w:top w:w="90" w:type="dxa"/>
              <w:bottom w:w="90" w:type="dxa"/>
              <w:left w:w="120" w:type="dxa"/>
              <w:right w:w="120" w:type="dxa"/>
            </w:tcMar>
          </w:tcPr>
          <w:p>
            <w:pPr>
              <w:spacing w:before="20" w:after="20"/>
            </w:pPr>
            <w:r>
              <w:rPr>
                <w:sz w:val="18"/>
              </w:rPr>
              <w:t>Autenticación segura para 5 perfiles: Administrador, Personal Clínico, Técnico de Guardia, Supervisor y Jefatura.</w:t>
            </w:r>
          </w:p>
        </w:tc>
      </w:tr>
      <w:tr>
        <w:tc>
          <w:tcPr>
            <w:tcW w:type="dxa" w:w="1440"/>
            <w:shd w:fill="FFFFFF"/>
            <w:tcMar>
              <w:top w:w="90" w:type="dxa"/>
              <w:bottom w:w="90" w:type="dxa"/>
              <w:left w:w="120" w:type="dxa"/>
              <w:right w:w="120" w:type="dxa"/>
            </w:tcMar>
          </w:tcPr>
          <w:p>
            <w:pPr>
              <w:spacing w:before="20" w:after="20"/>
            </w:pPr>
            <w:r>
              <w:rPr>
                <w:sz w:val="18"/>
              </w:rPr>
              <w:t>RF-03</w:t>
            </w:r>
          </w:p>
        </w:tc>
        <w:tc>
          <w:tcPr>
            <w:tcW w:type="dxa" w:w="3168"/>
            <w:shd w:fill="FFFFFF"/>
            <w:tcMar>
              <w:top w:w="90" w:type="dxa"/>
              <w:bottom w:w="90" w:type="dxa"/>
              <w:left w:w="120" w:type="dxa"/>
              <w:right w:w="120" w:type="dxa"/>
            </w:tcMar>
          </w:tcPr>
          <w:p>
            <w:pPr>
              <w:spacing w:before="20" w:after="20"/>
            </w:pPr>
            <w:r>
              <w:rPr>
                <w:sz w:val="18"/>
              </w:rPr>
              <w:t>Radicación y Clasificación de Solicitudes</w:t>
            </w:r>
          </w:p>
        </w:tc>
        <w:tc>
          <w:tcPr>
            <w:tcW w:type="dxa" w:w="4752"/>
            <w:shd w:fill="FFFFFF"/>
            <w:tcMar>
              <w:top w:w="90" w:type="dxa"/>
              <w:bottom w:w="90" w:type="dxa"/>
              <w:left w:w="120" w:type="dxa"/>
              <w:right w:w="120" w:type="dxa"/>
            </w:tcMar>
          </w:tcPr>
          <w:p>
            <w:pPr>
              <w:spacing w:before="20" w:after="20"/>
            </w:pPr>
            <w:r>
              <w:rPr>
                <w:sz w:val="18"/>
              </w:rPr>
              <w:t>Registro asistencial de incidentes clasificando prioridad (Crítica, Alta, Media, Baja) y bandera de Soporte Vital.</w:t>
            </w:r>
          </w:p>
        </w:tc>
      </w:tr>
      <w:tr>
        <w:tc>
          <w:tcPr>
            <w:tcW w:type="dxa" w:w="1440"/>
            <w:shd w:fill="F9FBFD"/>
            <w:tcMar>
              <w:top w:w="90" w:type="dxa"/>
              <w:bottom w:w="90" w:type="dxa"/>
              <w:left w:w="120" w:type="dxa"/>
              <w:right w:w="120" w:type="dxa"/>
            </w:tcMar>
          </w:tcPr>
          <w:p>
            <w:pPr>
              <w:spacing w:before="20" w:after="20"/>
            </w:pPr>
            <w:r>
              <w:rPr>
                <w:sz w:val="18"/>
              </w:rPr>
              <w:t>RF-04</w:t>
            </w:r>
          </w:p>
        </w:tc>
        <w:tc>
          <w:tcPr>
            <w:tcW w:type="dxa" w:w="3168"/>
            <w:shd w:fill="F9FBFD"/>
            <w:tcMar>
              <w:top w:w="90" w:type="dxa"/>
              <w:bottom w:w="90" w:type="dxa"/>
              <w:left w:w="120" w:type="dxa"/>
              <w:right w:w="120" w:type="dxa"/>
            </w:tcMar>
          </w:tcPr>
          <w:p>
            <w:pPr>
              <w:spacing w:before="20" w:after="20"/>
            </w:pPr>
            <w:r>
              <w:rPr>
                <w:sz w:val="18"/>
              </w:rPr>
              <w:t>Máquina de Estados Finita (FSM)</w:t>
            </w:r>
          </w:p>
        </w:tc>
        <w:tc>
          <w:tcPr>
            <w:tcW w:type="dxa" w:w="4752"/>
            <w:shd w:fill="F9FBFD"/>
            <w:tcMar>
              <w:top w:w="90" w:type="dxa"/>
              <w:bottom w:w="90" w:type="dxa"/>
              <w:left w:w="120" w:type="dxa"/>
              <w:right w:w="120" w:type="dxa"/>
            </w:tcMar>
          </w:tcPr>
          <w:p>
            <w:pPr>
              <w:spacing w:before="20" w:after="20"/>
            </w:pPr>
            <w:r>
              <w:rPr>
                <w:sz w:val="18"/>
              </w:rPr>
              <w:t>Gobernar el ciclo de vida: RADICADA -&gt; EN_EVALUACION -&gt; ASIGNADA -&gt; EN_ATENCION -&gt; RESUELTA -&gt; CERRADA.</w:t>
            </w:r>
          </w:p>
        </w:tc>
      </w:tr>
      <w:tr>
        <w:tc>
          <w:tcPr>
            <w:tcW w:type="dxa" w:w="1440"/>
            <w:shd w:fill="FFFFFF"/>
            <w:tcMar>
              <w:top w:w="90" w:type="dxa"/>
              <w:bottom w:w="90" w:type="dxa"/>
              <w:left w:w="120" w:type="dxa"/>
              <w:right w:w="120" w:type="dxa"/>
            </w:tcMar>
          </w:tcPr>
          <w:p>
            <w:pPr>
              <w:spacing w:before="20" w:after="20"/>
            </w:pPr>
            <w:r>
              <w:rPr>
                <w:sz w:val="18"/>
              </w:rPr>
              <w:t>RF-05</w:t>
            </w:r>
          </w:p>
        </w:tc>
        <w:tc>
          <w:tcPr>
            <w:tcW w:type="dxa" w:w="3168"/>
            <w:shd w:fill="FFFFFF"/>
            <w:tcMar>
              <w:top w:w="90" w:type="dxa"/>
              <w:bottom w:w="90" w:type="dxa"/>
              <w:left w:w="120" w:type="dxa"/>
              <w:right w:w="120" w:type="dxa"/>
            </w:tcMar>
          </w:tcPr>
          <w:p>
            <w:pPr>
              <w:spacing w:before="20" w:after="20"/>
            </w:pPr>
            <w:r>
              <w:rPr>
                <w:sz w:val="18"/>
              </w:rPr>
              <w:t>Motor de SLAs y Alertas Asíncronas</w:t>
            </w:r>
          </w:p>
        </w:tc>
        <w:tc>
          <w:tcPr>
            <w:tcW w:type="dxa" w:w="4752"/>
            <w:shd w:fill="FFFFFF"/>
            <w:tcMar>
              <w:top w:w="90" w:type="dxa"/>
              <w:bottom w:w="90" w:type="dxa"/>
              <w:left w:w="120" w:type="dxa"/>
              <w:right w:w="120" w:type="dxa"/>
            </w:tcMar>
          </w:tcPr>
          <w:p>
            <w:pPr>
              <w:spacing w:before="20" w:after="20"/>
            </w:pPr>
            <w:r>
              <w:rPr>
                <w:sz w:val="18"/>
              </w:rPr>
              <w:t>Monitoreo continuo de tiempos MTTA/MTTR, disparando alertas automáticas al 75% y escalamiento al 100% de vencimiento.</w:t>
            </w:r>
          </w:p>
        </w:tc>
      </w:tr>
    </w:tbl>
    <w:p>
      <w:pPr>
        <w:spacing w:before="160"/>
      </w:pPr>
    </w:p>
    <w:tbl>
      <w:tblPr>
        <w:tblW w:type="auto" w:w="0"/>
        <w:jc w:val="center"/>
        <w:tblLook w:firstColumn="1" w:firstRow="1" w:lastColumn="0" w:lastRow="0" w:noHBand="0" w:noVBand="1" w:val="04A0"/>
      </w:tblPr>
      <w:tblGrid>
        <w:gridCol w:w="3120"/>
        <w:gridCol w:w="3120"/>
        <w:gridCol w:w="3120"/>
      </w:tblGrid>
      <w:tr>
        <w:tc>
          <w:tcPr>
            <w:tcW w:type="dxa" w:w="1440"/>
            <w:shd w:fill="102C57"/>
            <w:tcMar>
              <w:top w:w="120" w:type="dxa"/>
              <w:bottom w:w="120" w:type="dxa"/>
              <w:left w:w="140" w:type="dxa"/>
              <w:right w:w="140" w:type="dxa"/>
            </w:tcMar>
          </w:tcPr>
          <w:p>
            <w:pPr>
              <w:jc w:val="center"/>
            </w:pPr>
            <w:r>
              <w:rPr>
                <w:b/>
                <w:color w:val="FFFFFF"/>
                <w:sz w:val="19"/>
              </w:rPr>
              <w:t>Código</w:t>
            </w:r>
          </w:p>
        </w:tc>
        <w:tc>
          <w:tcPr>
            <w:tcW w:type="dxa" w:w="2592"/>
            <w:shd w:fill="102C57"/>
            <w:tcMar>
              <w:top w:w="120" w:type="dxa"/>
              <w:bottom w:w="120" w:type="dxa"/>
              <w:left w:w="140" w:type="dxa"/>
              <w:right w:w="140" w:type="dxa"/>
            </w:tcMar>
          </w:tcPr>
          <w:p>
            <w:pPr>
              <w:jc w:val="center"/>
            </w:pPr>
            <w:r>
              <w:rPr>
                <w:b/>
                <w:color w:val="FFFFFF"/>
                <w:sz w:val="19"/>
              </w:rPr>
              <w:t>Tipo de RNF</w:t>
            </w:r>
          </w:p>
        </w:tc>
        <w:tc>
          <w:tcPr>
            <w:tcW w:type="dxa" w:w="5328"/>
            <w:shd w:fill="102C57"/>
            <w:tcMar>
              <w:top w:w="120" w:type="dxa"/>
              <w:bottom w:w="120" w:type="dxa"/>
              <w:left w:w="140" w:type="dxa"/>
              <w:right w:w="140" w:type="dxa"/>
            </w:tcMar>
          </w:tcPr>
          <w:p>
            <w:pPr>
              <w:jc w:val="center"/>
            </w:pPr>
            <w:r>
              <w:rPr>
                <w:b/>
                <w:color w:val="FFFFFF"/>
                <w:sz w:val="19"/>
              </w:rPr>
              <w:t>Especificación Técnica</w:t>
            </w:r>
          </w:p>
        </w:tc>
      </w:tr>
      <w:tr>
        <w:tc>
          <w:tcPr>
            <w:tcW w:type="dxa" w:w="1440"/>
            <w:shd w:fill="FFFFFF"/>
            <w:tcMar>
              <w:top w:w="90" w:type="dxa"/>
              <w:bottom w:w="90" w:type="dxa"/>
              <w:left w:w="120" w:type="dxa"/>
              <w:right w:w="120" w:type="dxa"/>
            </w:tcMar>
          </w:tcPr>
          <w:p>
            <w:pPr>
              <w:spacing w:before="20" w:after="20"/>
            </w:pPr>
            <w:r>
              <w:rPr>
                <w:sz w:val="18"/>
              </w:rPr>
              <w:t>RNF-01</w:t>
            </w:r>
          </w:p>
        </w:tc>
        <w:tc>
          <w:tcPr>
            <w:tcW w:type="dxa" w:w="2592"/>
            <w:shd w:fill="FFFFFF"/>
            <w:tcMar>
              <w:top w:w="90" w:type="dxa"/>
              <w:bottom w:w="90" w:type="dxa"/>
              <w:left w:w="120" w:type="dxa"/>
              <w:right w:w="120" w:type="dxa"/>
            </w:tcMar>
          </w:tcPr>
          <w:p>
            <w:pPr>
              <w:spacing w:before="20" w:after="20"/>
            </w:pPr>
            <w:r>
              <w:rPr>
                <w:sz w:val="18"/>
              </w:rPr>
              <w:t>Disponibilidad y Misión Crítica</w:t>
            </w:r>
          </w:p>
        </w:tc>
        <w:tc>
          <w:tcPr>
            <w:tcW w:type="dxa" w:w="5328"/>
            <w:shd w:fill="FFFFFF"/>
            <w:tcMar>
              <w:top w:w="90" w:type="dxa"/>
              <w:bottom w:w="90" w:type="dxa"/>
              <w:left w:w="120" w:type="dxa"/>
              <w:right w:w="120" w:type="dxa"/>
            </w:tcMar>
          </w:tcPr>
          <w:p>
            <w:pPr>
              <w:spacing w:before="20" w:after="20"/>
            </w:pPr>
            <w:r>
              <w:rPr>
                <w:sz w:val="18"/>
              </w:rPr>
              <w:t>Disponibilidad del 99.9% 24/7 en servicios de soporte vital (pabellones quirúrgicos y UCI).</w:t>
            </w:r>
          </w:p>
        </w:tc>
      </w:tr>
      <w:tr>
        <w:tc>
          <w:tcPr>
            <w:tcW w:type="dxa" w:w="1440"/>
            <w:shd w:fill="F9FBFD"/>
            <w:tcMar>
              <w:top w:w="90" w:type="dxa"/>
              <w:bottom w:w="90" w:type="dxa"/>
              <w:left w:w="120" w:type="dxa"/>
              <w:right w:w="120" w:type="dxa"/>
            </w:tcMar>
          </w:tcPr>
          <w:p>
            <w:pPr>
              <w:spacing w:before="20" w:after="20"/>
            </w:pPr>
            <w:r>
              <w:rPr>
                <w:sz w:val="18"/>
              </w:rPr>
              <w:t>RNF-02</w:t>
            </w:r>
          </w:p>
        </w:tc>
        <w:tc>
          <w:tcPr>
            <w:tcW w:type="dxa" w:w="2592"/>
            <w:shd w:fill="F9FBFD"/>
            <w:tcMar>
              <w:top w:w="90" w:type="dxa"/>
              <w:bottom w:w="90" w:type="dxa"/>
              <w:left w:w="120" w:type="dxa"/>
              <w:right w:w="120" w:type="dxa"/>
            </w:tcMar>
          </w:tcPr>
          <w:p>
            <w:pPr>
              <w:spacing w:before="20" w:after="20"/>
            </w:pPr>
            <w:r>
              <w:rPr>
                <w:sz w:val="18"/>
              </w:rPr>
              <w:t>Rendimiento y Tiempo de Respuesta</w:t>
            </w:r>
          </w:p>
        </w:tc>
        <w:tc>
          <w:tcPr>
            <w:tcW w:type="dxa" w:w="5328"/>
            <w:shd w:fill="F9FBFD"/>
            <w:tcMar>
              <w:top w:w="90" w:type="dxa"/>
              <w:bottom w:w="90" w:type="dxa"/>
              <w:left w:w="120" w:type="dxa"/>
              <w:right w:w="120" w:type="dxa"/>
            </w:tcMar>
          </w:tcPr>
          <w:p>
            <w:pPr>
              <w:spacing w:before="20" w:after="20"/>
            </w:pPr>
            <w:r>
              <w:rPr>
                <w:sz w:val="18"/>
              </w:rPr>
              <w:t>Tiempos de respuesta HTTP API p95 &lt; 200 ms y radicación en menos de 1 segundo bajo redes Wi-Fi inestables.</w:t>
            </w:r>
          </w:p>
        </w:tc>
      </w:tr>
      <w:tr>
        <w:tc>
          <w:tcPr>
            <w:tcW w:type="dxa" w:w="1440"/>
            <w:shd w:fill="FFFFFF"/>
            <w:tcMar>
              <w:top w:w="90" w:type="dxa"/>
              <w:bottom w:w="90" w:type="dxa"/>
              <w:left w:w="120" w:type="dxa"/>
              <w:right w:w="120" w:type="dxa"/>
            </w:tcMar>
          </w:tcPr>
          <w:p>
            <w:pPr>
              <w:spacing w:before="20" w:after="20"/>
            </w:pPr>
            <w:r>
              <w:rPr>
                <w:sz w:val="18"/>
              </w:rPr>
              <w:t>RNF-03</w:t>
            </w:r>
          </w:p>
        </w:tc>
        <w:tc>
          <w:tcPr>
            <w:tcW w:type="dxa" w:w="2592"/>
            <w:shd w:fill="FFFFFF"/>
            <w:tcMar>
              <w:top w:w="90" w:type="dxa"/>
              <w:bottom w:w="90" w:type="dxa"/>
              <w:left w:w="120" w:type="dxa"/>
              <w:right w:w="120" w:type="dxa"/>
            </w:tcMar>
          </w:tcPr>
          <w:p>
            <w:pPr>
              <w:spacing w:before="20" w:after="20"/>
            </w:pPr>
            <w:r>
              <w:rPr>
                <w:sz w:val="18"/>
              </w:rPr>
              <w:t>Seguridad y Privacidad Zero-PHI</w:t>
            </w:r>
          </w:p>
        </w:tc>
        <w:tc>
          <w:tcPr>
            <w:tcW w:type="dxa" w:w="5328"/>
            <w:shd w:fill="FFFFFF"/>
            <w:tcMar>
              <w:top w:w="90" w:type="dxa"/>
              <w:bottom w:w="90" w:type="dxa"/>
              <w:left w:w="120" w:type="dxa"/>
              <w:right w:w="120" w:type="dxa"/>
            </w:tcMar>
          </w:tcPr>
          <w:p>
            <w:pPr>
              <w:spacing w:before="20" w:after="20"/>
            </w:pPr>
            <w:r>
              <w:rPr>
                <w:sz w:val="18"/>
              </w:rPr>
              <w:t>Prohibición estricta de incluir datos de identificación de pacientes en descripciones técnicas de fallas.</w:t>
            </w:r>
          </w:p>
        </w:tc>
      </w:tr>
      <w:tr>
        <w:tc>
          <w:tcPr>
            <w:tcW w:type="dxa" w:w="1440"/>
            <w:shd w:fill="F9FBFD"/>
            <w:tcMar>
              <w:top w:w="90" w:type="dxa"/>
              <w:bottom w:w="90" w:type="dxa"/>
              <w:left w:w="120" w:type="dxa"/>
              <w:right w:w="120" w:type="dxa"/>
            </w:tcMar>
          </w:tcPr>
          <w:p>
            <w:pPr>
              <w:spacing w:before="20" w:after="20"/>
            </w:pPr>
            <w:r>
              <w:rPr>
                <w:sz w:val="18"/>
              </w:rPr>
              <w:t>RNF-04</w:t>
            </w:r>
          </w:p>
        </w:tc>
        <w:tc>
          <w:tcPr>
            <w:tcW w:type="dxa" w:w="2592"/>
            <w:shd w:fill="F9FBFD"/>
            <w:tcMar>
              <w:top w:w="90" w:type="dxa"/>
              <w:bottom w:w="90" w:type="dxa"/>
              <w:left w:w="120" w:type="dxa"/>
              <w:right w:w="120" w:type="dxa"/>
            </w:tcMar>
          </w:tcPr>
          <w:p>
            <w:pPr>
              <w:spacing w:before="20" w:after="20"/>
            </w:pPr>
            <w:r>
              <w:rPr>
                <w:sz w:val="18"/>
              </w:rPr>
              <w:t>Trazabilidad y No Repudio</w:t>
            </w:r>
          </w:p>
        </w:tc>
        <w:tc>
          <w:tcPr>
            <w:tcW w:type="dxa" w:w="5328"/>
            <w:shd w:fill="F9FBFD"/>
            <w:tcMar>
              <w:top w:w="90" w:type="dxa"/>
              <w:bottom w:w="90" w:type="dxa"/>
              <w:left w:w="120" w:type="dxa"/>
              <w:right w:w="120" w:type="dxa"/>
            </w:tcMar>
          </w:tcPr>
          <w:p>
            <w:pPr>
              <w:spacing w:before="20" w:after="20"/>
            </w:pPr>
            <w:r>
              <w:rPr>
                <w:sz w:val="18"/>
              </w:rPr>
              <w:t>Registro append-only inmutable de cada cambio de estado, usuario responsable y estampa de tiempo (cero borrado físico).</w:t>
            </w:r>
          </w:p>
        </w:tc>
      </w:tr>
    </w:tbl>
    <w:p>
      <w:pPr>
        <w:pStyle w:val="Heading2"/>
        <w:keepNext/>
        <w:spacing w:before="280" w:after="120"/>
      </w:pPr>
      <w:r>
        <w:rPr>
          <w:b/>
          <w:color w:val="1C5094"/>
          <w:sz w:val="26"/>
        </w:rPr>
        <w:t>1.2. Tabla de Validación y Decisión del Estudiante sobre las Observaciones del Agente</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02C57"/>
            <w:tcMar>
              <w:top w:w="120" w:type="dxa"/>
              <w:bottom w:w="120" w:type="dxa"/>
              <w:left w:w="140" w:type="dxa"/>
              <w:right w:w="140" w:type="dxa"/>
            </w:tcMar>
          </w:tcPr>
          <w:p>
            <w:pPr>
              <w:jc w:val="center"/>
            </w:pPr>
            <w:r>
              <w:rPr>
                <w:b/>
                <w:color w:val="FFFFFF"/>
                <w:sz w:val="19"/>
              </w:rPr>
              <w:t>Req.</w:t>
            </w:r>
          </w:p>
        </w:tc>
        <w:tc>
          <w:tcPr>
            <w:tcW w:type="dxa" w:w="2880"/>
            <w:shd w:fill="102C57"/>
            <w:tcMar>
              <w:top w:w="120" w:type="dxa"/>
              <w:bottom w:w="120" w:type="dxa"/>
              <w:left w:w="140" w:type="dxa"/>
              <w:right w:w="140" w:type="dxa"/>
            </w:tcMar>
          </w:tcPr>
          <w:p>
            <w:pPr>
              <w:jc w:val="center"/>
            </w:pPr>
            <w:r>
              <w:rPr>
                <w:b/>
                <w:color w:val="FFFFFF"/>
                <w:sz w:val="19"/>
              </w:rPr>
              <w:t>Observación del Agente</w:t>
            </w:r>
          </w:p>
        </w:tc>
        <w:tc>
          <w:tcPr>
            <w:tcW w:type="dxa" w:w="1296"/>
            <w:shd w:fill="102C57"/>
            <w:tcMar>
              <w:top w:w="120" w:type="dxa"/>
              <w:bottom w:w="120" w:type="dxa"/>
              <w:left w:w="140" w:type="dxa"/>
              <w:right w:w="140" w:type="dxa"/>
            </w:tcMar>
          </w:tcPr>
          <w:p>
            <w:pPr>
              <w:jc w:val="center"/>
            </w:pPr>
            <w:r>
              <w:rPr>
                <w:b/>
                <w:color w:val="FFFFFF"/>
                <w:sz w:val="19"/>
              </w:rPr>
              <w:t>Validación</w:t>
            </w:r>
          </w:p>
        </w:tc>
        <w:tc>
          <w:tcPr>
            <w:tcW w:type="dxa" w:w="1296"/>
            <w:shd w:fill="102C57"/>
            <w:tcMar>
              <w:top w:w="120" w:type="dxa"/>
              <w:bottom w:w="120" w:type="dxa"/>
              <w:left w:w="140" w:type="dxa"/>
              <w:right w:w="140" w:type="dxa"/>
            </w:tcMar>
          </w:tcPr>
          <w:p>
            <w:pPr>
              <w:jc w:val="center"/>
            </w:pPr>
            <w:r>
              <w:rPr>
                <w:b/>
                <w:color w:val="FFFFFF"/>
                <w:sz w:val="19"/>
              </w:rPr>
              <w:t>Decisión</w:t>
            </w:r>
          </w:p>
        </w:tc>
        <w:tc>
          <w:tcPr>
            <w:tcW w:type="dxa" w:w="2736"/>
            <w:shd w:fill="102C57"/>
            <w:tcMar>
              <w:top w:w="120" w:type="dxa"/>
              <w:bottom w:w="120" w:type="dxa"/>
              <w:left w:w="140" w:type="dxa"/>
              <w:right w:w="140" w:type="dxa"/>
            </w:tcMar>
          </w:tcPr>
          <w:p>
            <w:pPr>
              <w:jc w:val="center"/>
            </w:pPr>
            <w:r>
              <w:rPr>
                <w:b/>
                <w:color w:val="FFFFFF"/>
                <w:sz w:val="19"/>
              </w:rPr>
              <w:t>Justificación Técnica del Estudiante</w:t>
            </w:r>
          </w:p>
        </w:tc>
      </w:tr>
      <w:tr>
        <w:tc>
          <w:tcPr>
            <w:tcW w:type="dxa" w:w="1152"/>
            <w:shd w:fill="FFFFFF"/>
            <w:tcMar>
              <w:top w:w="90" w:type="dxa"/>
              <w:bottom w:w="90" w:type="dxa"/>
              <w:left w:w="120" w:type="dxa"/>
              <w:right w:w="120" w:type="dxa"/>
            </w:tcMar>
          </w:tcPr>
          <w:p>
            <w:pPr>
              <w:spacing w:before="20" w:after="20"/>
            </w:pPr>
            <w:r>
              <w:rPr>
                <w:sz w:val="18"/>
              </w:rPr>
              <w:t>RF-03</w:t>
            </w:r>
          </w:p>
        </w:tc>
        <w:tc>
          <w:tcPr>
            <w:tcW w:type="dxa" w:w="2880"/>
            <w:shd w:fill="FFFFFF"/>
            <w:tcMar>
              <w:top w:w="90" w:type="dxa"/>
              <w:bottom w:w="90" w:type="dxa"/>
              <w:left w:w="120" w:type="dxa"/>
              <w:right w:w="120" w:type="dxa"/>
            </w:tcMar>
          </w:tcPr>
          <w:p>
            <w:pPr>
              <w:spacing w:before="20" w:after="20"/>
            </w:pPr>
            <w:r>
              <w:rPr>
                <w:sz w:val="18"/>
              </w:rPr>
              <w:t>Recomienda radicación automática vía integración IoT en equipamiento biomédico.</w:t>
            </w:r>
          </w:p>
        </w:tc>
        <w:tc>
          <w:tcPr>
            <w:tcW w:type="dxa" w:w="1296"/>
            <w:shd w:fill="FFFFFF"/>
            <w:tcMar>
              <w:top w:w="90" w:type="dxa"/>
              <w:bottom w:w="90" w:type="dxa"/>
              <w:left w:w="120" w:type="dxa"/>
              <w:right w:w="120" w:type="dxa"/>
            </w:tcMar>
          </w:tcPr>
          <w:p>
            <w:pPr>
              <w:spacing w:before="20" w:after="20"/>
            </w:pPr>
            <w:r>
              <w:rPr>
                <w:sz w:val="18"/>
              </w:rPr>
              <w:t>Descartada</w:t>
            </w:r>
          </w:p>
        </w:tc>
        <w:tc>
          <w:tcPr>
            <w:tcW w:type="dxa" w:w="1296"/>
            <w:shd w:fill="FFFFFF"/>
            <w:tcMar>
              <w:top w:w="90" w:type="dxa"/>
              <w:bottom w:w="90" w:type="dxa"/>
              <w:left w:w="120" w:type="dxa"/>
              <w:right w:w="120" w:type="dxa"/>
            </w:tcMar>
          </w:tcPr>
          <w:p>
            <w:pPr>
              <w:spacing w:before="20" w:after="20"/>
            </w:pPr>
            <w:r>
              <w:rPr>
                <w:sz w:val="18"/>
              </w:rPr>
              <w:t>NO</w:t>
            </w:r>
          </w:p>
        </w:tc>
        <w:tc>
          <w:tcPr>
            <w:tcW w:type="dxa" w:w="2736"/>
            <w:shd w:fill="FFFFFF"/>
            <w:tcMar>
              <w:top w:w="90" w:type="dxa"/>
              <w:bottom w:w="90" w:type="dxa"/>
              <w:left w:w="120" w:type="dxa"/>
              <w:right w:w="120" w:type="dxa"/>
            </w:tcMar>
          </w:tcPr>
          <w:p>
            <w:pPr>
              <w:spacing w:before="20" w:after="20"/>
            </w:pPr>
            <w:r>
              <w:rPr>
                <w:sz w:val="18"/>
              </w:rPr>
              <w:t>Complejidad e inversión inviables para el alcance actual; la prioridad es la captura asistencial manual rápida.</w:t>
            </w:r>
          </w:p>
        </w:tc>
      </w:tr>
      <w:tr>
        <w:tc>
          <w:tcPr>
            <w:tcW w:type="dxa" w:w="1152"/>
            <w:shd w:fill="F9FBFD"/>
            <w:tcMar>
              <w:top w:w="90" w:type="dxa"/>
              <w:bottom w:w="90" w:type="dxa"/>
              <w:left w:w="120" w:type="dxa"/>
              <w:right w:w="120" w:type="dxa"/>
            </w:tcMar>
          </w:tcPr>
          <w:p>
            <w:pPr>
              <w:spacing w:before="20" w:after="20"/>
            </w:pPr>
            <w:r>
              <w:rPr>
                <w:sz w:val="18"/>
              </w:rPr>
              <w:t>RF-04</w:t>
            </w:r>
          </w:p>
        </w:tc>
        <w:tc>
          <w:tcPr>
            <w:tcW w:type="dxa" w:w="2880"/>
            <w:shd w:fill="F9FBFD"/>
            <w:tcMar>
              <w:top w:w="90" w:type="dxa"/>
              <w:bottom w:w="90" w:type="dxa"/>
              <w:left w:w="120" w:type="dxa"/>
              <w:right w:w="120" w:type="dxa"/>
            </w:tcMar>
          </w:tcPr>
          <w:p>
            <w:pPr>
              <w:spacing w:before="20" w:after="20"/>
            </w:pPr>
            <w:r>
              <w:rPr>
                <w:sz w:val="18"/>
              </w:rPr>
              <w:t>Sugiere permitir que los técnicos reabran solicitudes cerradas sin supervisión.</w:t>
            </w:r>
          </w:p>
        </w:tc>
        <w:tc>
          <w:tcPr>
            <w:tcW w:type="dxa" w:w="1296"/>
            <w:shd w:fill="F9FBFD"/>
            <w:tcMar>
              <w:top w:w="90" w:type="dxa"/>
              <w:bottom w:w="90" w:type="dxa"/>
              <w:left w:w="120" w:type="dxa"/>
              <w:right w:w="120" w:type="dxa"/>
            </w:tcMar>
          </w:tcPr>
          <w:p>
            <w:pPr>
              <w:spacing w:before="20" w:after="20"/>
            </w:pPr>
            <w:r>
              <w:rPr>
                <w:sz w:val="18"/>
              </w:rPr>
              <w:t>Inválida</w:t>
            </w:r>
          </w:p>
        </w:tc>
        <w:tc>
          <w:tcPr>
            <w:tcW w:type="dxa" w:w="1296"/>
            <w:shd w:fill="F9FBFD"/>
            <w:tcMar>
              <w:top w:w="90" w:type="dxa"/>
              <w:bottom w:w="90" w:type="dxa"/>
              <w:left w:w="120" w:type="dxa"/>
              <w:right w:w="120" w:type="dxa"/>
            </w:tcMar>
          </w:tcPr>
          <w:p>
            <w:pPr>
              <w:spacing w:before="20" w:after="20"/>
            </w:pPr>
            <w:r>
              <w:rPr>
                <w:sz w:val="18"/>
              </w:rPr>
              <w:t>NO</w:t>
            </w:r>
          </w:p>
        </w:tc>
        <w:tc>
          <w:tcPr>
            <w:tcW w:type="dxa" w:w="2736"/>
            <w:shd w:fill="F9FBFD"/>
            <w:tcMar>
              <w:top w:w="90" w:type="dxa"/>
              <w:bottom w:w="90" w:type="dxa"/>
              <w:left w:w="120" w:type="dxa"/>
              <w:right w:w="120" w:type="dxa"/>
            </w:tcMar>
          </w:tcPr>
          <w:p>
            <w:pPr>
              <w:spacing w:before="20" w:after="20"/>
            </w:pPr>
            <w:r>
              <w:rPr>
                <w:sz w:val="18"/>
              </w:rPr>
              <w:t>Vulnera el control de calidad hospitalario; la reapertura debe ser potestad exclusiva de la jefatura o solicitante.</w:t>
            </w:r>
          </w:p>
        </w:tc>
      </w:tr>
      <w:tr>
        <w:tc>
          <w:tcPr>
            <w:tcW w:type="dxa" w:w="1152"/>
            <w:shd w:fill="FFFFFF"/>
            <w:tcMar>
              <w:top w:w="90" w:type="dxa"/>
              <w:bottom w:w="90" w:type="dxa"/>
              <w:left w:w="120" w:type="dxa"/>
              <w:right w:w="120" w:type="dxa"/>
            </w:tcMar>
          </w:tcPr>
          <w:p>
            <w:pPr>
              <w:spacing w:before="20" w:after="20"/>
            </w:pPr>
            <w:r>
              <w:rPr>
                <w:sz w:val="18"/>
              </w:rPr>
              <w:t>RNF-02</w:t>
            </w:r>
          </w:p>
        </w:tc>
        <w:tc>
          <w:tcPr>
            <w:tcW w:type="dxa" w:w="2880"/>
            <w:shd w:fill="FFFFFF"/>
            <w:tcMar>
              <w:top w:w="90" w:type="dxa"/>
              <w:bottom w:w="90" w:type="dxa"/>
              <w:left w:w="120" w:type="dxa"/>
              <w:right w:w="120" w:type="dxa"/>
            </w:tcMar>
          </w:tcPr>
          <w:p>
            <w:pPr>
              <w:spacing w:before="20" w:after="20"/>
            </w:pPr>
            <w:r>
              <w:rPr>
                <w:sz w:val="18"/>
              </w:rPr>
              <w:t>Propone soporte de idempotencia (Idempotency-Key) para mitigar reintentos en Wi-Fi.</w:t>
            </w:r>
          </w:p>
        </w:tc>
        <w:tc>
          <w:tcPr>
            <w:tcW w:type="dxa" w:w="1296"/>
            <w:shd w:fill="FFFFFF"/>
            <w:tcMar>
              <w:top w:w="90" w:type="dxa"/>
              <w:bottom w:w="90" w:type="dxa"/>
              <w:left w:w="120" w:type="dxa"/>
              <w:right w:w="120" w:type="dxa"/>
            </w:tcMar>
          </w:tcPr>
          <w:p>
            <w:pPr>
              <w:spacing w:before="20" w:after="20"/>
            </w:pPr>
            <w:r>
              <w:rPr>
                <w:sz w:val="18"/>
              </w:rPr>
              <w:t>Válida</w:t>
            </w:r>
          </w:p>
        </w:tc>
        <w:tc>
          <w:tcPr>
            <w:tcW w:type="dxa" w:w="1296"/>
            <w:shd w:fill="FFFFFF"/>
            <w:tcMar>
              <w:top w:w="90" w:type="dxa"/>
              <w:bottom w:w="90" w:type="dxa"/>
              <w:left w:w="120" w:type="dxa"/>
              <w:right w:w="120" w:type="dxa"/>
            </w:tcMar>
          </w:tcPr>
          <w:p>
            <w:pPr>
              <w:spacing w:before="20" w:after="20"/>
            </w:pPr>
            <w:r>
              <w:rPr>
                <w:sz w:val="18"/>
              </w:rPr>
              <w:t>SÍ</w:t>
            </w:r>
          </w:p>
        </w:tc>
        <w:tc>
          <w:tcPr>
            <w:tcW w:type="dxa" w:w="2736"/>
            <w:shd w:fill="FFFFFF"/>
            <w:tcMar>
              <w:top w:w="90" w:type="dxa"/>
              <w:bottom w:w="90" w:type="dxa"/>
              <w:left w:w="120" w:type="dxa"/>
              <w:right w:w="120" w:type="dxa"/>
            </w:tcMar>
          </w:tcPr>
          <w:p>
            <w:pPr>
              <w:spacing w:before="20" w:after="20"/>
            </w:pPr>
            <w:r>
              <w:rPr>
                <w:sz w:val="18"/>
              </w:rPr>
              <w:t>Excelente recomendación. Evita solicitudes duplicadas de soporte vital ante microcortes de red asistencial.</w:t>
            </w:r>
          </w:p>
        </w:tc>
      </w:tr>
      <w:tr>
        <w:tc>
          <w:tcPr>
            <w:tcW w:type="dxa" w:w="1152"/>
            <w:shd w:fill="F9FBFD"/>
            <w:tcMar>
              <w:top w:w="90" w:type="dxa"/>
              <w:bottom w:w="90" w:type="dxa"/>
              <w:left w:w="120" w:type="dxa"/>
              <w:right w:w="120" w:type="dxa"/>
            </w:tcMar>
          </w:tcPr>
          <w:p>
            <w:pPr>
              <w:spacing w:before="20" w:after="20"/>
            </w:pPr>
            <w:r>
              <w:rPr>
                <w:sz w:val="18"/>
              </w:rPr>
              <w:t>RNF-04</w:t>
            </w:r>
          </w:p>
        </w:tc>
        <w:tc>
          <w:tcPr>
            <w:tcW w:type="dxa" w:w="2880"/>
            <w:shd w:fill="F9FBFD"/>
            <w:tcMar>
              <w:top w:w="90" w:type="dxa"/>
              <w:bottom w:w="90" w:type="dxa"/>
              <w:left w:w="120" w:type="dxa"/>
              <w:right w:w="120" w:type="dxa"/>
            </w:tcMar>
          </w:tcPr>
          <w:p>
            <w:pPr>
              <w:spacing w:before="20" w:after="20"/>
            </w:pPr>
            <w:r>
              <w:rPr>
                <w:sz w:val="18"/>
              </w:rPr>
              <w:t>Recomienda revocar el privilegio DELETE en la base de datos para garantizar inmutabilidad.</w:t>
            </w:r>
          </w:p>
        </w:tc>
        <w:tc>
          <w:tcPr>
            <w:tcW w:type="dxa" w:w="1296"/>
            <w:shd w:fill="F9FBFD"/>
            <w:tcMar>
              <w:top w:w="90" w:type="dxa"/>
              <w:bottom w:w="90" w:type="dxa"/>
              <w:left w:w="120" w:type="dxa"/>
              <w:right w:w="120" w:type="dxa"/>
            </w:tcMar>
          </w:tcPr>
          <w:p>
            <w:pPr>
              <w:spacing w:before="20" w:after="20"/>
            </w:pPr>
            <w:r>
              <w:rPr>
                <w:sz w:val="18"/>
              </w:rPr>
              <w:t>Válida</w:t>
            </w:r>
          </w:p>
        </w:tc>
        <w:tc>
          <w:tcPr>
            <w:tcW w:type="dxa" w:w="1296"/>
            <w:shd w:fill="F9FBFD"/>
            <w:tcMar>
              <w:top w:w="90" w:type="dxa"/>
              <w:bottom w:w="90" w:type="dxa"/>
              <w:left w:w="120" w:type="dxa"/>
              <w:right w:w="120" w:type="dxa"/>
            </w:tcMar>
          </w:tcPr>
          <w:p>
            <w:pPr>
              <w:spacing w:before="20" w:after="20"/>
            </w:pPr>
            <w:r>
              <w:rPr>
                <w:sz w:val="18"/>
              </w:rPr>
              <w:t>SÍ</w:t>
            </w:r>
          </w:p>
        </w:tc>
        <w:tc>
          <w:tcPr>
            <w:tcW w:type="dxa" w:w="2736"/>
            <w:shd w:fill="F9FBFD"/>
            <w:tcMar>
              <w:top w:w="90" w:type="dxa"/>
              <w:bottom w:w="90" w:type="dxa"/>
              <w:left w:w="120" w:type="dxa"/>
              <w:right w:w="120" w:type="dxa"/>
            </w:tcMar>
          </w:tcPr>
          <w:p>
            <w:pPr>
              <w:spacing w:before="20" w:after="20"/>
            </w:pPr>
            <w:r>
              <w:rPr>
                <w:sz w:val="18"/>
              </w:rPr>
              <w:t>Crucial para auditorías legales en salud. Se adopta REVOKE DELETE a nivel de base de datos relacional.</w:t>
            </w:r>
          </w:p>
        </w:tc>
      </w:tr>
    </w:tbl>
    <w:p>
      <w:pPr>
        <w:pStyle w:val="Heading2"/>
        <w:keepNext/>
        <w:spacing w:before="280" w:after="120"/>
      </w:pPr>
      <w:r>
        <w:rPr>
          <w:b/>
          <w:color w:val="1C5094"/>
          <w:sz w:val="26"/>
        </w:rPr>
        <w:t>1.3. Conclusión del Caso de Estudio 1</w:t>
      </w:r>
    </w:p>
    <w:p>
      <w:r>
        <w:t>El proceso de validación asistida por el agente demostró ser una herramienta de alto valor para robustecer los requisitos no funcionales (incorporando idempotencia e inmutabilidad estricta), al mismo tiempo que ratificó la necesidad del criterio del ingeniero de software para descartar sobre-ingeniería innecesaria (como telemetría IoT prematura), preservando el foco asistencial de misión crítica.</w:t>
      </w:r>
    </w:p>
    <w:p>
      <w:r>
        <w:br w:type="page"/>
      </w:r>
    </w:p>
    <w:p>
      <w:pPr>
        <w:pStyle w:val="Heading1"/>
        <w:keepNext/>
        <w:spacing w:before="280" w:after="120"/>
      </w:pPr>
      <w:r>
        <w:rPr>
          <w:b/>
          <w:color w:val="102C57"/>
          <w:sz w:val="34"/>
        </w:rPr>
        <w:t>CASO DE ESTUDIO 2: VALIDACIÓN DE ARQUITECTURA DE SOFTWARE MEDIANTE AGENTES</w:t>
      </w:r>
    </w:p>
    <w:p>
      <w:r>
        <w:t>En esta fase se formularon y compararon alternativas de arquitectura de software para el S3IH, sometiendo la decisión al análisis de los agentes (@architect, @solution-leader) y formalizando la selección en el Registro de Decisiones de Arquitectura (ADR-001).</w:t>
      </w:r>
    </w:p>
    <w:p>
      <w:pPr>
        <w:pStyle w:val="Heading2"/>
        <w:keepNext/>
        <w:spacing w:before="280" w:after="120"/>
      </w:pPr>
      <w:r>
        <w:rPr>
          <w:b/>
          <w:color w:val="1C5094"/>
          <w:sz w:val="26"/>
        </w:rPr>
        <w:t>2.1. Matriz Comparativa de Alternativas Arquitectónicas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02C57"/>
            <w:tcMar>
              <w:top w:w="120" w:type="dxa"/>
              <w:bottom w:w="120" w:type="dxa"/>
              <w:left w:w="140" w:type="dxa"/>
              <w:right w:w="140" w:type="dxa"/>
            </w:tcMar>
          </w:tcPr>
          <w:p>
            <w:pPr>
              <w:jc w:val="center"/>
            </w:pPr>
            <w:r>
              <w:rPr>
                <w:b/>
                <w:color w:val="FFFFFF"/>
                <w:sz w:val="19"/>
              </w:rPr>
              <w:t>Criterio</w:t>
            </w:r>
          </w:p>
        </w:tc>
        <w:tc>
          <w:tcPr>
            <w:tcW w:type="dxa" w:w="2592"/>
            <w:shd w:fill="102C57"/>
            <w:tcMar>
              <w:top w:w="120" w:type="dxa"/>
              <w:bottom w:w="120" w:type="dxa"/>
              <w:left w:w="140" w:type="dxa"/>
              <w:right w:w="140" w:type="dxa"/>
            </w:tcMar>
          </w:tcPr>
          <w:p>
            <w:pPr>
              <w:jc w:val="center"/>
            </w:pPr>
            <w:r>
              <w:rPr>
                <w:b/>
                <w:color w:val="FFFFFF"/>
                <w:sz w:val="19"/>
              </w:rPr>
              <w:t>Alternativa A (Monolito Modular)</w:t>
            </w:r>
          </w:p>
        </w:tc>
        <w:tc>
          <w:tcPr>
            <w:tcW w:type="dxa" w:w="2592"/>
            <w:shd w:fill="102C57"/>
            <w:tcMar>
              <w:top w:w="120" w:type="dxa"/>
              <w:bottom w:w="120" w:type="dxa"/>
              <w:left w:w="140" w:type="dxa"/>
              <w:right w:w="140" w:type="dxa"/>
            </w:tcMar>
          </w:tcPr>
          <w:p>
            <w:pPr>
              <w:jc w:val="center"/>
            </w:pPr>
            <w:r>
              <w:rPr>
                <w:b/>
                <w:color w:val="FFFFFF"/>
                <w:sz w:val="19"/>
              </w:rPr>
              <w:t>Alternativa B (Microservicios K8s)</w:t>
            </w:r>
          </w:p>
        </w:tc>
        <w:tc>
          <w:tcPr>
            <w:tcW w:type="dxa" w:w="2448"/>
            <w:shd w:fill="102C57"/>
            <w:tcMar>
              <w:top w:w="120" w:type="dxa"/>
              <w:bottom w:w="120" w:type="dxa"/>
              <w:left w:w="140" w:type="dxa"/>
              <w:right w:w="140" w:type="dxa"/>
            </w:tcMar>
          </w:tcPr>
          <w:p>
            <w:pPr>
              <w:jc w:val="center"/>
            </w:pPr>
            <w:r>
              <w:rPr>
                <w:b/>
                <w:color w:val="FFFFFF"/>
                <w:sz w:val="19"/>
              </w:rPr>
              <w:t>Alternativa C (Serverless Cloud)</w:t>
            </w:r>
          </w:p>
        </w:tc>
        <w:tc>
          <w:tcPr>
            <w:tcW w:type="dxa" w:w="1560"/>
          </w:tcPr>
          <w:p/>
        </w:tc>
        <w:tc>
          <w:tcPr>
            <w:tcW w:type="dxa" w:w="1560"/>
          </w:tcPr>
          <w:p/>
        </w:tc>
      </w:tr>
      <w:tr>
        <w:tc>
          <w:tcPr>
            <w:tcW w:type="dxa" w:w="1728"/>
            <w:shd w:fill="FFFFFF"/>
            <w:tcMar>
              <w:top w:w="90" w:type="dxa"/>
              <w:bottom w:w="90" w:type="dxa"/>
              <w:left w:w="120" w:type="dxa"/>
              <w:right w:w="120" w:type="dxa"/>
            </w:tcMar>
          </w:tcPr>
          <w:p>
            <w:pPr>
              <w:spacing w:before="20" w:after="20"/>
            </w:pPr>
            <w:r>
              <w:rPr>
                <w:sz w:val="18"/>
              </w:rPr>
              <w:t>Complejidad Operativa</w:t>
            </w:r>
          </w:p>
        </w:tc>
        <w:tc>
          <w:tcPr>
            <w:tcW w:type="dxa" w:w="2592"/>
            <w:shd w:fill="FFFFFF"/>
            <w:tcMar>
              <w:top w:w="90" w:type="dxa"/>
              <w:bottom w:w="90" w:type="dxa"/>
              <w:left w:w="120" w:type="dxa"/>
              <w:right w:w="120" w:type="dxa"/>
            </w:tcMar>
          </w:tcPr>
          <w:p>
            <w:pPr>
              <w:spacing w:before="20" w:after="20"/>
            </w:pPr>
            <w:r>
              <w:rPr>
                <w:sz w:val="18"/>
              </w:rPr>
              <w:t>Baja: Despliegue en VM/Servidor local con Apache/PHP.</w:t>
            </w:r>
          </w:p>
        </w:tc>
        <w:tc>
          <w:tcPr>
            <w:tcW w:type="dxa" w:w="2592"/>
            <w:shd w:fill="FFFFFF"/>
            <w:tcMar>
              <w:top w:w="90" w:type="dxa"/>
              <w:bottom w:w="90" w:type="dxa"/>
              <w:left w:w="120" w:type="dxa"/>
              <w:right w:w="120" w:type="dxa"/>
            </w:tcMar>
          </w:tcPr>
          <w:p>
            <w:pPr>
              <w:spacing w:before="20" w:after="20"/>
            </w:pPr>
            <w:r>
              <w:rPr>
                <w:sz w:val="18"/>
              </w:rPr>
              <w:t>Muy Alta: Clúster K8s, ingress, service mesh, orquestación.</w:t>
            </w:r>
          </w:p>
        </w:tc>
        <w:tc>
          <w:tcPr>
            <w:tcW w:type="dxa" w:w="2448"/>
            <w:shd w:fill="FFFFFF"/>
            <w:tcMar>
              <w:top w:w="90" w:type="dxa"/>
              <w:bottom w:w="90" w:type="dxa"/>
              <w:left w:w="120" w:type="dxa"/>
              <w:right w:w="120" w:type="dxa"/>
            </w:tcMar>
          </w:tcPr>
          <w:p>
            <w:pPr>
              <w:spacing w:before="20" w:after="20"/>
            </w:pPr>
            <w:r>
              <w:rPr>
                <w:sz w:val="18"/>
              </w:rPr>
              <w:t>Alta: Vendor lock-in, múltiples funciones y gateways.</w:t>
            </w:r>
          </w:p>
        </w:tc>
        <w:tc>
          <w:tcPr>
            <w:tcW w:type="dxa" w:w="1560"/>
          </w:tcPr>
          <w:p/>
        </w:tc>
        <w:tc>
          <w:tcPr>
            <w:tcW w:type="dxa" w:w="1560"/>
          </w:tcPr>
          <w:p/>
        </w:tc>
      </w:tr>
      <w:tr>
        <w:tc>
          <w:tcPr>
            <w:tcW w:type="dxa" w:w="1728"/>
            <w:shd w:fill="F9FBFD"/>
            <w:tcMar>
              <w:top w:w="90" w:type="dxa"/>
              <w:bottom w:w="90" w:type="dxa"/>
              <w:left w:w="120" w:type="dxa"/>
              <w:right w:w="120" w:type="dxa"/>
            </w:tcMar>
          </w:tcPr>
          <w:p>
            <w:pPr>
              <w:spacing w:before="20" w:after="20"/>
            </w:pPr>
            <w:r>
              <w:rPr>
                <w:sz w:val="18"/>
              </w:rPr>
              <w:t>Consistencia Transaccional</w:t>
            </w:r>
          </w:p>
        </w:tc>
        <w:tc>
          <w:tcPr>
            <w:tcW w:type="dxa" w:w="2592"/>
            <w:shd w:fill="F9FBFD"/>
            <w:tcMar>
              <w:top w:w="90" w:type="dxa"/>
              <w:bottom w:w="90" w:type="dxa"/>
              <w:left w:w="120" w:type="dxa"/>
              <w:right w:w="120" w:type="dxa"/>
            </w:tcMar>
          </w:tcPr>
          <w:p>
            <w:pPr>
              <w:spacing w:before="20" w:after="20"/>
            </w:pPr>
            <w:r>
              <w:rPr>
                <w:sz w:val="18"/>
              </w:rPr>
              <w:t>Alta: Transacciones ACID nativas en base de datos InnoDB.</w:t>
            </w:r>
          </w:p>
        </w:tc>
        <w:tc>
          <w:tcPr>
            <w:tcW w:type="dxa" w:w="2592"/>
            <w:shd w:fill="F9FBFD"/>
            <w:tcMar>
              <w:top w:w="90" w:type="dxa"/>
              <w:bottom w:w="90" w:type="dxa"/>
              <w:left w:w="120" w:type="dxa"/>
              <w:right w:w="120" w:type="dxa"/>
            </w:tcMar>
          </w:tcPr>
          <w:p>
            <w:pPr>
              <w:spacing w:before="20" w:after="20"/>
            </w:pPr>
            <w:r>
              <w:rPr>
                <w:sz w:val="18"/>
              </w:rPr>
              <w:t>Baja: Consistencia eventual (Sagas, compensaciones complejas).</w:t>
            </w:r>
          </w:p>
        </w:tc>
        <w:tc>
          <w:tcPr>
            <w:tcW w:type="dxa" w:w="2448"/>
            <w:shd w:fill="F9FBFD"/>
            <w:tcMar>
              <w:top w:w="90" w:type="dxa"/>
              <w:bottom w:w="90" w:type="dxa"/>
              <w:left w:w="120" w:type="dxa"/>
              <w:right w:w="120" w:type="dxa"/>
            </w:tcMar>
          </w:tcPr>
          <w:p>
            <w:pPr>
              <w:spacing w:before="20" w:after="20"/>
            </w:pPr>
            <w:r>
              <w:rPr>
                <w:sz w:val="18"/>
              </w:rPr>
              <w:t>Media: Coordinación compleja entre servicios lambda.</w:t>
            </w:r>
          </w:p>
        </w:tc>
        <w:tc>
          <w:tcPr>
            <w:tcW w:type="dxa" w:w="1560"/>
          </w:tcPr>
          <w:p/>
        </w:tc>
        <w:tc>
          <w:tcPr>
            <w:tcW w:type="dxa" w:w="1560"/>
          </w:tcPr>
          <w:p/>
        </w:tc>
      </w:tr>
      <w:tr>
        <w:tc>
          <w:tcPr>
            <w:tcW w:type="dxa" w:w="1728"/>
            <w:shd w:fill="FFFFFF"/>
            <w:tcMar>
              <w:top w:w="90" w:type="dxa"/>
              <w:bottom w:w="90" w:type="dxa"/>
              <w:left w:w="120" w:type="dxa"/>
              <w:right w:w="120" w:type="dxa"/>
            </w:tcMar>
          </w:tcPr>
          <w:p>
            <w:pPr>
              <w:spacing w:before="20" w:after="20"/>
            </w:pPr>
            <w:r>
              <w:rPr>
                <w:sz w:val="18"/>
              </w:rPr>
              <w:t>Mantenimiento en Salud</w:t>
            </w:r>
          </w:p>
        </w:tc>
        <w:tc>
          <w:tcPr>
            <w:tcW w:type="dxa" w:w="2592"/>
            <w:shd w:fill="FFFFFF"/>
            <w:tcMar>
              <w:top w:w="90" w:type="dxa"/>
              <w:bottom w:w="90" w:type="dxa"/>
              <w:left w:w="120" w:type="dxa"/>
              <w:right w:w="120" w:type="dxa"/>
            </w:tcMar>
          </w:tcPr>
          <w:p>
            <w:pPr>
              <w:spacing w:before="20" w:after="20"/>
            </w:pPr>
            <w:r>
              <w:rPr>
                <w:sz w:val="18"/>
              </w:rPr>
              <w:t>Excelente: Mantenible por el equipo TI interno del hospital.</w:t>
            </w:r>
          </w:p>
        </w:tc>
        <w:tc>
          <w:tcPr>
            <w:tcW w:type="dxa" w:w="2592"/>
            <w:shd w:fill="FFFFFF"/>
            <w:tcMar>
              <w:top w:w="90" w:type="dxa"/>
              <w:bottom w:w="90" w:type="dxa"/>
              <w:left w:w="120" w:type="dxa"/>
              <w:right w:w="120" w:type="dxa"/>
            </w:tcMar>
          </w:tcPr>
          <w:p>
            <w:pPr>
              <w:spacing w:before="20" w:after="20"/>
            </w:pPr>
            <w:r>
              <w:rPr>
                <w:sz w:val="18"/>
              </w:rPr>
              <w:t>Inviable: Demanda equipo especializado DevOps 24/7.</w:t>
            </w:r>
          </w:p>
        </w:tc>
        <w:tc>
          <w:tcPr>
            <w:tcW w:type="dxa" w:w="2448"/>
            <w:shd w:fill="FFFFFF"/>
            <w:tcMar>
              <w:top w:w="90" w:type="dxa"/>
              <w:bottom w:w="90" w:type="dxa"/>
              <w:left w:w="120" w:type="dxa"/>
              <w:right w:w="120" w:type="dxa"/>
            </w:tcMar>
          </w:tcPr>
          <w:p>
            <w:pPr>
              <w:spacing w:before="20" w:after="20"/>
            </w:pPr>
            <w:r>
              <w:rPr>
                <w:sz w:val="18"/>
              </w:rPr>
              <w:t>Riesgoso: Latencias de arranque en frío (cold starts) en soporte vital.</w:t>
            </w:r>
          </w:p>
        </w:tc>
        <w:tc>
          <w:tcPr>
            <w:tcW w:type="dxa" w:w="1560"/>
          </w:tcPr>
          <w:p/>
        </w:tc>
        <w:tc>
          <w:tcPr>
            <w:tcW w:type="dxa" w:w="1560"/>
          </w:tcPr>
          <w:p/>
        </w:tc>
      </w:tr>
    </w:tbl>
    <w:p>
      <w:pPr>
        <w:pStyle w:val="Heading2"/>
        <w:keepNext/>
        <w:spacing w:before="280" w:after="120"/>
      </w:pPr>
      <w:r>
        <w:rPr>
          <w:b/>
          <w:color w:val="1C5094"/>
          <w:sz w:val="26"/>
        </w:rPr>
        <w:t>2.2. Registro de Decisión de Arquitectura: ADR-001</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02C57"/>
              <w:top w:val="none"/>
              <w:right w:val="none"/>
              <w:bottom w:val="none"/>
            </w:tcBorders>
          </w:tcPr>
          <w:p>
            <w:pPr>
              <w:spacing w:before="40" w:after="40"/>
            </w:pPr>
            <w:r>
              <w:rPr>
                <w:b/>
                <w:color w:val="102C57"/>
              </w:rPr>
              <w:t xml:space="preserve">[DECISIÓN ARQUITECTÓNICA APROBADA] </w:t>
            </w:r>
            <w:r>
              <w:rPr>
                <w:color w:val="282828"/>
                <w:sz w:val="19"/>
              </w:rPr>
              <w:t>ADR-001: Adopción de Monolito Modular en PHP 8.2+ Puro con MySQL 8.x (InnoDB)</w:t>
              <w:br/>
              <w:t>Decisión: Se descartan los microservicios y Kubernetes debido a que la red hospitalaria opera en infraestructura local on-premise y requiere consistencia inmediata ACID para las fallas de soporte vital en quirófanos. El monolito modular garantiza bajo consumo de recursos, cero fricción de mantenimiento y máxima confiabilidad.</w:t>
            </w:r>
          </w:p>
        </w:tc>
      </w:tr>
    </w:tbl>
    <w:p>
      <w:pPr>
        <w:spacing w:after="80"/>
      </w:pPr>
    </w:p>
    <w:p>
      <w:pPr>
        <w:pStyle w:val="Heading2"/>
        <w:keepNext/>
        <w:spacing w:before="280" w:after="120"/>
      </w:pPr>
      <w:r>
        <w:rPr>
          <w:b/>
          <w:color w:val="1C5094"/>
          <w:sz w:val="26"/>
        </w:rPr>
        <w:t>2.3. Archivos del Repositorio para Capturas de Evidencia (Antes de Codificar)</w:t>
      </w:r>
    </w:p>
    <w:p>
      <w:r>
        <w:t>Para evidenciar que la arquitectura se validó rigurosamente antes de iniciar la programación, se extrajeron evidencias de:</w:t>
        <w:br/>
        <w:t>• proyecto/03_resultados/01_requirements_analysis.md: Análisis de requisitos del agente.</w:t>
        <w:br/>
        <w:t>• proyecto/03_resultados/02_decision_scope.md: Alcance y límites del sistema.</w:t>
        <w:br/>
        <w:t>• proyecto/03_resultados/03_architecture_options.md: Comparativa de opciones de diseño.</w:t>
        <w:br/>
        <w:t>• proyecto/03_resultados/04_database_analysis.md: Evaluación de estrategias de persistencia.</w:t>
        <w:br/>
        <w:t>• proyecto/03_resultados/08_recomendacion_final.md: Aprobación formal y ADR-001 consolidado.</w:t>
      </w:r>
    </w:p>
    <w:p>
      <w:pPr>
        <w:pStyle w:val="Heading2"/>
        <w:keepNext/>
        <w:spacing w:before="280" w:after="120"/>
      </w:pPr>
      <w:r>
        <w:rPr>
          <w:b/>
          <w:color w:val="1C5094"/>
          <w:sz w:val="26"/>
        </w:rPr>
        <w:t>2.4. Conclusión del Caso de Estudio 2</w:t>
      </w:r>
    </w:p>
    <w:p>
      <w:r>
        <w:t>La evaluación arquitectónica guiada por agentes previno la adopción de arquitecturas sobre-dimensionadas y costosas (microservicios), garantizando que la solución técnica seleccionada responda con máxima fidelidad a la capacidad operativa real de la infraestructura hospitalaria.</w:t>
      </w:r>
    </w:p>
    <w:p>
      <w:r>
        <w:br w:type="page"/>
      </w:r>
    </w:p>
    <w:p>
      <w:pPr>
        <w:pStyle w:val="Heading1"/>
        <w:keepNext/>
        <w:spacing w:before="280" w:after="120"/>
      </w:pPr>
      <w:r>
        <w:rPr>
          <w:b/>
          <w:color w:val="102C57"/>
          <w:sz w:val="34"/>
        </w:rPr>
        <w:t>PRÁCTICA Nº 1: DISEÑO E IMPLEMENTACIÓN DE BASE DE DATOS</w:t>
      </w:r>
    </w:p>
    <w:p>
      <w:r>
        <w:t>Se implementó una base de datos relacional robusta en MySQL 8.x InnoDB (`s3ih_db`) a partir de la trazabilidad estricta de requerimientos. El agente especializado (@database-specialist) generó las migraciones versionadas V001 a V008.</w:t>
      </w:r>
    </w:p>
    <w:p>
      <w:pPr>
        <w:pStyle w:val="Heading2"/>
        <w:keepNext/>
        <w:spacing w:before="280" w:after="120"/>
      </w:pPr>
      <w:r>
        <w:rPr>
          <w:b/>
          <w:color w:val="1C5094"/>
          <w:sz w:val="26"/>
        </w:rPr>
        <w:t>3.1. Migraciones y Estructura Relacional Generada</w:t>
      </w:r>
    </w:p>
    <w:tbl>
      <w:tblPr>
        <w:tblW w:type="auto" w:w="0"/>
        <w:jc w:val="center"/>
        <w:tblLook w:firstColumn="1" w:firstRow="1" w:lastColumn="0" w:lastRow="0" w:noHBand="0" w:noVBand="1" w:val="04A0"/>
      </w:tblPr>
      <w:tblGrid>
        <w:gridCol w:w="3120"/>
        <w:gridCol w:w="3120"/>
        <w:gridCol w:w="3120"/>
      </w:tblGrid>
      <w:tr>
        <w:tc>
          <w:tcPr>
            <w:tcW w:type="dxa" w:w="1728"/>
            <w:shd w:fill="102C57"/>
            <w:tcMar>
              <w:top w:w="120" w:type="dxa"/>
              <w:bottom w:w="120" w:type="dxa"/>
              <w:left w:w="140" w:type="dxa"/>
              <w:right w:w="140" w:type="dxa"/>
            </w:tcMar>
          </w:tcPr>
          <w:p>
            <w:pPr>
              <w:jc w:val="center"/>
            </w:pPr>
            <w:r>
              <w:rPr>
                <w:b/>
                <w:color w:val="FFFFFF"/>
                <w:sz w:val="19"/>
              </w:rPr>
              <w:t>Migración</w:t>
            </w:r>
          </w:p>
        </w:tc>
        <w:tc>
          <w:tcPr>
            <w:tcW w:type="dxa" w:w="2592"/>
            <w:shd w:fill="102C57"/>
            <w:tcMar>
              <w:top w:w="120" w:type="dxa"/>
              <w:bottom w:w="120" w:type="dxa"/>
              <w:left w:w="140" w:type="dxa"/>
              <w:right w:w="140" w:type="dxa"/>
            </w:tcMar>
          </w:tcPr>
          <w:p>
            <w:pPr>
              <w:jc w:val="center"/>
            </w:pPr>
            <w:r>
              <w:rPr>
                <w:b/>
                <w:color w:val="FFFFFF"/>
                <w:sz w:val="19"/>
              </w:rPr>
              <w:t>Entidad / Tabla</w:t>
            </w:r>
          </w:p>
        </w:tc>
        <w:tc>
          <w:tcPr>
            <w:tcW w:type="dxa" w:w="5040"/>
            <w:shd w:fill="102C57"/>
            <w:tcMar>
              <w:top w:w="120" w:type="dxa"/>
              <w:bottom w:w="120" w:type="dxa"/>
              <w:left w:w="140" w:type="dxa"/>
              <w:right w:w="140" w:type="dxa"/>
            </w:tcMar>
          </w:tcPr>
          <w:p>
            <w:pPr>
              <w:jc w:val="center"/>
            </w:pPr>
            <w:r>
              <w:rPr>
                <w:b/>
                <w:color w:val="FFFFFF"/>
                <w:sz w:val="19"/>
              </w:rPr>
              <w:t>Función en el Sistema Hospitalario</w:t>
            </w:r>
          </w:p>
        </w:tc>
      </w:tr>
      <w:tr>
        <w:tc>
          <w:tcPr>
            <w:tcW w:type="dxa" w:w="1728"/>
            <w:shd w:fill="FFFFFF"/>
            <w:tcMar>
              <w:top w:w="90" w:type="dxa"/>
              <w:bottom w:w="90" w:type="dxa"/>
              <w:left w:w="120" w:type="dxa"/>
              <w:right w:w="120" w:type="dxa"/>
            </w:tcMar>
          </w:tcPr>
          <w:p>
            <w:pPr>
              <w:spacing w:before="20" w:after="20"/>
            </w:pPr>
            <w:r>
              <w:rPr>
                <w:sz w:val="18"/>
              </w:rPr>
              <w:t>V001</w:t>
            </w:r>
          </w:p>
        </w:tc>
        <w:tc>
          <w:tcPr>
            <w:tcW w:type="dxa" w:w="2592"/>
            <w:shd w:fill="FFFFFF"/>
            <w:tcMar>
              <w:top w:w="90" w:type="dxa"/>
              <w:bottom w:w="90" w:type="dxa"/>
              <w:left w:w="120" w:type="dxa"/>
              <w:right w:w="120" w:type="dxa"/>
            </w:tcMar>
          </w:tcPr>
          <w:p>
            <w:pPr>
              <w:spacing w:before="20" w:after="20"/>
            </w:pPr>
            <w:r>
              <w:rPr>
                <w:sz w:val="18"/>
              </w:rPr>
              <w:t>org_sedes / org_servicios</w:t>
            </w:r>
          </w:p>
        </w:tc>
        <w:tc>
          <w:tcPr>
            <w:tcW w:type="dxa" w:w="5040"/>
            <w:shd w:fill="FFFFFF"/>
            <w:tcMar>
              <w:top w:w="90" w:type="dxa"/>
              <w:bottom w:w="90" w:type="dxa"/>
              <w:left w:w="120" w:type="dxa"/>
              <w:right w:w="120" w:type="dxa"/>
            </w:tcMar>
          </w:tcPr>
          <w:p>
            <w:pPr>
              <w:spacing w:before="20" w:after="20"/>
            </w:pPr>
            <w:r>
              <w:rPr>
                <w:sz w:val="18"/>
              </w:rPr>
              <w:t>Estructura multisede de las 4 clínicas y mapeo de servicios clínicos y técnicos.</w:t>
            </w:r>
          </w:p>
        </w:tc>
      </w:tr>
      <w:tr>
        <w:tc>
          <w:tcPr>
            <w:tcW w:type="dxa" w:w="1728"/>
            <w:shd w:fill="F9FBFD"/>
            <w:tcMar>
              <w:top w:w="90" w:type="dxa"/>
              <w:bottom w:w="90" w:type="dxa"/>
              <w:left w:w="120" w:type="dxa"/>
              <w:right w:w="120" w:type="dxa"/>
            </w:tcMar>
          </w:tcPr>
          <w:p>
            <w:pPr>
              <w:spacing w:before="20" w:after="20"/>
            </w:pPr>
            <w:r>
              <w:rPr>
                <w:sz w:val="18"/>
              </w:rPr>
              <w:t>V002</w:t>
            </w:r>
          </w:p>
        </w:tc>
        <w:tc>
          <w:tcPr>
            <w:tcW w:type="dxa" w:w="2592"/>
            <w:shd w:fill="F9FBFD"/>
            <w:tcMar>
              <w:top w:w="90" w:type="dxa"/>
              <w:bottom w:w="90" w:type="dxa"/>
              <w:left w:w="120" w:type="dxa"/>
              <w:right w:w="120" w:type="dxa"/>
            </w:tcMar>
          </w:tcPr>
          <w:p>
            <w:pPr>
              <w:spacing w:before="20" w:after="20"/>
            </w:pPr>
            <w:r>
              <w:rPr>
                <w:sz w:val="18"/>
              </w:rPr>
              <w:t>sec_usuarios / sec_roles</w:t>
            </w:r>
          </w:p>
        </w:tc>
        <w:tc>
          <w:tcPr>
            <w:tcW w:type="dxa" w:w="5040"/>
            <w:shd w:fill="F9FBFD"/>
            <w:tcMar>
              <w:top w:w="90" w:type="dxa"/>
              <w:bottom w:w="90" w:type="dxa"/>
              <w:left w:w="120" w:type="dxa"/>
              <w:right w:w="120" w:type="dxa"/>
            </w:tcMar>
          </w:tcPr>
          <w:p>
            <w:pPr>
              <w:spacing w:before="20" w:after="20"/>
            </w:pPr>
            <w:r>
              <w:rPr>
                <w:sz w:val="18"/>
              </w:rPr>
              <w:t>Gestión de identidad, credenciales con Argon2id y permisos RBAC en JSON.</w:t>
            </w:r>
          </w:p>
        </w:tc>
      </w:tr>
      <w:tr>
        <w:tc>
          <w:tcPr>
            <w:tcW w:type="dxa" w:w="1728"/>
            <w:shd w:fill="FFFFFF"/>
            <w:tcMar>
              <w:top w:w="90" w:type="dxa"/>
              <w:bottom w:w="90" w:type="dxa"/>
              <w:left w:w="120" w:type="dxa"/>
              <w:right w:w="120" w:type="dxa"/>
            </w:tcMar>
          </w:tcPr>
          <w:p>
            <w:pPr>
              <w:spacing w:before="20" w:after="20"/>
            </w:pPr>
            <w:r>
              <w:rPr>
                <w:sz w:val="18"/>
              </w:rPr>
              <w:t>V003</w:t>
            </w:r>
          </w:p>
        </w:tc>
        <w:tc>
          <w:tcPr>
            <w:tcW w:type="dxa" w:w="2592"/>
            <w:shd w:fill="FFFFFF"/>
            <w:tcMar>
              <w:top w:w="90" w:type="dxa"/>
              <w:bottom w:w="90" w:type="dxa"/>
              <w:left w:w="120" w:type="dxa"/>
              <w:right w:w="120" w:type="dxa"/>
            </w:tcMar>
          </w:tcPr>
          <w:p>
            <w:pPr>
              <w:spacing w:before="20" w:after="20"/>
            </w:pPr>
            <w:r>
              <w:rPr>
                <w:sz w:val="18"/>
              </w:rPr>
              <w:t>cat_categorias / cat_sla_politicas</w:t>
            </w:r>
          </w:p>
        </w:tc>
        <w:tc>
          <w:tcPr>
            <w:tcW w:type="dxa" w:w="5040"/>
            <w:shd w:fill="FFFFFF"/>
            <w:tcMar>
              <w:top w:w="90" w:type="dxa"/>
              <w:bottom w:w="90" w:type="dxa"/>
              <w:left w:w="120" w:type="dxa"/>
              <w:right w:w="120" w:type="dxa"/>
            </w:tcMar>
          </w:tcPr>
          <w:p>
            <w:pPr>
              <w:spacing w:before="20" w:after="20"/>
            </w:pPr>
            <w:r>
              <w:rPr>
                <w:sz w:val="18"/>
              </w:rPr>
              <w:t>Catálogos de especialidades de falla y definición de tiempos MTTA/MTTR.</w:t>
            </w:r>
          </w:p>
        </w:tc>
      </w:tr>
      <w:tr>
        <w:tc>
          <w:tcPr>
            <w:tcW w:type="dxa" w:w="1728"/>
            <w:shd w:fill="F9FBFD"/>
            <w:tcMar>
              <w:top w:w="90" w:type="dxa"/>
              <w:bottom w:w="90" w:type="dxa"/>
              <w:left w:w="120" w:type="dxa"/>
              <w:right w:w="120" w:type="dxa"/>
            </w:tcMar>
          </w:tcPr>
          <w:p>
            <w:pPr>
              <w:spacing w:before="20" w:after="20"/>
            </w:pPr>
            <w:r>
              <w:rPr>
                <w:sz w:val="18"/>
              </w:rPr>
              <w:t>V004</w:t>
            </w:r>
          </w:p>
        </w:tc>
        <w:tc>
          <w:tcPr>
            <w:tcW w:type="dxa" w:w="2592"/>
            <w:shd w:fill="F9FBFD"/>
            <w:tcMar>
              <w:top w:w="90" w:type="dxa"/>
              <w:bottom w:w="90" w:type="dxa"/>
              <w:left w:w="120" w:type="dxa"/>
              <w:right w:w="120" w:type="dxa"/>
            </w:tcMar>
          </w:tcPr>
          <w:p>
            <w:pPr>
              <w:spacing w:before="20" w:after="20"/>
            </w:pPr>
            <w:r>
              <w:rPr>
                <w:sz w:val="18"/>
              </w:rPr>
              <w:t>sol_solicitudes</w:t>
            </w:r>
          </w:p>
        </w:tc>
        <w:tc>
          <w:tcPr>
            <w:tcW w:type="dxa" w:w="5040"/>
            <w:shd w:fill="F9FBFD"/>
            <w:tcMar>
              <w:top w:w="90" w:type="dxa"/>
              <w:bottom w:w="90" w:type="dxa"/>
              <w:left w:w="120" w:type="dxa"/>
              <w:right w:w="120" w:type="dxa"/>
            </w:tcMar>
          </w:tcPr>
          <w:p>
            <w:pPr>
              <w:spacing w:before="20" w:after="20"/>
            </w:pPr>
            <w:r>
              <w:rPr>
                <w:sz w:val="18"/>
              </w:rPr>
              <w:t>Tabla central con código inmutable, soporte vital y columna de versión para concurrencia.</w:t>
            </w:r>
          </w:p>
        </w:tc>
      </w:tr>
      <w:tr>
        <w:tc>
          <w:tcPr>
            <w:tcW w:type="dxa" w:w="1728"/>
            <w:shd w:fill="FFFFFF"/>
            <w:tcMar>
              <w:top w:w="90" w:type="dxa"/>
              <w:bottom w:w="90" w:type="dxa"/>
              <w:left w:w="120" w:type="dxa"/>
              <w:right w:w="120" w:type="dxa"/>
            </w:tcMar>
          </w:tcPr>
          <w:p>
            <w:pPr>
              <w:spacing w:before="20" w:after="20"/>
            </w:pPr>
            <w:r>
              <w:rPr>
                <w:sz w:val="18"/>
              </w:rPr>
              <w:t>V005</w:t>
            </w:r>
          </w:p>
        </w:tc>
        <w:tc>
          <w:tcPr>
            <w:tcW w:type="dxa" w:w="2592"/>
            <w:shd w:fill="FFFFFF"/>
            <w:tcMar>
              <w:top w:w="90" w:type="dxa"/>
              <w:bottom w:w="90" w:type="dxa"/>
              <w:left w:w="120" w:type="dxa"/>
              <w:right w:w="120" w:type="dxa"/>
            </w:tcMar>
          </w:tcPr>
          <w:p>
            <w:pPr>
              <w:spacing w:before="20" w:after="20"/>
            </w:pPr>
            <w:r>
              <w:rPr>
                <w:sz w:val="18"/>
              </w:rPr>
              <w:t>sol_historial_estados</w:t>
            </w:r>
          </w:p>
        </w:tc>
        <w:tc>
          <w:tcPr>
            <w:tcW w:type="dxa" w:w="5040"/>
            <w:shd w:fill="FFFFFF"/>
            <w:tcMar>
              <w:top w:w="90" w:type="dxa"/>
              <w:bottom w:w="90" w:type="dxa"/>
              <w:left w:w="120" w:type="dxa"/>
              <w:right w:w="120" w:type="dxa"/>
            </w:tcMar>
          </w:tcPr>
          <w:p>
            <w:pPr>
              <w:spacing w:before="20" w:after="20"/>
            </w:pPr>
            <w:r>
              <w:rPr>
                <w:sz w:val="18"/>
              </w:rPr>
              <w:t>Pista de auditoría (Audit Trail) inmutable append-only sin borrado físico.</w:t>
            </w:r>
          </w:p>
        </w:tc>
      </w:tr>
      <w:tr>
        <w:tc>
          <w:tcPr>
            <w:tcW w:type="dxa" w:w="1728"/>
            <w:shd w:fill="F9FBFD"/>
            <w:tcMar>
              <w:top w:w="90" w:type="dxa"/>
              <w:bottom w:w="90" w:type="dxa"/>
              <w:left w:w="120" w:type="dxa"/>
              <w:right w:w="120" w:type="dxa"/>
            </w:tcMar>
          </w:tcPr>
          <w:p>
            <w:pPr>
              <w:spacing w:before="20" w:after="20"/>
            </w:pPr>
            <w:r>
              <w:rPr>
                <w:sz w:val="18"/>
              </w:rPr>
              <w:t>V006</w:t>
            </w:r>
          </w:p>
        </w:tc>
        <w:tc>
          <w:tcPr>
            <w:tcW w:type="dxa" w:w="2592"/>
            <w:shd w:fill="F9FBFD"/>
            <w:tcMar>
              <w:top w:w="90" w:type="dxa"/>
              <w:bottom w:w="90" w:type="dxa"/>
              <w:left w:w="120" w:type="dxa"/>
              <w:right w:w="120" w:type="dxa"/>
            </w:tcMar>
          </w:tcPr>
          <w:p>
            <w:pPr>
              <w:spacing w:before="20" w:after="20"/>
            </w:pPr>
            <w:r>
              <w:rPr>
                <w:sz w:val="18"/>
              </w:rPr>
              <w:t>ops_outbox_eventos</w:t>
            </w:r>
          </w:p>
        </w:tc>
        <w:tc>
          <w:tcPr>
            <w:tcW w:type="dxa" w:w="5040"/>
            <w:shd w:fill="F9FBFD"/>
            <w:tcMar>
              <w:top w:w="90" w:type="dxa"/>
              <w:bottom w:w="90" w:type="dxa"/>
              <w:left w:w="120" w:type="dxa"/>
              <w:right w:w="120" w:type="dxa"/>
            </w:tcMar>
          </w:tcPr>
          <w:p>
            <w:pPr>
              <w:spacing w:before="20" w:after="20"/>
            </w:pPr>
            <w:r>
              <w:rPr>
                <w:sz w:val="18"/>
              </w:rPr>
              <w:t>Transactional Outbox para publicación desacoplada de eventos hacia el motor de SLAs.</w:t>
            </w:r>
          </w:p>
        </w:tc>
      </w:tr>
      <w:tr>
        <w:tc>
          <w:tcPr>
            <w:tcW w:type="dxa" w:w="1728"/>
            <w:shd w:fill="FFFFFF"/>
            <w:tcMar>
              <w:top w:w="90" w:type="dxa"/>
              <w:bottom w:w="90" w:type="dxa"/>
              <w:left w:w="120" w:type="dxa"/>
              <w:right w:w="120" w:type="dxa"/>
            </w:tcMar>
          </w:tcPr>
          <w:p>
            <w:pPr>
              <w:spacing w:before="20" w:after="20"/>
            </w:pPr>
            <w:r>
              <w:rPr>
                <w:sz w:val="18"/>
              </w:rPr>
              <w:t>V007</w:t>
            </w:r>
          </w:p>
        </w:tc>
        <w:tc>
          <w:tcPr>
            <w:tcW w:type="dxa" w:w="2592"/>
            <w:shd w:fill="FFFFFF"/>
            <w:tcMar>
              <w:top w:w="90" w:type="dxa"/>
              <w:bottom w:w="90" w:type="dxa"/>
              <w:left w:w="120" w:type="dxa"/>
              <w:right w:w="120" w:type="dxa"/>
            </w:tcMar>
          </w:tcPr>
          <w:p>
            <w:pPr>
              <w:spacing w:before="20" w:after="20"/>
            </w:pPr>
            <w:r>
              <w:rPr>
                <w:sz w:val="18"/>
              </w:rPr>
              <w:t>ops_idempotencia</w:t>
            </w:r>
          </w:p>
        </w:tc>
        <w:tc>
          <w:tcPr>
            <w:tcW w:type="dxa" w:w="5040"/>
            <w:shd w:fill="FFFFFF"/>
            <w:tcMar>
              <w:top w:w="90" w:type="dxa"/>
              <w:bottom w:w="90" w:type="dxa"/>
              <w:left w:w="120" w:type="dxa"/>
              <w:right w:w="120" w:type="dxa"/>
            </w:tcMar>
          </w:tcPr>
          <w:p>
            <w:pPr>
              <w:spacing w:before="20" w:after="20"/>
            </w:pPr>
            <w:r>
              <w:rPr>
                <w:sz w:val="18"/>
              </w:rPr>
              <w:t>Control de claves de idempotencia UUID para tolerar desconexiones de red asistencial.</w:t>
            </w:r>
          </w:p>
        </w:tc>
      </w:tr>
      <w:tr>
        <w:tc>
          <w:tcPr>
            <w:tcW w:type="dxa" w:w="1728"/>
            <w:shd w:fill="F9FBFD"/>
            <w:tcMar>
              <w:top w:w="90" w:type="dxa"/>
              <w:bottom w:w="90" w:type="dxa"/>
              <w:left w:w="120" w:type="dxa"/>
              <w:right w:w="120" w:type="dxa"/>
            </w:tcMar>
          </w:tcPr>
          <w:p>
            <w:pPr>
              <w:spacing w:before="20" w:after="20"/>
            </w:pPr>
            <w:r>
              <w:rPr>
                <w:sz w:val="18"/>
              </w:rPr>
              <w:t>V008</w:t>
            </w:r>
          </w:p>
        </w:tc>
        <w:tc>
          <w:tcPr>
            <w:tcW w:type="dxa" w:w="2592"/>
            <w:shd w:fill="F9FBFD"/>
            <w:tcMar>
              <w:top w:w="90" w:type="dxa"/>
              <w:bottom w:w="90" w:type="dxa"/>
              <w:left w:w="120" w:type="dxa"/>
              <w:right w:w="120" w:type="dxa"/>
            </w:tcMar>
          </w:tcPr>
          <w:p>
            <w:pPr>
              <w:spacing w:before="20" w:after="20"/>
            </w:pPr>
            <w:r>
              <w:rPr>
                <w:sz w:val="18"/>
              </w:rPr>
              <w:t>Semillas y Catálogos</w:t>
            </w:r>
          </w:p>
        </w:tc>
        <w:tc>
          <w:tcPr>
            <w:tcW w:type="dxa" w:w="5040"/>
            <w:shd w:fill="F9FBFD"/>
            <w:tcMar>
              <w:top w:w="90" w:type="dxa"/>
              <w:bottom w:w="90" w:type="dxa"/>
              <w:left w:w="120" w:type="dxa"/>
              <w:right w:w="120" w:type="dxa"/>
            </w:tcMar>
          </w:tcPr>
          <w:p>
            <w:pPr>
              <w:spacing w:before="20" w:after="20"/>
            </w:pPr>
            <w:r>
              <w:rPr>
                <w:sz w:val="18"/>
              </w:rPr>
              <w:t>Población inicial de sedes, servicios clínicos, usuarios y políticas de SLA.</w:t>
            </w:r>
          </w:p>
        </w:tc>
      </w:tr>
    </w:tbl>
    <w:p>
      <w:pPr>
        <w:pStyle w:val="Heading2"/>
        <w:keepNext/>
        <w:spacing w:before="280" w:after="120"/>
      </w:pPr>
      <w:r>
        <w:rPr>
          <w:b/>
          <w:color w:val="1C5094"/>
          <w:sz w:val="26"/>
        </w:rPr>
        <w:t>3.2. Fragmento DDL Clave Generado por el Agente (DDL V004 - Concurrencia e Inmutabilidad)</w:t>
      </w:r>
    </w:p>
    <w:tbl>
      <w:tblPr>
        <w:tblW w:type="auto" w:w="0"/>
        <w:jc w:val="center"/>
        <w:tblLook w:firstColumn="1" w:firstRow="1" w:lastColumn="0" w:lastRow="0" w:noHBand="0" w:noVBand="1" w:val="04A0"/>
      </w:tblPr>
      <w:tblGrid>
        <w:gridCol w:w="9360"/>
      </w:tblGrid>
      <w:tr>
        <w:tc>
          <w:tcPr>
            <w:tcW w:type="dxa" w:w="9360"/>
            <w:shd w:fill="2B303A"/>
            <w:tcMar>
              <w:top w:w="120" w:type="dxa"/>
              <w:bottom w:w="120" w:type="dxa"/>
              <w:left w:w="180" w:type="dxa"/>
              <w:right w:w="180" w:type="dxa"/>
            </w:tcMar>
          </w:tcPr>
          <w:p>
            <w:pPr>
              <w:spacing w:before="0" w:after="0"/>
            </w:pPr>
            <w:r>
              <w:rPr>
                <w:rFonts w:ascii="Consolas" w:hAnsi="Consolas"/>
                <w:color w:val="F0F0F0"/>
                <w:sz w:val="17"/>
              </w:rPr>
              <w:t>CREATE TABLE sol_solicitudes (</w:t>
              <w:br/>
              <w:t xml:space="preserve">    id BIGINT UNSIGNED AUTO_INCREMENT PRIMARY KEY,</w:t>
              <w:br/>
              <w:t xml:space="preserve">    codigo_correlativo VARCHAR(32) NOT NULL UNIQUE,</w:t>
              <w:br/>
              <w:t xml:space="preserve">    sede_id INT UNSIGNED NOT NULL,</w:t>
              <w:br/>
              <w:t xml:space="preserve">    servicio_origen_id INT UNSIGNED NOT NULL,</w:t>
              <w:br/>
              <w:t xml:space="preserve">    servicio_destino_id INT UNSIGNED NOT NULL,</w:t>
              <w:br/>
              <w:t xml:space="preserve">    categoria_id INT UNSIGNED NOT NULL,</w:t>
              <w:br/>
              <w:t xml:space="preserve">    solicitante_id BIGINT UNSIGNED NOT NULL,</w:t>
              <w:br/>
              <w:t xml:space="preserve">    nivel_prioridad ENUM('BAJA','MEDIA','ALTA','CRITICA') NOT NULL,</w:t>
              <w:br/>
              <w:t xml:space="preserve">    es_soporte_vital TINYINT(1) NOT NULL DEFAULT 0,</w:t>
              <w:br/>
              <w:t xml:space="preserve">    descripcion_falla TEXT NOT NULL,</w:t>
              <w:br/>
              <w:t xml:space="preserve">    estado_actual VARCHAR(32) NOT NULL DEFAULT 'RADICADA',</w:t>
              <w:br/>
              <w:t xml:space="preserve">    version INT UNSIGNED NOT NULL DEFAULT 1,</w:t>
              <w:br/>
              <w:t xml:space="preserve">    creado_en TIMESTAMP DEFAULT CURRENT_TIMESTAMP,</w:t>
              <w:br/>
              <w:t xml:space="preserve">    actualizado_en TIMESTAMP DEFAULT CURRENT_TIMESTAMP ON UPDATE CURRENT_TIMESTAMP,</w:t>
              <w:br/>
              <w:t xml:space="preserve">    INDEX idx_sol_estado_prioridad (estado_actual, nivel_prioridad),</w:t>
              <w:br/>
              <w:t xml:space="preserve">    INDEX idx_sol_sede_fecha (sede_id, creado_en),</w:t>
              <w:br/>
              <w:t xml:space="preserve">    CONSTRAINT fk_sol_sede FOREIGN KEY (sede_id) REFERENCES org_sedes(id)</w:t>
              <w:br/>
              <w:t>) ENGINE=InnoDB DEFAULT CHARSET=utf8mb4;</w:t>
              <w:br/>
              <w:br/>
              <w:t>-- Regla de Inmutabilidad (Zero-Physical-Delete):</w:t>
              <w:br/>
              <w:t>REVOKE DELETE ON s3ih_db.sol_solicitudes FROM 'app_user'@'%';</w:t>
              <w:br/>
              <w:t>REVOKE DELETE ON s3ih_db.sol_historial_estados FROM 'app_user'@'%';</w:t>
            </w:r>
          </w:p>
        </w:tc>
      </w:tr>
    </w:tbl>
    <w:p>
      <w:pPr>
        <w:spacing w:after="80"/>
      </w:pPr>
    </w:p>
    <w:p>
      <w:pPr>
        <w:pStyle w:val="Heading2"/>
        <w:keepNext/>
        <w:spacing w:before="280" w:after="120"/>
      </w:pPr>
      <w:r>
        <w:rPr>
          <w:b/>
          <w:color w:val="1C5094"/>
          <w:sz w:val="26"/>
        </w:rPr>
        <w:t>3.3. Conclusión de la Práctica Nº 1</w:t>
      </w:r>
    </w:p>
    <w:p>
      <w:r>
        <w:t>La implementación de la base de datos para el S3IH demostró cómo la intervención guiada de un agente especializado permite traducir rigurosamente los requerimientos funcionales clínicos y los atributos de calidad (ACID, concurrencia optimista, inmutabilidad y resiliencia) en un esquema relacional normalizado y de alto rendimiento. Mediante la generación y ejecución secuencial de las migraciones SQL (V001 a V008), se consolidaron mecanismos críticos como la trazabilidad estricta y pistas de auditoría append-only sin borrado físico (REVOKE DELETE), el desacoplamiento transaccional mediante Transactional Outbox para el motor de SLA, y la protección de datos sensibles con cumplimiento Zero-PHI; garantizando una persistencia robusta, segura y auditable capaz de soportar la operación ininterrumpida de soporte vital en las cuatro sedes hospitalarias.</w:t>
      </w:r>
    </w:p>
    <w:p>
      <w:r>
        <w:br w:type="page"/>
      </w:r>
    </w:p>
    <w:p>
      <w:pPr>
        <w:pStyle w:val="Heading1"/>
        <w:keepNext/>
        <w:spacing w:before="280" w:after="120"/>
      </w:pPr>
      <w:r>
        <w:rPr>
          <w:b/>
          <w:color w:val="102C57"/>
          <w:sz w:val="34"/>
        </w:rPr>
        <w:t>PRÁCTICA Nº 2: DESARROLLO BACKEND Y DESARROLLO DE API REST</w:t>
      </w:r>
    </w:p>
    <w:p>
      <w:r>
        <w:t>A partir del requerimiento RF-004 (Radicación de Solicitudes) y RF-005 (Transiciones de Estado FSM), se implementó la arquitectura backend completa y los endpoints de la API REST utilizando PHP puro con el patrón MVC orientado al dominio y persistencia PDO.</w:t>
      </w:r>
    </w:p>
    <w:p>
      <w:pPr>
        <w:pStyle w:val="Heading2"/>
        <w:keepNext/>
        <w:spacing w:before="280" w:after="120"/>
      </w:pPr>
      <w:r>
        <w:rPr>
          <w:b/>
          <w:color w:val="1C5094"/>
          <w:sz w:val="26"/>
        </w:rPr>
        <w:t>4.1. Endpoints de la API Implementados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02C57"/>
            <w:tcMar>
              <w:top w:w="120" w:type="dxa"/>
              <w:bottom w:w="120" w:type="dxa"/>
              <w:left w:w="140" w:type="dxa"/>
              <w:right w:w="140" w:type="dxa"/>
            </w:tcMar>
          </w:tcPr>
          <w:p>
            <w:pPr>
              <w:jc w:val="center"/>
            </w:pPr>
            <w:r>
              <w:rPr>
                <w:b/>
                <w:color w:val="FFFFFF"/>
                <w:sz w:val="19"/>
              </w:rPr>
              <w:t>Método</w:t>
            </w:r>
          </w:p>
        </w:tc>
        <w:tc>
          <w:tcPr>
            <w:tcW w:type="dxa" w:w="2592"/>
            <w:shd w:fill="102C57"/>
            <w:tcMar>
              <w:top w:w="120" w:type="dxa"/>
              <w:bottom w:w="120" w:type="dxa"/>
              <w:left w:w="140" w:type="dxa"/>
              <w:right w:w="140" w:type="dxa"/>
            </w:tcMar>
          </w:tcPr>
          <w:p>
            <w:pPr>
              <w:jc w:val="center"/>
            </w:pPr>
            <w:r>
              <w:rPr>
                <w:b/>
                <w:color w:val="FFFFFF"/>
                <w:sz w:val="19"/>
              </w:rPr>
              <w:t>Endpoint</w:t>
            </w:r>
          </w:p>
        </w:tc>
        <w:tc>
          <w:tcPr>
            <w:tcW w:type="dxa" w:w="2880"/>
            <w:shd w:fill="102C57"/>
            <w:tcMar>
              <w:top w:w="120" w:type="dxa"/>
              <w:bottom w:w="120" w:type="dxa"/>
              <w:left w:w="140" w:type="dxa"/>
              <w:right w:w="140" w:type="dxa"/>
            </w:tcMar>
          </w:tcPr>
          <w:p>
            <w:pPr>
              <w:jc w:val="center"/>
            </w:pPr>
            <w:r>
              <w:rPr>
                <w:b/>
                <w:color w:val="FFFFFF"/>
                <w:sz w:val="19"/>
              </w:rPr>
              <w:t>Acción Funcional</w:t>
            </w:r>
          </w:p>
        </w:tc>
        <w:tc>
          <w:tcPr>
            <w:tcW w:type="dxa" w:w="1584"/>
            <w:shd w:fill="102C57"/>
            <w:tcMar>
              <w:top w:w="120" w:type="dxa"/>
              <w:bottom w:w="120" w:type="dxa"/>
              <w:left w:w="140" w:type="dxa"/>
              <w:right w:w="140" w:type="dxa"/>
            </w:tcMar>
          </w:tcPr>
          <w:p>
            <w:pPr>
              <w:jc w:val="center"/>
            </w:pPr>
            <w:r>
              <w:rPr>
                <w:b/>
                <w:color w:val="FFFFFF"/>
                <w:sz w:val="19"/>
              </w:rPr>
              <w:t>Operación SQL</w:t>
            </w:r>
          </w:p>
        </w:tc>
        <w:tc>
          <w:tcPr>
            <w:tcW w:type="dxa" w:w="1152"/>
            <w:shd w:fill="102C57"/>
            <w:tcMar>
              <w:top w:w="120" w:type="dxa"/>
              <w:bottom w:w="120" w:type="dxa"/>
              <w:left w:w="140" w:type="dxa"/>
              <w:right w:w="140" w:type="dxa"/>
            </w:tcMar>
          </w:tcPr>
          <w:p>
            <w:pPr>
              <w:jc w:val="center"/>
            </w:pPr>
            <w:r>
              <w:rPr>
                <w:b/>
                <w:color w:val="FFFFFF"/>
                <w:sz w:val="19"/>
              </w:rPr>
              <w:t>Código HTTP</w:t>
            </w:r>
          </w:p>
        </w:tc>
      </w:tr>
      <w:tr>
        <w:tc>
          <w:tcPr>
            <w:tcW w:type="dxa" w:w="1152"/>
            <w:shd w:fill="FFFFFF"/>
            <w:tcMar>
              <w:top w:w="90" w:type="dxa"/>
              <w:bottom w:w="90" w:type="dxa"/>
              <w:left w:w="120" w:type="dxa"/>
              <w:right w:w="120" w:type="dxa"/>
            </w:tcMar>
          </w:tcPr>
          <w:p>
            <w:pPr>
              <w:spacing w:before="20" w:after="20"/>
            </w:pPr>
            <w:r>
              <w:rPr>
                <w:sz w:val="18"/>
              </w:rPr>
              <w:t>POST</w:t>
            </w:r>
          </w:p>
        </w:tc>
        <w:tc>
          <w:tcPr>
            <w:tcW w:type="dxa" w:w="2592"/>
            <w:shd w:fill="FFFFFF"/>
            <w:tcMar>
              <w:top w:w="90" w:type="dxa"/>
              <w:bottom w:w="90" w:type="dxa"/>
              <w:left w:w="120" w:type="dxa"/>
              <w:right w:w="120" w:type="dxa"/>
            </w:tcMar>
          </w:tcPr>
          <w:p>
            <w:pPr>
              <w:spacing w:before="20" w:after="20"/>
            </w:pPr>
            <w:r>
              <w:rPr>
                <w:sz w:val="18"/>
              </w:rPr>
              <w:t>/api/solicitudes</w:t>
            </w:r>
          </w:p>
        </w:tc>
        <w:tc>
          <w:tcPr>
            <w:tcW w:type="dxa" w:w="2880"/>
            <w:shd w:fill="FFFFFF"/>
            <w:tcMar>
              <w:top w:w="90" w:type="dxa"/>
              <w:bottom w:w="90" w:type="dxa"/>
              <w:left w:w="120" w:type="dxa"/>
              <w:right w:w="120" w:type="dxa"/>
            </w:tcMar>
          </w:tcPr>
          <w:p>
            <w:pPr>
              <w:spacing w:before="20" w:after="20"/>
            </w:pPr>
            <w:r>
              <w:rPr>
                <w:sz w:val="18"/>
              </w:rPr>
              <w:t>Radicación de requerimiento con validación Zero-PHI.</w:t>
            </w:r>
          </w:p>
        </w:tc>
        <w:tc>
          <w:tcPr>
            <w:tcW w:type="dxa" w:w="1584"/>
            <w:shd w:fill="FFFFFF"/>
            <w:tcMar>
              <w:top w:w="90" w:type="dxa"/>
              <w:bottom w:w="90" w:type="dxa"/>
              <w:left w:w="120" w:type="dxa"/>
              <w:right w:w="120" w:type="dxa"/>
            </w:tcMar>
          </w:tcPr>
          <w:p>
            <w:pPr>
              <w:spacing w:before="20" w:after="20"/>
            </w:pPr>
            <w:r>
              <w:rPr>
                <w:sz w:val="18"/>
              </w:rPr>
              <w:t>INSERT (transaccional)</w:t>
            </w:r>
          </w:p>
        </w:tc>
        <w:tc>
          <w:tcPr>
            <w:tcW w:type="dxa" w:w="1152"/>
            <w:shd w:fill="FFFFFF"/>
            <w:tcMar>
              <w:top w:w="90" w:type="dxa"/>
              <w:bottom w:w="90" w:type="dxa"/>
              <w:left w:w="120" w:type="dxa"/>
              <w:right w:w="120" w:type="dxa"/>
            </w:tcMar>
          </w:tcPr>
          <w:p>
            <w:pPr>
              <w:spacing w:before="20" w:after="20"/>
            </w:pPr>
            <w:r>
              <w:rPr>
                <w:sz w:val="18"/>
              </w:rPr>
              <w:t>201 Created</w:t>
            </w:r>
          </w:p>
        </w:tc>
      </w:tr>
      <w:tr>
        <w:tc>
          <w:tcPr>
            <w:tcW w:type="dxa" w:w="1152"/>
            <w:shd w:fill="F9FBFD"/>
            <w:tcMar>
              <w:top w:w="90" w:type="dxa"/>
              <w:bottom w:w="90" w:type="dxa"/>
              <w:left w:w="120" w:type="dxa"/>
              <w:right w:w="120" w:type="dxa"/>
            </w:tcMar>
          </w:tcPr>
          <w:p>
            <w:pPr>
              <w:spacing w:before="20" w:after="20"/>
            </w:pPr>
            <w:r>
              <w:rPr>
                <w:sz w:val="18"/>
              </w:rPr>
              <w:t>GET</w:t>
            </w:r>
          </w:p>
        </w:tc>
        <w:tc>
          <w:tcPr>
            <w:tcW w:type="dxa" w:w="2592"/>
            <w:shd w:fill="F9FBFD"/>
            <w:tcMar>
              <w:top w:w="90" w:type="dxa"/>
              <w:bottom w:w="90" w:type="dxa"/>
              <w:left w:w="120" w:type="dxa"/>
              <w:right w:w="120" w:type="dxa"/>
            </w:tcMar>
          </w:tcPr>
          <w:p>
            <w:pPr>
              <w:spacing w:before="20" w:after="20"/>
            </w:pPr>
            <w:r>
              <w:rPr>
                <w:sz w:val="18"/>
              </w:rPr>
              <w:t>/api/solicitudes</w:t>
            </w:r>
          </w:p>
        </w:tc>
        <w:tc>
          <w:tcPr>
            <w:tcW w:type="dxa" w:w="2880"/>
            <w:shd w:fill="F9FBFD"/>
            <w:tcMar>
              <w:top w:w="90" w:type="dxa"/>
              <w:bottom w:w="90" w:type="dxa"/>
              <w:left w:w="120" w:type="dxa"/>
              <w:right w:w="120" w:type="dxa"/>
            </w:tcMar>
          </w:tcPr>
          <w:p>
            <w:pPr>
              <w:spacing w:before="20" w:after="20"/>
            </w:pPr>
            <w:r>
              <w:rPr>
                <w:sz w:val="18"/>
              </w:rPr>
              <w:t>Listado paginado de solicitudes por sede y estado.</w:t>
            </w:r>
          </w:p>
        </w:tc>
        <w:tc>
          <w:tcPr>
            <w:tcW w:type="dxa" w:w="1584"/>
            <w:shd w:fill="F9FBFD"/>
            <w:tcMar>
              <w:top w:w="90" w:type="dxa"/>
              <w:bottom w:w="90" w:type="dxa"/>
              <w:left w:w="120" w:type="dxa"/>
              <w:right w:w="120" w:type="dxa"/>
            </w:tcMar>
          </w:tcPr>
          <w:p>
            <w:pPr>
              <w:spacing w:before="20" w:after="20"/>
            </w:pPr>
            <w:r>
              <w:rPr>
                <w:sz w:val="18"/>
              </w:rPr>
              <w:t>SELECT (con JOINs)</w:t>
            </w:r>
          </w:p>
        </w:tc>
        <w:tc>
          <w:tcPr>
            <w:tcW w:type="dxa" w:w="1152"/>
            <w:shd w:fill="F9FBFD"/>
            <w:tcMar>
              <w:top w:w="90" w:type="dxa"/>
              <w:bottom w:w="90" w:type="dxa"/>
              <w:left w:w="120" w:type="dxa"/>
              <w:right w:w="120" w:type="dxa"/>
            </w:tcMar>
          </w:tcPr>
          <w:p>
            <w:pPr>
              <w:spacing w:before="20" w:after="20"/>
            </w:pPr>
            <w:r>
              <w:rPr>
                <w:sz w:val="18"/>
              </w:rPr>
              <w:t>200 OK</w:t>
            </w:r>
          </w:p>
        </w:tc>
      </w:tr>
      <w:tr>
        <w:tc>
          <w:tcPr>
            <w:tcW w:type="dxa" w:w="1152"/>
            <w:shd w:fill="FFFFFF"/>
            <w:tcMar>
              <w:top w:w="90" w:type="dxa"/>
              <w:bottom w:w="90" w:type="dxa"/>
              <w:left w:w="120" w:type="dxa"/>
              <w:right w:w="120" w:type="dxa"/>
            </w:tcMar>
          </w:tcPr>
          <w:p>
            <w:pPr>
              <w:spacing w:before="20" w:after="20"/>
            </w:pPr>
            <w:r>
              <w:rPr>
                <w:sz w:val="18"/>
              </w:rPr>
              <w:t>GET</w:t>
            </w:r>
          </w:p>
        </w:tc>
        <w:tc>
          <w:tcPr>
            <w:tcW w:type="dxa" w:w="2592"/>
            <w:shd w:fill="FFFFFF"/>
            <w:tcMar>
              <w:top w:w="90" w:type="dxa"/>
              <w:bottom w:w="90" w:type="dxa"/>
              <w:left w:w="120" w:type="dxa"/>
              <w:right w:w="120" w:type="dxa"/>
            </w:tcMar>
          </w:tcPr>
          <w:p>
            <w:pPr>
              <w:spacing w:before="20" w:after="20"/>
            </w:pPr>
            <w:r>
              <w:rPr>
                <w:sz w:val="18"/>
              </w:rPr>
              <w:t>/api/solicitudes/{id}</w:t>
            </w:r>
          </w:p>
        </w:tc>
        <w:tc>
          <w:tcPr>
            <w:tcW w:type="dxa" w:w="2880"/>
            <w:shd w:fill="FFFFFF"/>
            <w:tcMar>
              <w:top w:w="90" w:type="dxa"/>
              <w:bottom w:w="90" w:type="dxa"/>
              <w:left w:w="120" w:type="dxa"/>
              <w:right w:w="120" w:type="dxa"/>
            </w:tcMar>
          </w:tcPr>
          <w:p>
            <w:pPr>
              <w:spacing w:before="20" w:after="20"/>
            </w:pPr>
            <w:r>
              <w:rPr>
                <w:sz w:val="18"/>
              </w:rPr>
              <w:t>Detalle técnico y línea de tiempo (Audit Trail).</w:t>
            </w:r>
          </w:p>
        </w:tc>
        <w:tc>
          <w:tcPr>
            <w:tcW w:type="dxa" w:w="1584"/>
            <w:shd w:fill="FFFFFF"/>
            <w:tcMar>
              <w:top w:w="90" w:type="dxa"/>
              <w:bottom w:w="90" w:type="dxa"/>
              <w:left w:w="120" w:type="dxa"/>
              <w:right w:w="120" w:type="dxa"/>
            </w:tcMar>
          </w:tcPr>
          <w:p>
            <w:pPr>
              <w:spacing w:before="20" w:after="20"/>
            </w:pPr>
            <w:r>
              <w:rPr>
                <w:sz w:val="18"/>
              </w:rPr>
              <w:t>SELECT (id + historial)</w:t>
            </w:r>
          </w:p>
        </w:tc>
        <w:tc>
          <w:tcPr>
            <w:tcW w:type="dxa" w:w="1152"/>
            <w:shd w:fill="FFFFFF"/>
            <w:tcMar>
              <w:top w:w="90" w:type="dxa"/>
              <w:bottom w:w="90" w:type="dxa"/>
              <w:left w:w="120" w:type="dxa"/>
              <w:right w:w="120" w:type="dxa"/>
            </w:tcMar>
          </w:tcPr>
          <w:p>
            <w:pPr>
              <w:spacing w:before="20" w:after="20"/>
            </w:pPr>
            <w:r>
              <w:rPr>
                <w:sz w:val="18"/>
              </w:rPr>
              <w:t>200 OK</w:t>
            </w:r>
          </w:p>
        </w:tc>
      </w:tr>
      <w:tr>
        <w:tc>
          <w:tcPr>
            <w:tcW w:type="dxa" w:w="1152"/>
            <w:shd w:fill="F9FBFD"/>
            <w:tcMar>
              <w:top w:w="90" w:type="dxa"/>
              <w:bottom w:w="90" w:type="dxa"/>
              <w:left w:w="120" w:type="dxa"/>
              <w:right w:w="120" w:type="dxa"/>
            </w:tcMar>
          </w:tcPr>
          <w:p>
            <w:pPr>
              <w:spacing w:before="20" w:after="20"/>
            </w:pPr>
            <w:r>
              <w:rPr>
                <w:sz w:val="18"/>
              </w:rPr>
              <w:t>PUT</w:t>
            </w:r>
          </w:p>
        </w:tc>
        <w:tc>
          <w:tcPr>
            <w:tcW w:type="dxa" w:w="2592"/>
            <w:shd w:fill="F9FBFD"/>
            <w:tcMar>
              <w:top w:w="90" w:type="dxa"/>
              <w:bottom w:w="90" w:type="dxa"/>
              <w:left w:w="120" w:type="dxa"/>
              <w:right w:w="120" w:type="dxa"/>
            </w:tcMar>
          </w:tcPr>
          <w:p>
            <w:pPr>
              <w:spacing w:before="20" w:after="20"/>
            </w:pPr>
            <w:r>
              <w:rPr>
                <w:sz w:val="18"/>
              </w:rPr>
              <w:t>/api/solicitudes/{id}/estado</w:t>
            </w:r>
          </w:p>
        </w:tc>
        <w:tc>
          <w:tcPr>
            <w:tcW w:type="dxa" w:w="2880"/>
            <w:shd w:fill="F9FBFD"/>
            <w:tcMar>
              <w:top w:w="90" w:type="dxa"/>
              <w:bottom w:w="90" w:type="dxa"/>
              <w:left w:w="120" w:type="dxa"/>
              <w:right w:w="120" w:type="dxa"/>
            </w:tcMar>
          </w:tcPr>
          <w:p>
            <w:pPr>
              <w:spacing w:before="20" w:after="20"/>
            </w:pPr>
            <w:r>
              <w:rPr>
                <w:sz w:val="18"/>
              </w:rPr>
              <w:t>Transición FSM con concurrencia optimista (version).</w:t>
            </w:r>
          </w:p>
        </w:tc>
        <w:tc>
          <w:tcPr>
            <w:tcW w:type="dxa" w:w="1584"/>
            <w:shd w:fill="F9FBFD"/>
            <w:tcMar>
              <w:top w:w="90" w:type="dxa"/>
              <w:bottom w:w="90" w:type="dxa"/>
              <w:left w:w="120" w:type="dxa"/>
              <w:right w:w="120" w:type="dxa"/>
            </w:tcMar>
          </w:tcPr>
          <w:p>
            <w:pPr>
              <w:spacing w:before="20" w:after="20"/>
            </w:pPr>
            <w:r>
              <w:rPr>
                <w:sz w:val="18"/>
              </w:rPr>
              <w:t>UPDATE + INSERT</w:t>
            </w:r>
          </w:p>
        </w:tc>
        <w:tc>
          <w:tcPr>
            <w:tcW w:type="dxa" w:w="1152"/>
            <w:shd w:fill="F9FBFD"/>
            <w:tcMar>
              <w:top w:w="90" w:type="dxa"/>
              <w:bottom w:w="90" w:type="dxa"/>
              <w:left w:w="120" w:type="dxa"/>
              <w:right w:w="120" w:type="dxa"/>
            </w:tcMar>
          </w:tcPr>
          <w:p>
            <w:pPr>
              <w:spacing w:before="20" w:after="20"/>
            </w:pPr>
            <w:r>
              <w:rPr>
                <w:sz w:val="18"/>
              </w:rPr>
              <w:t>200 OK / 409</w:t>
            </w:r>
          </w:p>
        </w:tc>
      </w:tr>
    </w:tbl>
    <w:p>
      <w:pPr>
        <w:pStyle w:val="Heading2"/>
        <w:keepNext/>
        <w:spacing w:before="280" w:after="120"/>
      </w:pPr>
      <w:r>
        <w:rPr>
          <w:b/>
          <w:color w:val="1C5094"/>
          <w:sz w:val="26"/>
        </w:rPr>
        <w:t>4.2. Implementación de Acceso a Datos Transaccional (SolicitudRepository.php)</w:t>
      </w:r>
    </w:p>
    <w:tbl>
      <w:tblPr>
        <w:tblW w:type="auto" w:w="0"/>
        <w:jc w:val="center"/>
        <w:tblLook w:firstColumn="1" w:firstRow="1" w:lastColumn="0" w:lastRow="0" w:noHBand="0" w:noVBand="1" w:val="04A0"/>
      </w:tblPr>
      <w:tblGrid>
        <w:gridCol w:w="9360"/>
      </w:tblGrid>
      <w:tr>
        <w:tc>
          <w:tcPr>
            <w:tcW w:type="dxa" w:w="9360"/>
            <w:shd w:fill="2B303A"/>
            <w:tcMar>
              <w:top w:w="120" w:type="dxa"/>
              <w:bottom w:w="120" w:type="dxa"/>
              <w:left w:w="180" w:type="dxa"/>
              <w:right w:w="180" w:type="dxa"/>
            </w:tcMar>
          </w:tcPr>
          <w:p>
            <w:pPr>
              <w:spacing w:before="0" w:after="0"/>
            </w:pPr>
            <w:r>
              <w:rPr>
                <w:rFonts w:ascii="Consolas" w:hAnsi="Consolas"/>
                <w:color w:val="F0F0F0"/>
                <w:sz w:val="17"/>
              </w:rPr>
              <w:t>public function insertarSolicitudConHistorial(array $solicitud, array $historial, array $outbox): int {</w:t>
              <w:br/>
              <w:t xml:space="preserve">    $this-&gt;db-&gt;beginTransaction();</w:t>
              <w:br/>
              <w:t xml:space="preserve">    try {</w:t>
              <w:br/>
              <w:t xml:space="preserve">        // 1. Operación INSERT en sol_solicitudes</w:t>
              <w:br/>
              <w:t xml:space="preserve">        $stmt = $this-&gt;db-&gt;prepare("INSERT INTO sol_solicitudes (</w:t>
              <w:br/>
              <w:t xml:space="preserve">            codigo_correlativo, sede_id, servicio_origen_id, servicio_destino_id,</w:t>
              <w:br/>
              <w:t xml:space="preserve">            categoria_id, solicitante_id, nivel_prioridad, es_soporte_vital,</w:t>
              <w:br/>
              <w:t xml:space="preserve">            descripcion_falla, estado_actual, version</w:t>
              <w:br/>
              <w:t xml:space="preserve">        ) VALUES (:codigo, :sede, :so, :sd, :cat, :usr, :prio, :vital, :desc, 'RADICADA', 1)");</w:t>
              <w:br/>
              <w:t xml:space="preserve">        $stmt-&gt;execute([...]);</w:t>
              <w:br/>
              <w:t xml:space="preserve">        $id = (int)$this-&gt;db-&gt;lastInsertId();</w:t>
              <w:br/>
              <w:br/>
              <w:t xml:space="preserve">        // 2. Operación INSERT en sol_historial_estados (Audit Trail inmutable)</w:t>
              <w:br/>
              <w:t xml:space="preserve">        $stmtHist = $this-&gt;db-&gt;prepare("INSERT INTO sol_historial_estados (</w:t>
              <w:br/>
              <w:t xml:space="preserve">            solicitud_id, estado_anterior, estado_nuevo, usuario_responsable_id, observaciones_cambio</w:t>
              <w:br/>
              <w:t xml:space="preserve">        ) VALUES (:id, NULL, 'RADICADA', :usr, 'Radicación inicial asistencial')");</w:t>
              <w:br/>
              <w:t xml:space="preserve">        $stmtHist-&gt;execute([...]);</w:t>
              <w:br/>
              <w:br/>
              <w:t xml:space="preserve">        // 3. Operación INSERT en ops_outbox_eventos</w:t>
              <w:br/>
              <w:t xml:space="preserve">        $stmtOut = $this-&gt;db-&gt;prepare("INSERT INTO ops_outbox_eventos (...) VALUES (...)");</w:t>
              <w:br/>
              <w:t xml:space="preserve">        $stmtOut-&gt;execute([...]);</w:t>
              <w:br/>
              <w:br/>
              <w:t xml:space="preserve">        $this-&gt;db-&gt;commit();</w:t>
              <w:br/>
              <w:t xml:space="preserve">        return $id;</w:t>
              <w:br/>
              <w:t xml:space="preserve">    } catch (\Throwable $e) {</w:t>
              <w:br/>
              <w:t xml:space="preserve">        $this-&gt;db-&gt;rollBack();</w:t>
              <w:br/>
              <w:t xml:space="preserve">        throw $e;</w:t>
              <w:br/>
              <w:t xml:space="preserve">    }</w:t>
              <w:br/>
              <w:t>}</w:t>
            </w:r>
          </w:p>
        </w:tc>
      </w:tr>
    </w:tbl>
    <w:p>
      <w:pPr>
        <w:spacing w:after="80"/>
      </w:pPr>
    </w:p>
    <w:p>
      <w:pPr>
        <w:pStyle w:val="Heading2"/>
        <w:keepNext/>
        <w:spacing w:before="280" w:after="120"/>
      </w:pPr>
      <w:r>
        <w:rPr>
          <w:b/>
          <w:color w:val="1C5094"/>
          <w:sz w:val="26"/>
        </w:rPr>
        <w:t>4.3. Conclusión del Desarrollo Backend</w:t>
      </w:r>
    </w:p>
    <w:p>
      <w:r>
        <w:t>La implementación del backend y la API REST para el Sistema de Seguimiento de Solicitudes Internas Hospitalarias (S3IH) demostró que una arquitectura en PHP puro estructurada bajo el patrón MVC y orientada al dominio permite desacoplar limpiamente la capa de presentación de la lógica de negocio y la persistencia relacional sin incurrir en la complejidad o sobrecarga de frameworks externos. A través de los endpoints desarrollados (POST, GET, PUT sobre /api/solicitudes), se validó el ciclo de vida completo de las peticiones clínicas: recepción de datos con sanitización Zero-PHI, control de concurrencia optimista (version) para evitar pérdidas de información entre guardias médicas simultáneas, transiciones gobernadas por una máquina de estados finita (FSM) y ejecución atómica multirregistro mediante PDO en transacciones ACID. La posterior ejecución y aprobación del 100% de las pruebas automatizadas de integración (test_cp_sol_04.php) certificó la robustez de las operaciones de lectura y modificación de datos, consolidando una solución de backend resiliente, auditable y directamente alineada con los requerimientos de misión crítica del entorno hospitalario.</w:t>
      </w:r>
    </w:p>
    <w:p>
      <w:r>
        <w:br w:type="page"/>
      </w:r>
    </w:p>
    <w:p>
      <w:pPr>
        <w:pStyle w:val="Heading1"/>
        <w:keepNext/>
        <w:spacing w:before="280" w:after="120"/>
      </w:pPr>
      <w:r>
        <w:rPr>
          <w:b/>
          <w:color w:val="102C57"/>
          <w:sz w:val="34"/>
        </w:rPr>
        <w:t>TRABAJO FINAL: DESARROLLO DE UNA LANDING PAGE FUNCIONAL</w:t>
      </w:r>
    </w:p>
    <w:p>
      <w:r>
        <w:t>El Trabajo Final consistió en el desarrollo y despliegue de una Landing Page comercial plenamente funcional denominada "Altiplano Marketplace", orientada a la promoción de productos regionales en el mercado boliviano. La solución supera el nivel de una página estática integrando consumo dinámico de base de datos MySQL mediante PHP puro, diseño responsivo adaptable y microinteracciones del lado del cliente.</w:t>
      </w:r>
    </w:p>
    <w:p>
      <w:pPr>
        <w:pStyle w:val="Heading2"/>
        <w:keepNext/>
        <w:spacing w:before="280" w:after="120"/>
      </w:pPr>
      <w:r>
        <w:rPr>
          <w:b/>
          <w:color w:val="1C5094"/>
          <w:sz w:val="26"/>
        </w:rPr>
        <w:t>5.1. Matriz de Cumplimiento de Requisitos del Trabajo Final</w:t>
      </w:r>
    </w:p>
    <w:tbl>
      <w:tblPr>
        <w:tblW w:type="auto" w:w="0"/>
        <w:jc w:val="center"/>
        <w:tblLook w:firstColumn="1" w:firstRow="1" w:lastColumn="0" w:lastRow="0" w:noHBand="0" w:noVBand="1" w:val="04A0"/>
      </w:tblPr>
      <w:tblGrid>
        <w:gridCol w:w="3120"/>
        <w:gridCol w:w="3120"/>
        <w:gridCol w:w="3120"/>
      </w:tblGrid>
      <w:tr>
        <w:tc>
          <w:tcPr>
            <w:tcW w:type="dxa" w:w="2160"/>
            <w:shd w:fill="102C57"/>
            <w:tcMar>
              <w:top w:w="120" w:type="dxa"/>
              <w:bottom w:w="120" w:type="dxa"/>
              <w:left w:w="140" w:type="dxa"/>
              <w:right w:w="140" w:type="dxa"/>
            </w:tcMar>
          </w:tcPr>
          <w:p>
            <w:pPr>
              <w:jc w:val="center"/>
            </w:pPr>
            <w:r>
              <w:rPr>
                <w:b/>
                <w:color w:val="FFFFFF"/>
                <w:sz w:val="19"/>
              </w:rPr>
              <w:t>Requisito Solicitado</w:t>
            </w:r>
          </w:p>
        </w:tc>
        <w:tc>
          <w:tcPr>
            <w:tcW w:type="dxa" w:w="4608"/>
            <w:shd w:fill="102C57"/>
            <w:tcMar>
              <w:top w:w="120" w:type="dxa"/>
              <w:bottom w:w="120" w:type="dxa"/>
              <w:left w:w="140" w:type="dxa"/>
              <w:right w:w="140" w:type="dxa"/>
            </w:tcMar>
          </w:tcPr>
          <w:p>
            <w:pPr>
              <w:jc w:val="center"/>
            </w:pPr>
            <w:r>
              <w:rPr>
                <w:b/>
                <w:color w:val="FFFFFF"/>
                <w:sz w:val="19"/>
              </w:rPr>
              <w:t>Implementación Técnica en Altiplano Marketplace</w:t>
            </w:r>
          </w:p>
        </w:tc>
        <w:tc>
          <w:tcPr>
            <w:tcW w:type="dxa" w:w="2592"/>
            <w:shd w:fill="102C57"/>
            <w:tcMar>
              <w:top w:w="120" w:type="dxa"/>
              <w:bottom w:w="120" w:type="dxa"/>
              <w:left w:w="140" w:type="dxa"/>
              <w:right w:w="140" w:type="dxa"/>
            </w:tcMar>
          </w:tcPr>
          <w:p>
            <w:pPr>
              <w:jc w:val="center"/>
            </w:pPr>
            <w:r>
              <w:rPr>
                <w:b/>
                <w:color w:val="FFFFFF"/>
                <w:sz w:val="19"/>
              </w:rPr>
              <w:t>Evidencia de Código</w:t>
            </w:r>
          </w:p>
        </w:tc>
      </w:tr>
      <w:tr>
        <w:tc>
          <w:tcPr>
            <w:tcW w:type="dxa" w:w="2160"/>
            <w:shd w:fill="FFFFFF"/>
            <w:tcMar>
              <w:top w:w="90" w:type="dxa"/>
              <w:bottom w:w="90" w:type="dxa"/>
              <w:left w:w="120" w:type="dxa"/>
              <w:right w:w="120" w:type="dxa"/>
            </w:tcMar>
          </w:tcPr>
          <w:p>
            <w:pPr>
              <w:spacing w:before="20" w:after="20"/>
            </w:pPr>
            <w:r>
              <w:rPr>
                <w:sz w:val="18"/>
              </w:rPr>
              <w:t>1. Funcionalidad Integral</w:t>
            </w:r>
          </w:p>
        </w:tc>
        <w:tc>
          <w:tcPr>
            <w:tcW w:type="dxa" w:w="4608"/>
            <w:shd w:fill="FFFFFF"/>
            <w:tcMar>
              <w:top w:w="90" w:type="dxa"/>
              <w:bottom w:w="90" w:type="dxa"/>
              <w:left w:w="120" w:type="dxa"/>
              <w:right w:w="120" w:type="dxa"/>
            </w:tcMar>
          </w:tcPr>
          <w:p>
            <w:pPr>
              <w:spacing w:before="20" w:after="20"/>
            </w:pPr>
            <w:r>
              <w:rPr>
                <w:sz w:val="18"/>
              </w:rPr>
              <w:t>Carga y visualización de 7 categorías y 70 productos con precios demostrativos en Bs.</w:t>
            </w:r>
          </w:p>
        </w:tc>
        <w:tc>
          <w:tcPr>
            <w:tcW w:type="dxa" w:w="2592"/>
            <w:shd w:fill="FFFFFF"/>
            <w:tcMar>
              <w:top w:w="90" w:type="dxa"/>
              <w:bottom w:w="90" w:type="dxa"/>
              <w:left w:w="120" w:type="dxa"/>
              <w:right w:w="120" w:type="dxa"/>
            </w:tcMar>
          </w:tcPr>
          <w:p>
            <w:pPr>
              <w:spacing w:before="20" w:after="20"/>
            </w:pPr>
            <w:r>
              <w:rPr>
                <w:sz w:val="18"/>
              </w:rPr>
              <w:t>public/index.php</w:t>
            </w:r>
          </w:p>
        </w:tc>
      </w:tr>
      <w:tr>
        <w:tc>
          <w:tcPr>
            <w:tcW w:type="dxa" w:w="2160"/>
            <w:shd w:fill="F9FBFD"/>
            <w:tcMar>
              <w:top w:w="90" w:type="dxa"/>
              <w:bottom w:w="90" w:type="dxa"/>
              <w:left w:w="120" w:type="dxa"/>
              <w:right w:w="120" w:type="dxa"/>
            </w:tcMar>
          </w:tcPr>
          <w:p>
            <w:pPr>
              <w:spacing w:before="20" w:after="20"/>
            </w:pPr>
            <w:r>
              <w:rPr>
                <w:sz w:val="18"/>
              </w:rPr>
              <w:t>2. Diseño Claro y Coherente</w:t>
            </w:r>
          </w:p>
        </w:tc>
        <w:tc>
          <w:tcPr>
            <w:tcW w:type="dxa" w:w="4608"/>
            <w:shd w:fill="F9FBFD"/>
            <w:tcMar>
              <w:top w:w="90" w:type="dxa"/>
              <w:bottom w:w="90" w:type="dxa"/>
              <w:left w:w="120" w:type="dxa"/>
              <w:right w:w="120" w:type="dxa"/>
            </w:tcMar>
          </w:tcPr>
          <w:p>
            <w:pPr>
              <w:spacing w:before="20" w:after="20"/>
            </w:pPr>
            <w:r>
              <w:rPr>
                <w:sz w:val="18"/>
              </w:rPr>
              <w:t>Arquitectura visual sobria con jerarquía tipográfica, tarjetas uniformes y contrastes accesibles.</w:t>
            </w:r>
          </w:p>
        </w:tc>
        <w:tc>
          <w:tcPr>
            <w:tcW w:type="dxa" w:w="2592"/>
            <w:shd w:fill="F9FBFD"/>
            <w:tcMar>
              <w:top w:w="90" w:type="dxa"/>
              <w:bottom w:w="90" w:type="dxa"/>
              <w:left w:w="120" w:type="dxa"/>
              <w:right w:w="120" w:type="dxa"/>
            </w:tcMar>
          </w:tcPr>
          <w:p>
            <w:pPr>
              <w:spacing w:before="20" w:after="20"/>
            </w:pPr>
            <w:r>
              <w:rPr>
                <w:sz w:val="18"/>
              </w:rPr>
              <w:t>public/assets/css/landing.css</w:t>
            </w:r>
          </w:p>
        </w:tc>
      </w:tr>
      <w:tr>
        <w:tc>
          <w:tcPr>
            <w:tcW w:type="dxa" w:w="2160"/>
            <w:shd w:fill="FFFFFF"/>
            <w:tcMar>
              <w:top w:w="90" w:type="dxa"/>
              <w:bottom w:w="90" w:type="dxa"/>
              <w:left w:w="120" w:type="dxa"/>
              <w:right w:w="120" w:type="dxa"/>
            </w:tcMar>
          </w:tcPr>
          <w:p>
            <w:pPr>
              <w:spacing w:before="20" w:after="20"/>
            </w:pPr>
            <w:r>
              <w:rPr>
                <w:sz w:val="18"/>
              </w:rPr>
              <w:t>3. Adaptabilidad Multidispositivo</w:t>
            </w:r>
          </w:p>
        </w:tc>
        <w:tc>
          <w:tcPr>
            <w:tcW w:type="dxa" w:w="4608"/>
            <w:shd w:fill="FFFFFF"/>
            <w:tcMar>
              <w:top w:w="90" w:type="dxa"/>
              <w:bottom w:w="90" w:type="dxa"/>
              <w:left w:w="120" w:type="dxa"/>
              <w:right w:w="120" w:type="dxa"/>
            </w:tcMar>
          </w:tcPr>
          <w:p>
            <w:pPr>
              <w:spacing w:before="20" w:after="20"/>
            </w:pPr>
            <w:r>
              <w:rPr>
                <w:sz w:val="18"/>
              </w:rPr>
              <w:t>Diseño mobile-first validado sin desbordamiento (0 px overflow) en anchos de 360px a 1440px.</w:t>
            </w:r>
          </w:p>
        </w:tc>
        <w:tc>
          <w:tcPr>
            <w:tcW w:type="dxa" w:w="2592"/>
            <w:shd w:fill="FFFFFF"/>
            <w:tcMar>
              <w:top w:w="90" w:type="dxa"/>
              <w:bottom w:w="90" w:type="dxa"/>
              <w:left w:w="120" w:type="dxa"/>
              <w:right w:w="120" w:type="dxa"/>
            </w:tcMar>
          </w:tcPr>
          <w:p>
            <w:pPr>
              <w:spacing w:before="20" w:after="20"/>
            </w:pPr>
            <w:r>
              <w:rPr>
                <w:sz w:val="18"/>
              </w:rPr>
              <w:t>docs/validacion_final.md</w:t>
            </w:r>
          </w:p>
        </w:tc>
      </w:tr>
      <w:tr>
        <w:tc>
          <w:tcPr>
            <w:tcW w:type="dxa" w:w="2160"/>
            <w:shd w:fill="F9FBFD"/>
            <w:tcMar>
              <w:top w:w="90" w:type="dxa"/>
              <w:bottom w:w="90" w:type="dxa"/>
              <w:left w:w="120" w:type="dxa"/>
              <w:right w:w="120" w:type="dxa"/>
            </w:tcMar>
          </w:tcPr>
          <w:p>
            <w:pPr>
              <w:spacing w:before="20" w:after="20"/>
            </w:pPr>
            <w:r>
              <w:rPr>
                <w:sz w:val="18"/>
              </w:rPr>
              <w:t>4. Comunicación del Propósito</w:t>
            </w:r>
          </w:p>
        </w:tc>
        <w:tc>
          <w:tcPr>
            <w:tcW w:type="dxa" w:w="4608"/>
            <w:shd w:fill="F9FBFD"/>
            <w:tcMar>
              <w:top w:w="90" w:type="dxa"/>
              <w:bottom w:w="90" w:type="dxa"/>
              <w:left w:w="120" w:type="dxa"/>
              <w:right w:w="120" w:type="dxa"/>
            </w:tcMar>
          </w:tcPr>
          <w:p>
            <w:pPr>
              <w:spacing w:before="20" w:after="20"/>
            </w:pPr>
            <w:r>
              <w:rPr>
                <w:sz w:val="18"/>
              </w:rPr>
              <w:t>Sección Hero con propuesta de valor clara, avisos comerciales transparentes y CTAs directos.</w:t>
            </w:r>
          </w:p>
        </w:tc>
        <w:tc>
          <w:tcPr>
            <w:tcW w:type="dxa" w:w="2592"/>
            <w:shd w:fill="F9FBFD"/>
            <w:tcMar>
              <w:top w:w="90" w:type="dxa"/>
              <w:bottom w:w="90" w:type="dxa"/>
              <w:left w:w="120" w:type="dxa"/>
              <w:right w:w="120" w:type="dxa"/>
            </w:tcMar>
          </w:tcPr>
          <w:p>
            <w:pPr>
              <w:spacing w:before="20" w:after="20"/>
            </w:pPr>
            <w:r>
              <w:rPr>
                <w:sz w:val="18"/>
              </w:rPr>
              <w:t>app/Views/sections/hero.php</w:t>
            </w:r>
          </w:p>
        </w:tc>
      </w:tr>
      <w:tr>
        <w:tc>
          <w:tcPr>
            <w:tcW w:type="dxa" w:w="2160"/>
            <w:shd w:fill="FFFFFF"/>
            <w:tcMar>
              <w:top w:w="90" w:type="dxa"/>
              <w:bottom w:w="90" w:type="dxa"/>
              <w:left w:w="120" w:type="dxa"/>
              <w:right w:w="120" w:type="dxa"/>
            </w:tcMar>
          </w:tcPr>
          <w:p>
            <w:pPr>
              <w:spacing w:before="20" w:after="20"/>
            </w:pPr>
            <w:r>
              <w:rPr>
                <w:sz w:val="18"/>
              </w:rPr>
              <w:t>5. Interacción del Usuario</w:t>
            </w:r>
          </w:p>
        </w:tc>
        <w:tc>
          <w:tcPr>
            <w:tcW w:type="dxa" w:w="4608"/>
            <w:shd w:fill="FFFFFF"/>
            <w:tcMar>
              <w:top w:w="90" w:type="dxa"/>
              <w:bottom w:w="90" w:type="dxa"/>
              <w:left w:w="120" w:type="dxa"/>
              <w:right w:w="120" w:type="dxa"/>
            </w:tcMar>
          </w:tcPr>
          <w:p>
            <w:pPr>
              <w:spacing w:before="20" w:after="20"/>
            </w:pPr>
            <w:r>
              <w:rPr>
                <w:sz w:val="18"/>
              </w:rPr>
              <w:t>Navegación fluida por anclas y sombra reactiva del encabezado optimizada con requestAnimationFrame.</w:t>
            </w:r>
          </w:p>
        </w:tc>
        <w:tc>
          <w:tcPr>
            <w:tcW w:type="dxa" w:w="2592"/>
            <w:shd w:fill="FFFFFF"/>
            <w:tcMar>
              <w:top w:w="90" w:type="dxa"/>
              <w:bottom w:w="90" w:type="dxa"/>
              <w:left w:w="120" w:type="dxa"/>
              <w:right w:w="120" w:type="dxa"/>
            </w:tcMar>
          </w:tcPr>
          <w:p>
            <w:pPr>
              <w:spacing w:before="20" w:after="20"/>
            </w:pPr>
            <w:r>
              <w:rPr>
                <w:sz w:val="18"/>
              </w:rPr>
              <w:t>public/assets/js/landing.js</w:t>
            </w:r>
          </w:p>
        </w:tc>
      </w:tr>
      <w:tr>
        <w:tc>
          <w:tcPr>
            <w:tcW w:type="dxa" w:w="2160"/>
            <w:shd w:fill="F9FBFD"/>
            <w:tcMar>
              <w:top w:w="90" w:type="dxa"/>
              <w:bottom w:w="90" w:type="dxa"/>
              <w:left w:w="120" w:type="dxa"/>
              <w:right w:w="120" w:type="dxa"/>
            </w:tcMar>
          </w:tcPr>
          <w:p>
            <w:pPr>
              <w:spacing w:before="20" w:after="20"/>
            </w:pPr>
            <w:r>
              <w:rPr>
                <w:sz w:val="18"/>
              </w:rPr>
              <w:t>6. Procesamiento del Servidor</w:t>
            </w:r>
          </w:p>
        </w:tc>
        <w:tc>
          <w:tcPr>
            <w:tcW w:type="dxa" w:w="4608"/>
            <w:shd w:fill="F9FBFD"/>
            <w:tcMar>
              <w:top w:w="90" w:type="dxa"/>
              <w:bottom w:w="90" w:type="dxa"/>
              <w:left w:w="120" w:type="dxa"/>
              <w:right w:w="120" w:type="dxa"/>
            </w:tcMar>
          </w:tcPr>
          <w:p>
            <w:pPr>
              <w:spacing w:before="20" w:after="20"/>
            </w:pPr>
            <w:r>
              <w:rPr>
                <w:sz w:val="18"/>
              </w:rPr>
              <w:t>Composición dinámica modular en Front Controller, inyección de dependencias y escape seguro con htmlspecialchars.</w:t>
            </w:r>
          </w:p>
        </w:tc>
        <w:tc>
          <w:tcPr>
            <w:tcW w:type="dxa" w:w="2592"/>
            <w:shd w:fill="F9FBFD"/>
            <w:tcMar>
              <w:top w:w="90" w:type="dxa"/>
              <w:bottom w:w="90" w:type="dxa"/>
              <w:left w:w="120" w:type="dxa"/>
              <w:right w:w="120" w:type="dxa"/>
            </w:tcMar>
          </w:tcPr>
          <w:p>
            <w:pPr>
              <w:spacing w:before="20" w:after="20"/>
            </w:pPr>
            <w:r>
              <w:rPr>
                <w:sz w:val="18"/>
              </w:rPr>
              <w:t>public/index.php</w:t>
            </w:r>
          </w:p>
        </w:tc>
      </w:tr>
      <w:tr>
        <w:tc>
          <w:tcPr>
            <w:tcW w:type="dxa" w:w="2160"/>
            <w:shd w:fill="FFFFFF"/>
            <w:tcMar>
              <w:top w:w="90" w:type="dxa"/>
              <w:bottom w:w="90" w:type="dxa"/>
              <w:left w:w="120" w:type="dxa"/>
              <w:right w:w="120" w:type="dxa"/>
            </w:tcMar>
          </w:tcPr>
          <w:p>
            <w:pPr>
              <w:spacing w:before="20" w:after="20"/>
            </w:pPr>
            <w:r>
              <w:rPr>
                <w:sz w:val="18"/>
              </w:rPr>
              <w:t>7. Gestión de Fuente de Datos</w:t>
            </w:r>
          </w:p>
        </w:tc>
        <w:tc>
          <w:tcPr>
            <w:tcW w:type="dxa" w:w="4608"/>
            <w:shd w:fill="FFFFFF"/>
            <w:tcMar>
              <w:top w:w="90" w:type="dxa"/>
              <w:bottom w:w="90" w:type="dxa"/>
              <w:left w:w="120" w:type="dxa"/>
              <w:right w:w="120" w:type="dxa"/>
            </w:tcMar>
          </w:tcPr>
          <w:p>
            <w:pPr>
              <w:spacing w:before="20" w:after="20"/>
            </w:pPr>
            <w:r>
              <w:rPr>
                <w:sz w:val="18"/>
              </w:rPr>
              <w:t>Persistencia relacional en MySQL con tablas landing_categoria y landing_producto gestionadas vía PDO.</w:t>
            </w:r>
          </w:p>
        </w:tc>
        <w:tc>
          <w:tcPr>
            <w:tcW w:type="dxa" w:w="2592"/>
            <w:shd w:fill="FFFFFF"/>
            <w:tcMar>
              <w:top w:w="90" w:type="dxa"/>
              <w:bottom w:w="90" w:type="dxa"/>
              <w:left w:w="120" w:type="dxa"/>
              <w:right w:w="120" w:type="dxa"/>
            </w:tcMar>
          </w:tcPr>
          <w:p>
            <w:pPr>
              <w:spacing w:before="20" w:after="20"/>
            </w:pPr>
            <w:r>
              <w:rPr>
                <w:sz w:val="18"/>
              </w:rPr>
              <w:t>app/Repositories/</w:t>
            </w:r>
          </w:p>
        </w:tc>
      </w:tr>
      <w:tr>
        <w:tc>
          <w:tcPr>
            <w:tcW w:type="dxa" w:w="2160"/>
            <w:shd w:fill="F9FBFD"/>
            <w:tcMar>
              <w:top w:w="90" w:type="dxa"/>
              <w:bottom w:w="90" w:type="dxa"/>
              <w:left w:w="120" w:type="dxa"/>
              <w:right w:w="120" w:type="dxa"/>
            </w:tcMar>
          </w:tcPr>
          <w:p>
            <w:pPr>
              <w:spacing w:before="20" w:after="20"/>
            </w:pPr>
            <w:r>
              <w:rPr>
                <w:sz w:val="18"/>
              </w:rPr>
              <w:t>8. Comunicación Cliente-Servidor</w:t>
            </w:r>
          </w:p>
        </w:tc>
        <w:tc>
          <w:tcPr>
            <w:tcW w:type="dxa" w:w="4608"/>
            <w:shd w:fill="F9FBFD"/>
            <w:tcMar>
              <w:top w:w="90" w:type="dxa"/>
              <w:bottom w:w="90" w:type="dxa"/>
              <w:left w:w="120" w:type="dxa"/>
              <w:right w:w="120" w:type="dxa"/>
            </w:tcMar>
          </w:tcPr>
          <w:p>
            <w:pPr>
              <w:spacing w:before="20" w:after="20"/>
            </w:pPr>
            <w:r>
              <w:rPr>
                <w:sz w:val="18"/>
              </w:rPr>
              <w:t>Peticiones HTTP resueltas por el servidor generando renderizado dinámico e hidratación del catálogo.</w:t>
            </w:r>
          </w:p>
        </w:tc>
        <w:tc>
          <w:tcPr>
            <w:tcW w:type="dxa" w:w="2592"/>
            <w:shd w:fill="F9FBFD"/>
            <w:tcMar>
              <w:top w:w="90" w:type="dxa"/>
              <w:bottom w:w="90" w:type="dxa"/>
              <w:left w:w="120" w:type="dxa"/>
              <w:right w:w="120" w:type="dxa"/>
            </w:tcMar>
          </w:tcPr>
          <w:p>
            <w:pPr>
              <w:spacing w:before="20" w:after="20"/>
            </w:pPr>
            <w:r>
              <w:rPr>
                <w:sz w:val="18"/>
              </w:rPr>
              <w:t>app/Services/LandingCatalogoService.php</w:t>
            </w:r>
          </w:p>
        </w:tc>
      </w:tr>
    </w:tbl>
    <w:p>
      <w:pPr>
        <w:pStyle w:val="Heading2"/>
        <w:keepNext/>
        <w:spacing w:before="280" w:after="120"/>
      </w:pPr>
      <w:r>
        <w:rPr>
          <w:b/>
          <w:color w:val="1C5094"/>
          <w:sz w:val="26"/>
        </w:rPr>
        <w:t>5.2. Métricas de Calidad y Rendimiento Web Alcanzadas</w:t>
      </w:r>
    </w:p>
    <w:tbl>
      <w:tblPr>
        <w:tblW w:type="auto" w:w="0"/>
        <w:jc w:val="center"/>
        <w:tblLook w:firstColumn="1" w:firstRow="1" w:lastColumn="0" w:lastRow="0" w:noHBand="0" w:noVBand="1" w:val="04A0"/>
      </w:tblPr>
      <w:tblGrid>
        <w:gridCol w:w="3120"/>
        <w:gridCol w:w="3120"/>
        <w:gridCol w:w="3120"/>
      </w:tblGrid>
      <w:tr>
        <w:tc>
          <w:tcPr>
            <w:tcW w:type="dxa" w:w="2880"/>
            <w:shd w:fill="102C57"/>
            <w:tcMar>
              <w:top w:w="120" w:type="dxa"/>
              <w:bottom w:w="120" w:type="dxa"/>
              <w:left w:w="140" w:type="dxa"/>
              <w:right w:w="140" w:type="dxa"/>
            </w:tcMar>
          </w:tcPr>
          <w:p>
            <w:pPr>
              <w:jc w:val="center"/>
            </w:pPr>
            <w:r>
              <w:rPr>
                <w:b/>
                <w:color w:val="FFFFFF"/>
                <w:sz w:val="19"/>
              </w:rPr>
              <w:t>Métrica Web</w:t>
            </w:r>
          </w:p>
        </w:tc>
        <w:tc>
          <w:tcPr>
            <w:tcW w:type="dxa" w:w="2880"/>
            <w:shd w:fill="102C57"/>
            <w:tcMar>
              <w:top w:w="120" w:type="dxa"/>
              <w:bottom w:w="120" w:type="dxa"/>
              <w:left w:w="140" w:type="dxa"/>
              <w:right w:w="140" w:type="dxa"/>
            </w:tcMar>
          </w:tcPr>
          <w:p>
            <w:pPr>
              <w:jc w:val="center"/>
            </w:pPr>
            <w:r>
              <w:rPr>
                <w:b/>
                <w:color w:val="FFFFFF"/>
                <w:sz w:val="19"/>
              </w:rPr>
              <w:t>Resultado Obtenido</w:t>
            </w:r>
          </w:p>
        </w:tc>
        <w:tc>
          <w:tcPr>
            <w:tcW w:type="dxa" w:w="3600"/>
            <w:shd w:fill="102C57"/>
            <w:tcMar>
              <w:top w:w="120" w:type="dxa"/>
              <w:bottom w:w="120" w:type="dxa"/>
              <w:left w:w="140" w:type="dxa"/>
              <w:right w:w="140" w:type="dxa"/>
            </w:tcMar>
          </w:tcPr>
          <w:p>
            <w:pPr>
              <w:jc w:val="center"/>
            </w:pPr>
            <w:r>
              <w:rPr>
                <w:b/>
                <w:color w:val="FFFFFF"/>
                <w:sz w:val="19"/>
              </w:rPr>
              <w:t>Estándar / Umbral Recomendado</w:t>
            </w:r>
          </w:p>
        </w:tc>
      </w:tr>
      <w:tr>
        <w:tc>
          <w:tcPr>
            <w:tcW w:type="dxa" w:w="2880"/>
            <w:shd w:fill="FFFFFF"/>
            <w:tcMar>
              <w:top w:w="90" w:type="dxa"/>
              <w:bottom w:w="90" w:type="dxa"/>
              <w:left w:w="120" w:type="dxa"/>
              <w:right w:w="120" w:type="dxa"/>
            </w:tcMar>
          </w:tcPr>
          <w:p>
            <w:pPr>
              <w:spacing w:before="20" w:after="20"/>
            </w:pPr>
            <w:r>
              <w:rPr>
                <w:sz w:val="18"/>
              </w:rPr>
              <w:t>Largest Contentful Paint (LCP)</w:t>
            </w:r>
          </w:p>
        </w:tc>
        <w:tc>
          <w:tcPr>
            <w:tcW w:type="dxa" w:w="2880"/>
            <w:shd w:fill="FFFFFF"/>
            <w:tcMar>
              <w:top w:w="90" w:type="dxa"/>
              <w:bottom w:w="90" w:type="dxa"/>
              <w:left w:w="120" w:type="dxa"/>
              <w:right w:w="120" w:type="dxa"/>
            </w:tcMar>
          </w:tcPr>
          <w:p>
            <w:pPr>
              <w:spacing w:before="20" w:after="20"/>
            </w:pPr>
            <w:r>
              <w:rPr>
                <w:sz w:val="18"/>
              </w:rPr>
              <w:t>500 ms</w:t>
            </w:r>
          </w:p>
        </w:tc>
        <w:tc>
          <w:tcPr>
            <w:tcW w:type="dxa" w:w="3600"/>
            <w:shd w:fill="FFFFFF"/>
            <w:tcMar>
              <w:top w:w="90" w:type="dxa"/>
              <w:bottom w:w="90" w:type="dxa"/>
              <w:left w:w="120" w:type="dxa"/>
              <w:right w:w="120" w:type="dxa"/>
            </w:tcMar>
          </w:tcPr>
          <w:p>
            <w:pPr>
              <w:spacing w:before="20" w:after="20"/>
            </w:pPr>
            <w:r>
              <w:rPr>
                <w:sz w:val="18"/>
              </w:rPr>
              <w:t>&lt; 2500 ms (Excelente - Rápido)</w:t>
            </w:r>
          </w:p>
        </w:tc>
      </w:tr>
      <w:tr>
        <w:tc>
          <w:tcPr>
            <w:tcW w:type="dxa" w:w="2880"/>
            <w:shd w:fill="F9FBFD"/>
            <w:tcMar>
              <w:top w:w="90" w:type="dxa"/>
              <w:bottom w:w="90" w:type="dxa"/>
              <w:left w:w="120" w:type="dxa"/>
              <w:right w:w="120" w:type="dxa"/>
            </w:tcMar>
          </w:tcPr>
          <w:p>
            <w:pPr>
              <w:spacing w:before="20" w:after="20"/>
            </w:pPr>
            <w:r>
              <w:rPr>
                <w:sz w:val="18"/>
              </w:rPr>
              <w:t>Cumulative Layout Shift (CLS)</w:t>
            </w:r>
          </w:p>
        </w:tc>
        <w:tc>
          <w:tcPr>
            <w:tcW w:type="dxa" w:w="2880"/>
            <w:shd w:fill="F9FBFD"/>
            <w:tcMar>
              <w:top w:w="90" w:type="dxa"/>
              <w:bottom w:w="90" w:type="dxa"/>
              <w:left w:w="120" w:type="dxa"/>
              <w:right w:w="120" w:type="dxa"/>
            </w:tcMar>
          </w:tcPr>
          <w:p>
            <w:pPr>
              <w:spacing w:before="20" w:after="20"/>
            </w:pPr>
            <w:r>
              <w:rPr>
                <w:sz w:val="18"/>
              </w:rPr>
              <w:t>0.00</w:t>
            </w:r>
          </w:p>
        </w:tc>
        <w:tc>
          <w:tcPr>
            <w:tcW w:type="dxa" w:w="3600"/>
            <w:shd w:fill="F9FBFD"/>
            <w:tcMar>
              <w:top w:w="90" w:type="dxa"/>
              <w:bottom w:w="90" w:type="dxa"/>
              <w:left w:w="120" w:type="dxa"/>
              <w:right w:w="120" w:type="dxa"/>
            </w:tcMar>
          </w:tcPr>
          <w:p>
            <w:pPr>
              <w:spacing w:before="20" w:after="20"/>
            </w:pPr>
            <w:r>
              <w:rPr>
                <w:sz w:val="18"/>
              </w:rPr>
              <w:t>&lt; 0.10 (Estabilidad visual absoluta)</w:t>
            </w:r>
          </w:p>
        </w:tc>
      </w:tr>
      <w:tr>
        <w:tc>
          <w:tcPr>
            <w:tcW w:type="dxa" w:w="2880"/>
            <w:shd w:fill="FFFFFF"/>
            <w:tcMar>
              <w:top w:w="90" w:type="dxa"/>
              <w:bottom w:w="90" w:type="dxa"/>
              <w:left w:w="120" w:type="dxa"/>
              <w:right w:w="120" w:type="dxa"/>
            </w:tcMar>
          </w:tcPr>
          <w:p>
            <w:pPr>
              <w:spacing w:before="20" w:after="20"/>
            </w:pPr>
            <w:r>
              <w:rPr>
                <w:sz w:val="18"/>
              </w:rPr>
              <w:t>Lighthouse Accesibilidad</w:t>
            </w:r>
          </w:p>
        </w:tc>
        <w:tc>
          <w:tcPr>
            <w:tcW w:type="dxa" w:w="2880"/>
            <w:shd w:fill="FFFFFF"/>
            <w:tcMar>
              <w:top w:w="90" w:type="dxa"/>
              <w:bottom w:w="90" w:type="dxa"/>
              <w:left w:w="120" w:type="dxa"/>
              <w:right w:w="120" w:type="dxa"/>
            </w:tcMar>
          </w:tcPr>
          <w:p>
            <w:pPr>
              <w:spacing w:before="20" w:after="20"/>
            </w:pPr>
            <w:r>
              <w:rPr>
                <w:sz w:val="18"/>
              </w:rPr>
              <w:t>100 / 100</w:t>
            </w:r>
          </w:p>
        </w:tc>
        <w:tc>
          <w:tcPr>
            <w:tcW w:type="dxa" w:w="3600"/>
            <w:shd w:fill="FFFFFF"/>
            <w:tcMar>
              <w:top w:w="90" w:type="dxa"/>
              <w:bottom w:w="90" w:type="dxa"/>
              <w:left w:w="120" w:type="dxa"/>
              <w:right w:w="120" w:type="dxa"/>
            </w:tcMar>
          </w:tcPr>
          <w:p>
            <w:pPr>
              <w:spacing w:before="20" w:after="20"/>
            </w:pPr>
            <w:r>
              <w:rPr>
                <w:sz w:val="18"/>
              </w:rPr>
              <w:t>Cumplimiento total directrices WCAG</w:t>
            </w:r>
          </w:p>
        </w:tc>
      </w:tr>
      <w:tr>
        <w:tc>
          <w:tcPr>
            <w:tcW w:type="dxa" w:w="2880"/>
            <w:shd w:fill="F9FBFD"/>
            <w:tcMar>
              <w:top w:w="90" w:type="dxa"/>
              <w:bottom w:w="90" w:type="dxa"/>
              <w:left w:w="120" w:type="dxa"/>
              <w:right w:w="120" w:type="dxa"/>
            </w:tcMar>
          </w:tcPr>
          <w:p>
            <w:pPr>
              <w:spacing w:before="20" w:after="20"/>
            </w:pPr>
            <w:r>
              <w:rPr>
                <w:sz w:val="18"/>
              </w:rPr>
              <w:t>Lighthouse SEO y Semántica</w:t>
            </w:r>
          </w:p>
        </w:tc>
        <w:tc>
          <w:tcPr>
            <w:tcW w:type="dxa" w:w="2880"/>
            <w:shd w:fill="F9FBFD"/>
            <w:tcMar>
              <w:top w:w="90" w:type="dxa"/>
              <w:bottom w:w="90" w:type="dxa"/>
              <w:left w:w="120" w:type="dxa"/>
              <w:right w:w="120" w:type="dxa"/>
            </w:tcMar>
          </w:tcPr>
          <w:p>
            <w:pPr>
              <w:spacing w:before="20" w:after="20"/>
            </w:pPr>
            <w:r>
              <w:rPr>
                <w:sz w:val="18"/>
              </w:rPr>
              <w:t>100 / 100</w:t>
            </w:r>
          </w:p>
        </w:tc>
        <w:tc>
          <w:tcPr>
            <w:tcW w:type="dxa" w:w="3600"/>
            <w:shd w:fill="F9FBFD"/>
            <w:tcMar>
              <w:top w:w="90" w:type="dxa"/>
              <w:bottom w:w="90" w:type="dxa"/>
              <w:left w:w="120" w:type="dxa"/>
              <w:right w:w="120" w:type="dxa"/>
            </w:tcMar>
          </w:tcPr>
          <w:p>
            <w:pPr>
              <w:spacing w:before="20" w:after="20"/>
            </w:pPr>
            <w:r>
              <w:rPr>
                <w:sz w:val="18"/>
              </w:rPr>
              <w:t>Optimización completa para indexación</w:t>
            </w:r>
          </w:p>
        </w:tc>
      </w:tr>
    </w:tbl>
    <w:p>
      <w:pPr>
        <w:pStyle w:val="Heading2"/>
        <w:keepNext/>
        <w:spacing w:before="280" w:after="120"/>
      </w:pPr>
      <w:r>
        <w:rPr>
          <w:b/>
          <w:color w:val="1C5094"/>
          <w:sz w:val="26"/>
        </w:rPr>
        <w:t>5.3. Guía de Capturas de Pantalla para el Informe PDF Final</w:t>
      </w:r>
    </w:p>
    <w:p>
      <w:r>
        <w:t>Para completar la entrega del archivo PDF requerido, se deben adjuntar las capturas de pantalla de los siguientes elementos en ejecución:</w:t>
        <w:br/>
        <w:t>1. Captura del Encabezado y Sección Hero: Vista principal en http://127.0.0.1:8110 mostrando la identidad de Altiplano Marketplace y los botones de acción.</w:t>
        <w:br/>
        <w:t>2. Captura de la Grilla de Categorías: Visualización de las 7 categorías cargadas dinámicamente desde la base de datos relacional.</w:t>
        <w:br/>
        <w:t>3. Captura del Catálogo de Productos en Bs: Tarjetas de productos con imagen, título, descripción y precio en moneda boliviana.</w:t>
        <w:br/>
        <w:t>4. Captura de Responsividad Móvil (360px): Inspección en Chrome DevTools mostrando la perfecta adaptación en dispositivos móviles.</w:t>
        <w:br/>
        <w:t>5. Captura de Consulta en Base de Datos MySQL: Consola o interfaz mostrando los registros de landing_categoria (7) y landing_producto (70).</w:t>
        <w:br/>
        <w:t>6. Captura de Auditoría Lighthouse: Puntuaciones de 100 en Accesibilidad y SEO y LCP de 500 ms.</w:t>
      </w:r>
    </w:p>
    <w:p>
      <w:pPr>
        <w:pStyle w:val="Heading2"/>
        <w:keepNext/>
        <w:spacing w:before="280" w:after="120"/>
      </w:pPr>
      <w:r>
        <w:rPr>
          <w:b/>
          <w:color w:val="1C5094"/>
          <w:sz w:val="26"/>
        </w:rPr>
        <w:t>5.4. Enlace al Repositorio y Ejecución del Proyecto</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02C57"/>
              <w:top w:val="none"/>
              <w:right w:val="none"/>
              <w:bottom w:val="none"/>
            </w:tcBorders>
          </w:tcPr>
          <w:p>
            <w:pPr>
              <w:spacing w:before="40" w:after="40"/>
            </w:pPr>
            <w:r>
              <w:rPr>
                <w:b/>
                <w:color w:val="102C57"/>
              </w:rPr>
              <w:t xml:space="preserve">[REPOSITORIO DE CÓDIGO FUENTE] </w:t>
            </w:r>
            <w:r>
              <w:rPr>
                <w:color w:val="282828"/>
                <w:sz w:val="19"/>
              </w:rPr>
              <w:t>Repositorio GitHub del Proyecto:</w:t>
              <w:br/>
              <w:t>https://github.com/mianhtsys/landingMod3.git</w:t>
              <w:br/>
              <w:br/>
              <w:t>Ruta del Código de la Landing Page: proyecto/07_landing/</w:t>
              <w:br/>
              <w:t>Comando de Ejecución Local: php -S 127.0.0.1:8110 -t proyecto/07_landing/public</w:t>
            </w:r>
          </w:p>
        </w:tc>
      </w:tr>
    </w:tbl>
    <w:p>
      <w:pPr>
        <w:spacing w:after="80"/>
      </w:pPr>
    </w:p>
    <w:p>
      <w:pPr>
        <w:pStyle w:val="Heading2"/>
        <w:keepNext/>
        <w:spacing w:before="280" w:after="120"/>
      </w:pPr>
      <w:r>
        <w:rPr>
          <w:b/>
          <w:color w:val="1C5094"/>
          <w:sz w:val="26"/>
        </w:rPr>
        <w:t>5.5. Conclusión General del Módulo</w:t>
      </w:r>
    </w:p>
    <w:p>
      <w:r>
        <w:t>El desarrollo de la Landing Page funcional Altiplano Marketplace integró con éxito todas las competencias clave abordadas en el módulo: desde el diseño visual centrado en el usuario y la accesibilidad web, hasta el procesamiento estructurado en el servidor mediante PHP puro y la interacción con bases de datos relacionales a través de PDO. La solución implementada demostró que no es indispensable sobrecargar una aplicación con dependencias complejas o frameworks pesados para conseguir tiempos de carga excepcionales (LCP 500 ms), diseño adaptable a cualquier pantalla y una comunicación fluida entre el cliente y el servidor web, entregando un producto digital comercialmente viable, mantenible y rigurosamente alineado con las buenas prácticas de la ingeniería de software.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Documento Académico Integral — S3IH &amp; Altiplano Marketplace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Módulo 3: Desarrollo al Lado del Cliente y Servidor Web | Maestría en Ingeniería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