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48"/>
          <w:szCs w:val="48"/>
        </w:rPr>
      </w:pP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48"/>
          <w:szCs w:val="48"/>
          <w:rtl w:val="0"/>
        </w:rPr>
        <w:t>Nova</w:t>
      </w: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48"/>
          <w:szCs w:val="48"/>
          <w:rtl w:val="0"/>
          <w:lang w:val="en-US"/>
        </w:rPr>
        <w:t xml:space="preserve"> </w:t>
      </w: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48"/>
          <w:szCs w:val="48"/>
          <w:rtl w:val="0"/>
        </w:rPr>
        <w:t xml:space="preserve">Retail Performance Analysis Report 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Candara" w:hAnsi="Candara" w:eastAsia="Google Sans" w:cs="Candara"/>
          <w:color w:val="1F1F1F"/>
          <w:lang w:val="en-US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  <w:lang w:val="en-US"/>
        </w:rPr>
        <w:t>Name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</w:t>
      </w:r>
      <w:r>
        <w:rPr>
          <w:rFonts w:hint="default" w:ascii="Candara" w:hAnsi="Candara" w:eastAsia="Google Sans" w:cs="Candara"/>
          <w:color w:val="1F1F1F"/>
          <w:rtl w:val="0"/>
          <w:lang w:val="en-US"/>
        </w:rPr>
        <w:t>ABDULLAH AYUB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Candara" w:hAnsi="Candara" w:eastAsia="Google Sans" w:cs="Candara"/>
          <w:color w:val="1F1F1F"/>
          <w:lang w:val="en-US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  <w:lang w:val="en-US"/>
        </w:rPr>
        <w:t>Roll NO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</w:t>
      </w:r>
      <w:r>
        <w:rPr>
          <w:rFonts w:hint="default" w:ascii="Candara" w:hAnsi="Candara" w:eastAsia="Google Sans" w:cs="Candara"/>
          <w:color w:val="1F1F1F"/>
          <w:rtl w:val="0"/>
          <w:lang w:val="en-US"/>
        </w:rPr>
        <w:t>BSDSF24M029</w:t>
      </w:r>
    </w:p>
    <w:p w14:paraId="0000000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</w:rPr>
      </w:pP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  <w:t>Sales Velocity and Core Time Intelligence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Candara" w:hAnsi="Candara" w:eastAsia="Google Sans" w:cs="Candara"/>
          <w:b/>
          <w:bCs/>
          <w:color w:val="1F1F1F"/>
        </w:rPr>
      </w:pPr>
      <w:r>
        <w:rPr>
          <w:rFonts w:hint="default" w:ascii="Candara" w:hAnsi="Candara" w:eastAsia="Google Sans" w:cs="Candara"/>
          <w:b/>
          <w:bCs/>
          <w:color w:val="1F1F1F"/>
        </w:rPr>
        <w:drawing>
          <wp:inline distT="114300" distB="114300" distL="114300" distR="114300">
            <wp:extent cx="5943600" cy="3327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28"/>
          <w:szCs w:val="28"/>
          <w:rtl w:val="0"/>
        </w:rPr>
        <w:t>Key Data Points: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Total Sales Performance: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According to the dashboard, the total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Sales YTD stands at $30.90M</w:t>
      </w:r>
      <w:r>
        <w:rPr>
          <w:rFonts w:hint="default" w:ascii="Candara" w:hAnsi="Candara" w:eastAsia="Google Sans" w:cs="Candara"/>
          <w:color w:val="1F1F1F"/>
          <w:rtl w:val="0"/>
        </w:rPr>
        <w:t>.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Quarterly &amp; Monthly View: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Sales QTD of $9.63M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and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Sales MTD of $3.49M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indicate that the sales momentum remains stable across the current periods.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Regional Profitability: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The bar chart clearly illustrates that the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North Region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generates the highest Gross Profit, followed by the South Region. Profit margins in the East and West regions are significantly lower.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Channel Analysis: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The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Wholesale channel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holds the largest share of revenue ($16.97M), while the Marketplace remains the smallest segment in terms of contribution.</w:t>
      </w:r>
    </w:p>
    <w:p w14:paraId="0000000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28"/>
          <w:szCs w:val="28"/>
          <w:rtl w:val="0"/>
        </w:rPr>
        <w:t>Interpretation: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Candara" w:hAnsi="Candara" w:eastAsia="Google Sans" w:cs="Candara"/>
          <w:color w:val="1F1F1F"/>
        </w:rPr>
      </w:pPr>
      <w:r>
        <w:rPr>
          <w:rFonts w:hint="default" w:ascii="Candara" w:hAnsi="Candara" w:eastAsia="Google Sans" w:cs="Candara"/>
          <w:color w:val="1F1F1F"/>
          <w:rtl w:val="0"/>
        </w:rPr>
        <w:t>By utilizing time-intelligence measures, we observe that sales peak significantly during the year-end (December). The monthly trend line suggests that the retail business is subject to high seasonal fluctuations, necessitating proactive inventory management for Q4.</w:t>
      </w:r>
    </w:p>
    <w:p w14:paraId="0000000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  <w:lang w:val="en-US"/>
        </w:rPr>
      </w:pP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  <w:t>Growth Trends and Rolling Calculations</w:t>
      </w: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  <w:lang w:val="en-US"/>
        </w:rPr>
        <w:t>:</w:t>
      </w:r>
    </w:p>
    <w:p w14:paraId="1A03575B">
      <w:pPr>
        <w:rPr>
          <w:rFonts w:hint="default"/>
          <w:lang w:val="en-US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Candara" w:hAnsi="Candara" w:eastAsia="Google Sans" w:cs="Candara"/>
          <w:b/>
          <w:bCs/>
          <w:color w:val="1F1F1F"/>
        </w:rPr>
      </w:pPr>
      <w:r>
        <w:rPr>
          <w:rFonts w:hint="default" w:ascii="Candara" w:hAnsi="Candara" w:eastAsia="Google Sans" w:cs="Candara"/>
          <w:b/>
          <w:bCs/>
          <w:color w:val="1F1F1F"/>
        </w:rPr>
        <w:drawing>
          <wp:inline distT="114300" distB="114300" distL="114300" distR="114300">
            <wp:extent cx="5943600" cy="337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28"/>
          <w:szCs w:val="28"/>
          <w:rtl w:val="0"/>
        </w:rPr>
        <w:t>Key Findings:</w:t>
      </w:r>
    </w:p>
    <w:p w14:paraId="0000001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YoY Growth by Category: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The most impressive growth has been observed in the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Furniture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and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Fashion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categories, where the YoY % is approaching approximately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0.4 (40%)</w:t>
      </w:r>
      <w:r>
        <w:rPr>
          <w:rFonts w:hint="default" w:ascii="Candara" w:hAnsi="Candara" w:eastAsia="Google Sans" w:cs="Candara"/>
          <w:color w:val="1F1F1F"/>
          <w:rtl w:val="0"/>
        </w:rPr>
        <w:t>. In contrast, the Electronics category shows a relatively slower growth rate.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Rolling 12M Sales: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The line chart demonstrates that the "Rolling 12M Sales" is significantly smoother than the volatile monthly sales bars. This confirms a positive long-term growth trend for NovaRetail, despite short-term monthly dips.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Fiscal Context: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The Fiscal Year summary table reveals that while 2024 was a peak year with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$37.62M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in sales, the 2025 performance currently stands at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$34.10M</w:t>
      </w:r>
      <w:r>
        <w:rPr>
          <w:rFonts w:hint="default" w:ascii="Candara" w:hAnsi="Candara" w:eastAsia="Google Sans" w:cs="Candara"/>
          <w:color w:val="1F1F1F"/>
          <w:rtl w:val="0"/>
        </w:rPr>
        <w:t>, indicating a need for aggressive strategies to meet year-end targets.</w:t>
      </w:r>
    </w:p>
    <w:p w14:paraId="37C7F55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</w:p>
    <w:p w14:paraId="565A93A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</w:p>
    <w:p w14:paraId="242AA5F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</w:p>
    <w:p w14:paraId="3F98AD0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</w:p>
    <w:p w14:paraId="1E0EDBD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</w:p>
    <w:p w14:paraId="0000001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  <w:lang w:val="en-US"/>
        </w:rPr>
      </w:pP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  <w:t>Budget vs Actual and Final Challenges</w:t>
      </w: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  <w:lang w:val="en-US"/>
        </w:rPr>
        <w:t>:</w:t>
      </w:r>
    </w:p>
    <w:p w14:paraId="24119DA4">
      <w:pPr>
        <w:rPr>
          <w:rFonts w:hint="default"/>
          <w:lang w:val="en-US"/>
        </w:rPr>
      </w:pP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Candara" w:hAnsi="Candara" w:eastAsia="Google Sans" w:cs="Candara"/>
          <w:b/>
          <w:bCs/>
          <w:color w:val="1F1F1F"/>
        </w:rPr>
      </w:pPr>
      <w:r>
        <w:rPr>
          <w:rFonts w:hint="default" w:ascii="Candara" w:hAnsi="Candara" w:eastAsia="Google Sans" w:cs="Candara"/>
          <w:b/>
          <w:bCs/>
          <w:color w:val="1F1F1F"/>
        </w:rPr>
        <w:drawing>
          <wp:inline distT="114300" distB="114300" distL="114300" distR="114300">
            <wp:extent cx="5943600" cy="3340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E1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Candara" w:hAnsi="Candara" w:eastAsia="Google Sans" w:cs="Candara"/>
          <w:b/>
          <w:bCs/>
          <w:color w:val="1F1F1F"/>
        </w:rPr>
      </w:pPr>
      <w:bookmarkStart w:id="0" w:name="_GoBack"/>
      <w:bookmarkEnd w:id="0"/>
    </w:p>
    <w:p w14:paraId="0000001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28"/>
          <w:szCs w:val="28"/>
          <w:rtl w:val="0"/>
        </w:rPr>
        <w:t>Key Analysis:</w:t>
      </w:r>
    </w:p>
    <w:p w14:paraId="0000001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Budget Variance: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According to the gauge visual,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Actual Sales are $45.19M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against a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Budget of $50.98M</w:t>
      </w:r>
      <w:r>
        <w:rPr>
          <w:rFonts w:hint="default" w:ascii="Candara" w:hAnsi="Candara" w:eastAsia="Google Sans" w:cs="Candara"/>
          <w:color w:val="1F1F1F"/>
          <w:rtl w:val="0"/>
        </w:rPr>
        <w:t xml:space="preserve">. This represents a total budget shortfall of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$5.79M</w:t>
      </w:r>
      <w:r>
        <w:rPr>
          <w:rFonts w:hint="default" w:ascii="Candara" w:hAnsi="Candara" w:eastAsia="Google Sans" w:cs="Candara"/>
          <w:color w:val="1F1F1F"/>
          <w:rtl w:val="0"/>
        </w:rPr>
        <w:t>.</w:t>
      </w:r>
    </w:p>
    <w:p w14:paraId="0000001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Regional Variance: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The treemap visual identifies that the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North Region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carries the most significant negative budget variance, which serves as a critical "Red Flag" for management.</w:t>
      </w:r>
    </w:p>
    <w:p w14:paraId="00000018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Online Channel Growth: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Both the line and pie charts confirm that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Online Sales %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has been steadily increasing from 2022 through 2025, validating the success of the company’s digital transformation.</w:t>
      </w:r>
    </w:p>
    <w:p w14:paraId="0000001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Consumer Segment: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The comparison between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Consumer YTD Sales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and </w:t>
      </w:r>
      <w:r>
        <w:rPr>
          <w:rFonts w:hint="default" w:ascii="Candara" w:hAnsi="Candara" w:eastAsia="Google Sans" w:cs="Candara"/>
          <w:b/>
          <w:bCs/>
          <w:color w:val="1F1F1F"/>
          <w:rtl w:val="0"/>
        </w:rPr>
        <w:t>Prior YTD Sales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shows that current year performance (light blue bars) has consistently outperformed the previous year on a month-by-month basis, particularly in Quarter 4.</w:t>
      </w:r>
    </w:p>
    <w:p w14:paraId="0506183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</w:p>
    <w:p w14:paraId="7927EEA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</w:p>
    <w:p w14:paraId="5761526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</w:p>
    <w:p w14:paraId="3AAED07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</w:p>
    <w:p w14:paraId="5F07801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</w:p>
    <w:p w14:paraId="557C249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</w:p>
    <w:p w14:paraId="0000001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</w:pPr>
      <w:r>
        <w:rPr>
          <w:rFonts w:hint="default" w:ascii="Candara" w:hAnsi="Candara" w:eastAsia="Google Sans" w:cs="Candara"/>
          <w:b/>
          <w:bCs/>
          <w:i w:val="0"/>
          <w:iCs w:val="0"/>
          <w:color w:val="1F1F1F"/>
          <w:sz w:val="36"/>
          <w:szCs w:val="36"/>
          <w:highlight w:val="lightGray"/>
          <w:rtl w:val="0"/>
        </w:rPr>
        <w:t>Conclusion &amp; Recommendations:</w:t>
      </w:r>
    </w:p>
    <w:p w14:paraId="437971C0">
      <w:pPr>
        <w:rPr>
          <w:rFonts w:hint="default"/>
        </w:rPr>
      </w:pPr>
    </w:p>
    <w:p w14:paraId="0000001B">
      <w:pPr>
        <w:rPr>
          <w:rFonts w:hint="default" w:ascii="Candara" w:hAnsi="Candara" w:cs="Candara"/>
        </w:rPr>
      </w:pPr>
      <w:r>
        <w:rPr>
          <w:rFonts w:hint="default" w:ascii="Candara" w:hAnsi="Candara" w:cs="Candara"/>
        </w:rPr>
        <w:drawing>
          <wp:inline distT="114300" distB="114300" distL="114300" distR="114300">
            <wp:extent cx="5943600" cy="3327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5E3C">
      <w:pPr>
        <w:rPr>
          <w:rFonts w:hint="default" w:ascii="Candara" w:hAnsi="Candara" w:cs="Candara"/>
        </w:rPr>
      </w:pPr>
    </w:p>
    <w:p w14:paraId="0000001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Focus on North Region: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Despite being the top revenue generator, the North Region is failing to meet its specific budget targets. A deep dive into regional sales operations and local market conditions is recommended.</w:t>
      </w:r>
    </w:p>
    <w:p w14:paraId="0000001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Category Investment: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Furniture and Fashion categories are showing high growth potential. Shifting a larger portion of the marketing budget toward these categories could maximize ROI.</w:t>
      </w:r>
    </w:p>
    <w:p w14:paraId="0000001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default" w:ascii="Candara" w:hAnsi="Candara" w:cs="Candara"/>
        </w:rPr>
      </w:pPr>
      <w:r>
        <w:rPr>
          <w:rFonts w:hint="default" w:ascii="Candara" w:hAnsi="Candara" w:eastAsia="Google Sans" w:cs="Candara"/>
          <w:b/>
          <w:bCs/>
          <w:color w:val="1F1F1F"/>
          <w:rtl w:val="0"/>
        </w:rPr>
        <w:t>Digital Transformation:</w:t>
      </w:r>
      <w:r>
        <w:rPr>
          <w:rFonts w:hint="default" w:ascii="Candara" w:hAnsi="Candara" w:eastAsia="Google Sans" w:cs="Candara"/>
          <w:color w:val="1F1F1F"/>
          <w:rtl w:val="0"/>
        </w:rPr>
        <w:t xml:space="preserve"> The consistent growth in Online sales suggests a shift in consumer behavior. Optimizing this channel further could reduce the business's heavy dependency on the Wholesale segment.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800AC70E-B680-4763-8671-D1BFE82A8DC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0E94AFB-45AE-4A4C-A627-F6599073CFF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DAEE83D-0054-4B1D-A87C-E730E1FFDA6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95390C6-A5EE-4558-8F44-CEBD6BDC252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95097704-8625-4BF0-B856-68927093E3CE}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DDC1DAB3-D64A-4A15-8E6B-0E4B29103F89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  <w:embedRegular r:id="rId7" w:fontKey="{1F0BF181-4A0A-453D-90C1-BD7D3350F99C}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  <w:embedRegular r:id="rId8" w:fontKey="{3606BDBD-8744-4DC8-8B92-8AE7717C7201}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  <w:embedRegular r:id="rId9" w:fontKey="{77A951B0-6EB6-4C25-B191-F955C009CC7D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10" w:fontKey="{D49DBCF6-6E3B-4C45-BF7A-61715C05B2EE}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  <w:embedRegular r:id="rId11" w:fontKey="{D4267B4C-E5FA-42A4-88A0-48E6C1AFB1AB}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  <w:embedRegular r:id="rId12" w:fontKey="{2B8477B4-2EC0-4867-9A43-C36A6292B145}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  <w:embedRegular r:id="rId13" w:fontKey="{EF386876-8775-4757-85CD-60C35D18426C}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  <w:embedRegular r:id="rId14" w:fontKey="{A9D9648D-04A0-4976-9E8B-E0F4ED99BCF8}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  <w:embedRegular r:id="rId15" w:fontKey="{5FBC106C-03F8-40E7-8DD4-49C70128AAC3}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  <w:embedRegular r:id="rId16" w:fontKey="{7CCDB611-00EF-4005-B6D8-BBEA46F01E9D}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  <w:embedRegular r:id="rId17" w:fontKey="{85D0720C-E641-46B4-B0F3-F75261A66CD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589444E"/>
    <w:rsid w:val="74C938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7" Type="http://schemas.openxmlformats.org/officeDocument/2006/relationships/font" Target="fonts/font17.odttf"/><Relationship Id="rId16" Type="http://schemas.openxmlformats.org/officeDocument/2006/relationships/font" Target="fonts/font16.odttf"/><Relationship Id="rId15" Type="http://schemas.openxmlformats.org/officeDocument/2006/relationships/font" Target="fonts/font15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475</Words>
  <Characters>2779</Characters>
  <TotalTime>4</TotalTime>
  <ScaleCrop>false</ScaleCrop>
  <LinksUpToDate>false</LinksUpToDate>
  <CharactersWithSpaces>3229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2026-03-12T17:56:50Z</dcterms:created>
  <dc:creator>User</dc:creator>
  <cp:lastModifiedBy>Mian Abdullah</cp:lastModifiedBy>
  <dcterms:modified xsi:type="dcterms:W3CDTF">2026-03-12T18:02:16Z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DF3360637E604C659663B7BEA8AC1045_13</vt:lpwstr>
  </property>
</Properties>
</file>