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vAlign w:val="top"/>
          </w:tcPr>
          <w:p>
            <w:pPr>
              <w:spacing w:before="4092"/>
            </w:pPr>
          </w:p>
          <w:p>
            <w:pPr>
              <w:pBdr>
                <w:bottom w:val="single" w:color="2A7A65" w:sz="6" w:space="8"/>
              </w:pBdr>
              <w:spacing w:after="500"/>
              <w:ind w:left="1200" w:right="800"/>
            </w:pPr>
            <w:r>
              <w:rPr>
                <w:rFonts w:ascii="Calibri" w:eastAsia="SimHei"/>
                <w:color w:val="2A7A65"/>
                <w:spacing w:val="40"/>
                <w:sz w:val="18"/>
                <w:szCs w:val="18"/>
              </w:rPr>
              <w:t xml:space="preserve">R  E  C  Y  C  L  I  N  G     S  E  R  V  I  C  E     P  L  A  T  F  O  R  M</w:t>
            </w:r>
          </w:p>
          <w:p>
            <w:pPr>
              <w:spacing w:after="100" w:line="920" w:lineRule="atLeast"/>
              <w:ind w:left="1200"/>
            </w:pPr>
            <w:r>
              <w:rPr>
                <w:rFonts w:ascii="Arial" w:eastAsia="SimHei"/>
                <w:b/>
                <w:bCs/>
                <w:color w:val="FFFFFF"/>
                <w:sz w:val="80"/>
                <w:szCs w:val="80"/>
              </w:rPr>
              <w:t xml:space="preserve">众云信息科技回收综合服</w:t>
            </w:r>
          </w:p>
          <w:p>
            <w:pPr>
              <w:spacing w:after="300" w:line="920" w:lineRule="atLeast"/>
              <w:ind w:left="1200"/>
            </w:pPr>
            <w:r>
              <w:rPr>
                <w:rFonts w:ascii="Arial" w:eastAsia="SimHei"/>
                <w:b/>
                <w:bCs/>
                <w:color w:val="FFFFFF"/>
                <w:sz w:val="80"/>
                <w:szCs w:val="80"/>
              </w:rPr>
              <w:t xml:space="preserve">务平台</w:t>
            </w:r>
          </w:p>
          <w:p>
            <w:pPr>
              <w:spacing w:after="800"/>
              <w:ind w:left="1200"/>
            </w:pPr>
            <w:r>
              <w:rPr>
                <w:rFonts w:ascii="Arial" w:eastAsia="Microsoft YaHei"/>
                <w:color w:val="B0B8C0"/>
                <w:sz w:val="24"/>
                <w:szCs w:val="24"/>
              </w:rPr>
              <w:t xml:space="preserve">V1.0 软件说明书</w:t>
            </w:r>
          </w:p>
          <w:p>
            <w:pPr>
              <w:pBdr>
                <w:left w:val="single" w:color="2A7A65" w:sz="8" w:space="12"/>
              </w:pBdr>
              <w:spacing w:after="80"/>
              <w:ind w:left="1400"/>
            </w:pPr>
            <w:r>
              <w:rPr>
                <w:rFonts w:ascii="Arial" w:eastAsia="Microsoft YaHei"/>
                <w:color w:val="90989F"/>
                <w:sz w:val="24"/>
                <w:szCs w:val="24"/>
              </w:rPr>
              <w:t xml:space="preserve">软件名称：众云信息科技回收综合服务平台</w:t>
            </w:r>
          </w:p>
          <w:p>
            <w:pPr>
              <w:pBdr>
                <w:left w:val="single" w:color="2A7A65" w:sz="8" w:space="12"/>
              </w:pBdr>
              <w:spacing w:after="80"/>
              <w:ind w:left="1400"/>
            </w:pPr>
            <w:r>
              <w:rPr>
                <w:rFonts w:ascii="Arial" w:eastAsia="Microsoft YaHei"/>
                <w:color w:val="90989F"/>
                <w:sz w:val="24"/>
                <w:szCs w:val="24"/>
              </w:rPr>
              <w:t xml:space="preserve">版本号：V1.0</w:t>
            </w:r>
          </w:p>
          <w:p>
            <w:pPr>
              <w:pBdr>
                <w:left w:val="single" w:color="2A7A65" w:sz="8" w:space="12"/>
              </w:pBdr>
              <w:spacing w:after="80"/>
              <w:ind w:left="1400"/>
            </w:pPr>
            <w:r>
              <w:rPr>
                <w:rFonts w:ascii="Arial" w:eastAsia="Microsoft YaHei"/>
                <w:color w:val="90989F"/>
                <w:sz w:val="24"/>
                <w:szCs w:val="24"/>
              </w:rPr>
              <w:t xml:space="preserve">文档类型：软件著作权登记申请材料</w:t>
            </w:r>
          </w:p>
          <w:p>
            <w:pPr>
              <w:pBdr>
                <w:left w:val="single" w:color="2A7A65" w:sz="8" w:space="12"/>
              </w:pBdr>
              <w:spacing w:after="80"/>
              <w:ind w:left="1400"/>
            </w:pPr>
            <w:r>
              <w:rPr>
                <w:rFonts w:ascii="Arial" w:eastAsia="Microsoft YaHei"/>
                <w:color w:val="90989F"/>
                <w:sz w:val="24"/>
                <w:szCs w:val="24"/>
              </w:rPr>
              <w:t xml:space="preserve">编制日期：2026 年 9 月</w:t>
            </w:r>
          </w:p>
          <w:p>
            <w:pPr>
              <w:spacing w:before="4092"/>
            </w:pPr>
          </w:p>
          <w:p>
            <w:pPr>
              <w:pBdr>
                <w:top w:val="single" w:color="2A7A65" w:sz="2" w:space="8"/>
              </w:pBdr>
              <w:spacing w:before="200"/>
              <w:ind w:left="1200" w:right="800"/>
            </w:pPr>
            <w:r>
              <w:rPr>
                <w:rFonts w:ascii="Arial" w:eastAsia="Microsoft YaHei"/>
                <w:color w:val="687078"/>
                <w:sz w:val="16"/>
                <w:szCs w:val="16"/>
              </w:rPr>
              <w:t xml:space="preserve">软件著作权登记申请材料</w:t>
            </w:r>
            <w:r>
              <w:t xml:space="preserve">                                        </w:t>
            </w:r>
            <w:r>
              <w:rPr>
                <w:rFonts w:ascii="Arial"/>
                <w:color w:val="687078"/>
                <w:sz w:val="16"/>
                <w:szCs w:val="16"/>
              </w:rPr>
              <w:t xml:space="preserve">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4735"/>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概述</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软件简介</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开发背景与目的</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主要特点</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运行环境</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1.4.1 硬件环境</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1.4.2 软件环境</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1.4.3 网络环境</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1.5 术语与缩略语</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第二章 系统总体结构</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2.1 总体架构</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2.2 技术架构</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2.3 部署架构</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2.4 功能模块划分</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2.5 业务流程设计</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2.5.1 用户回收下单流程</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2.5.2 估价计算流程</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2.5.3 后台订单处理流程</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2.5.4 配价管理流程</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第三章 数据库设计</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3.1 设计概述</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3.2 数据表清单</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3.3 核心表结构说明</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3.3.1 管理员表 recycle_admins</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3.3.2 设备分类表 recycle_categories 与品牌表 recycle_brands</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3.3.3 型号配价表 recycle_models</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3.3.4 调价记录表 recycle_price_logs</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3.3.5 平台档案表 recycle_platforms 与采购链接表 recycle_procurement_links</w:t>
            </w:r>
            <w:r>
              <w:tab/>
            </w:r>
            <w:r>
              <w:fldChar w:fldCharType="begin"/>
            </w:r>
            <w:r>
              <w:instrText xml:space="preserve"> PAGEREF _Toc100027 \h </w:instrText>
            </w:r>
            <w:r>
              <w:fldChar w:fldCharType="separate"/>
            </w:r>
            <w:r>
              <w:t>10</w:t>
            </w:r>
            <w:r>
              <w:fldChar w:fldCharType="end"/>
            </w:r>
          </w:hyperlink>
        </w:p>
        <w:p>
          <w:pPr>
            <w:pStyle w:val="12"/>
            <w:ind w:left="720"/>
            <w:tabs>
              <w:tab w:val="right" w:leader="dot" w:pos="9026"/>
            </w:tabs>
            <w:spacing w:before="120" w:after="60"/>
          </w:pPr>
          <w:hyperlink w:anchor="_Toc100028" w:history="1">
            <w:r>
              <w:rPr>
                <w:rStyle w:val="Hyperlink"/>
              </w:rPr>
              <w:t>3.3.6 估价系数表 recycle_condition_rates</w:t>
            </w:r>
            <w:r>
              <w:tab/>
            </w:r>
            <w:r>
              <w:fldChar w:fldCharType="begin"/>
            </w:r>
            <w:r>
              <w:instrText xml:space="preserve"> PAGEREF _Toc100028 \h </w:instrText>
            </w:r>
            <w:r>
              <w:fldChar w:fldCharType="separate"/>
            </w:r>
            <w:r>
              <w:t>10</w:t>
            </w:r>
            <w:r>
              <w:fldChar w:fldCharType="end"/>
            </w:r>
          </w:hyperlink>
        </w:p>
        <w:p>
          <w:pPr>
            <w:pStyle w:val="12"/>
            <w:ind w:left="720"/>
            <w:tabs>
              <w:tab w:val="right" w:leader="dot" w:pos="9026"/>
            </w:tabs>
            <w:spacing w:before="120" w:after="60"/>
          </w:pPr>
          <w:hyperlink w:anchor="_Toc100029" w:history="1">
            <w:r>
              <w:rPr>
                <w:rStyle w:val="Hyperlink"/>
              </w:rPr>
              <w:t>3.3.7 系统参数表 recycle_settings</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3.3.8 操作日志表 recycle_operation_logs</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3.3.9 业务订单表 orders（共享）</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3.4 数据一致性设计</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第四章 接口设计</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4.1 接口规范</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4.2 认证与账号接口</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4.3 回收订单接口</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4.4 配价库接口</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4.5 平台与链接接口</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4.6 统计接口</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4.7 系统设置与日志接口</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4.8 小程序端公开接口</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第五章 小程序端功能设计与说明</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5.1 回收主页</w:t>
            </w:r>
            <w:r>
              <w:tab/>
            </w:r>
            <w:r>
              <w:fldChar w:fldCharType="begin"/>
            </w:r>
            <w:r>
              <w:instrText xml:space="preserve"> PAGEREF _Toc100043 \h </w:instrText>
            </w:r>
            <w:r>
              <w:fldChar w:fldCharType="separate"/>
            </w:r>
            <w:r>
              <w:t>14</w:t>
            </w:r>
            <w:r>
              <w:fldChar w:fldCharType="end"/>
            </w:r>
          </w:hyperlink>
        </w:p>
        <w:p>
          <w:pPr>
            <w:pStyle w:val="12"/>
            <w:ind w:left="720"/>
            <w:tabs>
              <w:tab w:val="right" w:leader="dot" w:pos="9026"/>
            </w:tabs>
            <w:spacing w:before="120" w:after="60"/>
          </w:pPr>
          <w:hyperlink w:anchor="_Toc100044" w:history="1">
            <w:r>
              <w:rPr>
                <w:rStyle w:val="Hyperlink"/>
              </w:rPr>
              <w:t>5.1.1 页面布局与视觉设计</w:t>
            </w:r>
            <w:r>
              <w:tab/>
            </w:r>
            <w:r>
              <w:fldChar w:fldCharType="begin"/>
            </w:r>
            <w:r>
              <w:instrText xml:space="preserve"> PAGEREF _Toc100044 \h </w:instrText>
            </w:r>
            <w:r>
              <w:fldChar w:fldCharType="separate"/>
            </w:r>
            <w:r>
              <w:t>14</w:t>
            </w:r>
            <w:r>
              <w:fldChar w:fldCharType="end"/>
            </w:r>
          </w:hyperlink>
        </w:p>
        <w:p>
          <w:pPr>
            <w:pStyle w:val="12"/>
            <w:ind w:left="720"/>
            <w:tabs>
              <w:tab w:val="right" w:leader="dot" w:pos="9026"/>
            </w:tabs>
            <w:spacing w:before="120" w:after="60"/>
          </w:pPr>
          <w:hyperlink w:anchor="_Toc100045" w:history="1">
            <w:r>
              <w:rPr>
                <w:rStyle w:val="Hyperlink"/>
              </w:rPr>
              <w:t>5.1.2 分类与品牌浏览</w:t>
            </w:r>
            <w:r>
              <w:tab/>
            </w:r>
            <w:r>
              <w:fldChar w:fldCharType="begin"/>
            </w:r>
            <w:r>
              <w:instrText xml:space="preserve"> PAGEREF _Toc100045 \h </w:instrText>
            </w:r>
            <w:r>
              <w:fldChar w:fldCharType="separate"/>
            </w:r>
            <w:r>
              <w:t>14</w:t>
            </w:r>
            <w:r>
              <w:fldChar w:fldCharType="end"/>
            </w:r>
          </w:hyperlink>
        </w:p>
        <w:p>
          <w:pPr>
            <w:pStyle w:val="12"/>
            <w:ind w:left="720"/>
            <w:tabs>
              <w:tab w:val="right" w:leader="dot" w:pos="9026"/>
            </w:tabs>
            <w:spacing w:before="120" w:after="60"/>
          </w:pPr>
          <w:hyperlink w:anchor="_Toc100046" w:history="1">
            <w:r>
              <w:rPr>
                <w:rStyle w:val="Hyperlink"/>
              </w:rPr>
              <w:t>5.1.3 型号选择与估价入口</w:t>
            </w:r>
            <w:r>
              <w:tab/>
            </w:r>
            <w:r>
              <w:fldChar w:fldCharType="begin"/>
            </w:r>
            <w:r>
              <w:instrText xml:space="preserve"> PAGEREF _Toc100046 \h </w:instrText>
            </w:r>
            <w:r>
              <w:fldChar w:fldCharType="separate"/>
            </w:r>
            <w:r>
              <w:t>15</w:t>
            </w:r>
            <w:r>
              <w:fldChar w:fldCharType="end"/>
            </w:r>
          </w:hyperlink>
        </w:p>
        <w:p>
          <w:pPr>
            <w:pStyle w:val="12"/>
            <w:ind w:left="720"/>
            <w:tabs>
              <w:tab w:val="right" w:leader="dot" w:pos="9026"/>
            </w:tabs>
            <w:spacing w:before="120" w:after="60"/>
          </w:pPr>
          <w:hyperlink w:anchor="_Toc100047" w:history="1">
            <w:r>
              <w:rPr>
                <w:rStyle w:val="Hyperlink"/>
              </w:rPr>
              <w:t>5.1.4 全局型号搜索</w:t>
            </w:r>
            <w:r>
              <w:tab/>
            </w:r>
            <w:r>
              <w:fldChar w:fldCharType="begin"/>
            </w:r>
            <w:r>
              <w:instrText xml:space="preserve"> PAGEREF _Toc100047 \h </w:instrText>
            </w:r>
            <w:r>
              <w:fldChar w:fldCharType="separate"/>
            </w:r>
            <w:r>
              <w:t>15</w:t>
            </w:r>
            <w:r>
              <w:fldChar w:fldCharType="end"/>
            </w:r>
          </w:hyperlink>
        </w:p>
        <w:p>
          <w:pPr>
            <w:pStyle w:val="12"/>
            <w:ind w:left="720"/>
            <w:tabs>
              <w:tab w:val="right" w:leader="dot" w:pos="9026"/>
            </w:tabs>
            <w:spacing w:before="120" w:after="60"/>
          </w:pPr>
          <w:hyperlink w:anchor="_Toc100051" w:history="1">
            <w:r>
              <w:rPr>
                <w:rStyle w:val="Hyperlink"/>
              </w:rPr>
              <w:t>5.1.5 平台比价</w:t>
            </w:r>
            <w:r>
              <w:tab/>
            </w:r>
            <w:r>
              <w:fldChar w:fldCharType="begin"/>
            </w:r>
            <w:r>
              <w:instrText xml:space="preserve"> PAGEREF _Toc100051 \h </w:instrText>
            </w:r>
            <w:r>
              <w:fldChar w:fldCharType="separate"/>
            </w:r>
            <w:r>
              <w:t>16</w:t>
            </w:r>
            <w:r>
              <w:fldChar w:fldCharType="end"/>
            </w:r>
          </w:hyperlink>
        </w:p>
        <w:p>
          <w:pPr>
            <w:pStyle w:val="12"/>
            <w:ind w:left="720"/>
            <w:tabs>
              <w:tab w:val="right" w:leader="dot" w:pos="9026"/>
            </w:tabs>
            <w:spacing w:before="120" w:after="60"/>
          </w:pPr>
          <w:hyperlink w:anchor="_Toc100052" w:history="1">
            <w:r>
              <w:rPr>
                <w:rStyle w:val="Hyperlink"/>
              </w:rPr>
              <w:t>5.1.6 云端配价加载机制</w:t>
            </w:r>
            <w:r>
              <w:tab/>
            </w:r>
            <w:r>
              <w:fldChar w:fldCharType="begin"/>
            </w:r>
            <w:r>
              <w:instrText xml:space="preserve"> PAGEREF _Toc100052 \h </w:instrText>
            </w:r>
            <w:r>
              <w:fldChar w:fldCharType="separate"/>
            </w:r>
            <w:r>
              <w:t>16</w:t>
            </w:r>
            <w:r>
              <w:fldChar w:fldCharType="end"/>
            </w:r>
          </w:hyperlink>
        </w:p>
        <w:p>
          <w:pPr>
            <w:pStyle w:val="11"/>
            <w:ind w:left="360"/>
            <w:tabs>
              <w:tab w:val="right" w:leader="dot" w:pos="9026"/>
            </w:tabs>
            <w:spacing w:before="120" w:after="60"/>
          </w:pPr>
          <w:hyperlink w:anchor="_Toc100053" w:history="1">
            <w:r>
              <w:rPr>
                <w:rStyle w:val="Hyperlink"/>
              </w:rPr>
              <w:t>5.2 估价引导</w:t>
            </w:r>
            <w:r>
              <w:tab/>
            </w:r>
            <w:r>
              <w:fldChar w:fldCharType="begin"/>
            </w:r>
            <w:r>
              <w:instrText xml:space="preserve"> PAGEREF _Toc100053 \h </w:instrText>
            </w:r>
            <w:r>
              <w:fldChar w:fldCharType="separate"/>
            </w:r>
            <w:r>
              <w:t>16</w:t>
            </w:r>
            <w:r>
              <w:fldChar w:fldCharType="end"/>
            </w:r>
          </w:hyperlink>
        </w:p>
        <w:p>
          <w:pPr>
            <w:pStyle w:val="12"/>
            <w:ind w:left="720"/>
            <w:tabs>
              <w:tab w:val="right" w:leader="dot" w:pos="9026"/>
            </w:tabs>
            <w:spacing w:before="120" w:after="60"/>
          </w:pPr>
          <w:hyperlink w:anchor="_Toc100054" w:history="1">
            <w:r>
              <w:rPr>
                <w:rStyle w:val="Hyperlink"/>
              </w:rPr>
              <w:t>5.2.1 评估流程设计</w:t>
            </w:r>
            <w:r>
              <w:tab/>
            </w:r>
            <w:r>
              <w:fldChar w:fldCharType="begin"/>
            </w:r>
            <w:r>
              <w:instrText xml:space="preserve"> PAGEREF _Toc100054 \h </w:instrText>
            </w:r>
            <w:r>
              <w:fldChar w:fldCharType="separate"/>
            </w:r>
            <w:r>
              <w:t>17</w:t>
            </w:r>
            <w:r>
              <w:fldChar w:fldCharType="end"/>
            </w:r>
          </w:hyperlink>
        </w:p>
        <w:p>
          <w:pPr>
            <w:pStyle w:val="12"/>
            <w:ind w:left="720"/>
            <w:tabs>
              <w:tab w:val="right" w:leader="dot" w:pos="9026"/>
            </w:tabs>
            <w:spacing w:before="120" w:after="60"/>
          </w:pPr>
          <w:hyperlink w:anchor="_Toc100055" w:history="1">
            <w:r>
              <w:rPr>
                <w:rStyle w:val="Hyperlink"/>
              </w:rPr>
              <w:t>5.2.2 评估因子设计</w:t>
            </w:r>
            <w:r>
              <w:tab/>
            </w:r>
            <w:r>
              <w:fldChar w:fldCharType="begin"/>
            </w:r>
            <w:r>
              <w:instrText xml:space="preserve"> PAGEREF _Toc100055 \h </w:instrText>
            </w:r>
            <w:r>
              <w:fldChar w:fldCharType="separate"/>
            </w:r>
            <w:r>
              <w:t>17</w:t>
            </w:r>
            <w:r>
              <w:fldChar w:fldCharType="end"/>
            </w:r>
          </w:hyperlink>
        </w:p>
        <w:p>
          <w:pPr>
            <w:pStyle w:val="12"/>
            <w:ind w:left="720"/>
            <w:tabs>
              <w:tab w:val="right" w:leader="dot" w:pos="9026"/>
            </w:tabs>
            <w:spacing w:before="120" w:after="60"/>
          </w:pPr>
          <w:hyperlink w:anchor="_Toc100056" w:history="1">
            <w:r>
              <w:rPr>
                <w:rStyle w:val="Hyperlink"/>
              </w:rPr>
              <w:t>5.2.3 本地估价算法</w:t>
            </w:r>
            <w:r>
              <w:tab/>
            </w:r>
            <w:r>
              <w:fldChar w:fldCharType="begin"/>
            </w:r>
            <w:r>
              <w:instrText xml:space="preserve"> PAGEREF _Toc100056 \h </w:instrText>
            </w:r>
            <w:r>
              <w:fldChar w:fldCharType="separate"/>
            </w:r>
            <w:r>
              <w:t>17</w:t>
            </w:r>
            <w:r>
              <w:fldChar w:fldCharType="end"/>
            </w:r>
          </w:hyperlink>
        </w:p>
        <w:p>
          <w:pPr>
            <w:pStyle w:val="12"/>
            <w:ind w:left="720"/>
            <w:tabs>
              <w:tab w:val="right" w:leader="dot" w:pos="9026"/>
            </w:tabs>
            <w:spacing w:before="120" w:after="60"/>
          </w:pPr>
          <w:hyperlink w:anchor="_Toc100060" w:history="1">
            <w:r>
              <w:rPr>
                <w:rStyle w:val="Hyperlink"/>
              </w:rPr>
              <w:t>5.2.4 AI 大模型辅助估价</w:t>
            </w:r>
            <w:r>
              <w:tab/>
            </w:r>
            <w:r>
              <w:fldChar w:fldCharType="begin"/>
            </w:r>
            <w:r>
              <w:instrText xml:space="preserve"> PAGEREF _Toc100060 \h </w:instrText>
            </w:r>
            <w:r>
              <w:fldChar w:fldCharType="separate"/>
            </w:r>
            <w:r>
              <w:t>18</w:t>
            </w:r>
            <w:r>
              <w:fldChar w:fldCharType="end"/>
            </w:r>
          </w:hyperlink>
        </w:p>
        <w:p>
          <w:pPr>
            <w:pStyle w:val="12"/>
            <w:ind w:left="720"/>
            <w:tabs>
              <w:tab w:val="right" w:leader="dot" w:pos="9026"/>
            </w:tabs>
            <w:spacing w:before="120" w:after="60"/>
          </w:pPr>
          <w:hyperlink w:anchor="_Toc100064" w:history="1">
            <w:r>
              <w:rPr>
                <w:rStyle w:val="Hyperlink"/>
              </w:rPr>
              <w:t>5.2.5 估价配置热更新</w:t>
            </w:r>
            <w:r>
              <w:tab/>
            </w:r>
            <w:r>
              <w:fldChar w:fldCharType="begin"/>
            </w:r>
            <w:r>
              <w:instrText xml:space="preserve"> PAGEREF _Toc100064 \h </w:instrText>
            </w:r>
            <w:r>
              <w:fldChar w:fldCharType="separate"/>
            </w:r>
            <w:r>
              <w:t>19</w:t>
            </w:r>
            <w:r>
              <w:fldChar w:fldCharType="end"/>
            </w:r>
          </w:hyperlink>
        </w:p>
        <w:p>
          <w:pPr>
            <w:pStyle w:val="12"/>
            <w:ind w:left="720"/>
            <w:tabs>
              <w:tab w:val="right" w:leader="dot" w:pos="9026"/>
            </w:tabs>
            <w:spacing w:before="120" w:after="60"/>
          </w:pPr>
          <w:hyperlink w:anchor="_Toc100065" w:history="1">
            <w:r>
              <w:rPr>
                <w:rStyle w:val="Hyperlink"/>
              </w:rPr>
              <w:t>5.2.6 回收地址选择</w:t>
            </w:r>
            <w:r>
              <w:tab/>
            </w:r>
            <w:r>
              <w:fldChar w:fldCharType="begin"/>
            </w:r>
            <w:r>
              <w:instrText xml:space="preserve"> PAGEREF _Toc100065 \h </w:instrText>
            </w:r>
            <w:r>
              <w:fldChar w:fldCharType="separate"/>
            </w:r>
            <w:r>
              <w:t>20</w:t>
            </w:r>
            <w:r>
              <w:fldChar w:fldCharType="end"/>
            </w:r>
          </w:hyperlink>
        </w:p>
        <w:p>
          <w:pPr>
            <w:pStyle w:val="12"/>
            <w:ind w:left="720"/>
            <w:tabs>
              <w:tab w:val="right" w:leader="dot" w:pos="9026"/>
            </w:tabs>
            <w:spacing w:before="120" w:after="60"/>
          </w:pPr>
          <w:hyperlink w:anchor="_Toc100066" w:history="1">
            <w:r>
              <w:rPr>
                <w:rStyle w:val="Hyperlink"/>
              </w:rPr>
              <w:t>5.2.7 订单提交与确认</w:t>
            </w:r>
            <w:r>
              <w:tab/>
            </w:r>
            <w:r>
              <w:fldChar w:fldCharType="begin"/>
            </w:r>
            <w:r>
              <w:instrText xml:space="preserve"> PAGEREF _Toc100066 \h </w:instrText>
            </w:r>
            <w:r>
              <w:fldChar w:fldCharType="separate"/>
            </w:r>
            <w:r>
              <w:t>20</w:t>
            </w:r>
            <w:r>
              <w:fldChar w:fldCharType="end"/>
            </w:r>
          </w:hyperlink>
        </w:p>
        <w:p>
          <w:pPr>
            <w:pStyle w:val="9"/>
            <w:tabs>
              <w:tab w:val="right" w:leader="dot" w:pos="9026"/>
            </w:tabs>
            <w:spacing w:before="120" w:after="60"/>
          </w:pPr>
          <w:hyperlink w:anchor="_Toc100070" w:history="1">
            <w:r>
              <w:rPr>
                <w:rStyle w:val="Hyperlink"/>
              </w:rPr>
              <w:t>第六章 管理后台功能设计与说明</w:t>
            </w:r>
            <w:r>
              <w:tab/>
            </w:r>
            <w:r>
              <w:fldChar w:fldCharType="begin"/>
            </w:r>
            <w:r>
              <w:instrText xml:space="preserve"> PAGEREF _Toc100070 \h </w:instrText>
            </w:r>
            <w:r>
              <w:fldChar w:fldCharType="separate"/>
            </w:r>
            <w:r>
              <w:t>21</w:t>
            </w:r>
            <w:r>
              <w:fldChar w:fldCharType="end"/>
            </w:r>
          </w:hyperlink>
        </w:p>
        <w:p>
          <w:pPr>
            <w:pStyle w:val="11"/>
            <w:ind w:left="360"/>
            <w:tabs>
              <w:tab w:val="right" w:leader="dot" w:pos="9026"/>
            </w:tabs>
            <w:spacing w:before="120" w:after="60"/>
          </w:pPr>
          <w:hyperlink w:anchor="_Toc100071" w:history="1">
            <w:r>
              <w:rPr>
                <w:rStyle w:val="Hyperlink"/>
              </w:rPr>
              <w:t>6.1 登录与认证</w:t>
            </w:r>
            <w:r>
              <w:tab/>
            </w:r>
            <w:r>
              <w:fldChar w:fldCharType="begin"/>
            </w:r>
            <w:r>
              <w:instrText xml:space="preserve"> PAGEREF _Toc100071 \h </w:instrText>
            </w:r>
            <w:r>
              <w:fldChar w:fldCharType="separate"/>
            </w:r>
            <w:r>
              <w:t>21</w:t>
            </w:r>
            <w:r>
              <w:fldChar w:fldCharType="end"/>
            </w:r>
          </w:hyperlink>
        </w:p>
        <w:p>
          <w:pPr>
            <w:pStyle w:val="12"/>
            <w:ind w:left="720"/>
            <w:tabs>
              <w:tab w:val="right" w:leader="dot" w:pos="9026"/>
            </w:tabs>
            <w:spacing w:before="120" w:after="60"/>
          </w:pPr>
          <w:hyperlink w:anchor="_Toc100072" w:history="1">
            <w:r>
              <w:rPr>
                <w:rStyle w:val="Hyperlink"/>
              </w:rPr>
              <w:t>6.1.1 账号密码登录</w:t>
            </w:r>
            <w:r>
              <w:tab/>
            </w:r>
            <w:r>
              <w:fldChar w:fldCharType="begin"/>
            </w:r>
            <w:r>
              <w:instrText xml:space="preserve"> PAGEREF _Toc100072 \h </w:instrText>
            </w:r>
            <w:r>
              <w:fldChar w:fldCharType="separate"/>
            </w:r>
            <w:r>
              <w:t>21</w:t>
            </w:r>
            <w:r>
              <w:fldChar w:fldCharType="end"/>
            </w:r>
          </w:hyperlink>
        </w:p>
        <w:p>
          <w:pPr>
            <w:pStyle w:val="12"/>
            <w:ind w:left="720"/>
            <w:tabs>
              <w:tab w:val="right" w:leader="dot" w:pos="9026"/>
            </w:tabs>
            <w:spacing w:before="120" w:after="60"/>
          </w:pPr>
          <w:hyperlink w:anchor="_Toc100073" w:history="1">
            <w:r>
              <w:rPr>
                <w:rStyle w:val="Hyperlink"/>
              </w:rPr>
              <w:t>6.1.2 单点登录</w:t>
            </w:r>
            <w:r>
              <w:tab/>
            </w:r>
            <w:r>
              <w:fldChar w:fldCharType="begin"/>
            </w:r>
            <w:r>
              <w:instrText xml:space="preserve"> PAGEREF _Toc100073 \h </w:instrText>
            </w:r>
            <w:r>
              <w:fldChar w:fldCharType="separate"/>
            </w:r>
            <w:r>
              <w:t>22</w:t>
            </w:r>
            <w:r>
              <w:fldChar w:fldCharType="end"/>
            </w:r>
          </w:hyperlink>
        </w:p>
        <w:p>
          <w:pPr>
            <w:pStyle w:val="12"/>
            <w:ind w:left="720"/>
            <w:tabs>
              <w:tab w:val="right" w:leader="dot" w:pos="9026"/>
            </w:tabs>
            <w:spacing w:before="120" w:after="60"/>
          </w:pPr>
          <w:hyperlink w:anchor="_Toc100074" w:history="1">
            <w:r>
              <w:rPr>
                <w:rStyle w:val="Hyperlink"/>
              </w:rPr>
              <w:t>6.1.3 角色权限体系</w:t>
            </w:r>
            <w:r>
              <w:tab/>
            </w:r>
            <w:r>
              <w:fldChar w:fldCharType="begin"/>
            </w:r>
            <w:r>
              <w:instrText xml:space="preserve"> PAGEREF _Toc100074 \h </w:instrText>
            </w:r>
            <w:r>
              <w:fldChar w:fldCharType="separate"/>
            </w:r>
            <w:r>
              <w:t>22</w:t>
            </w:r>
            <w:r>
              <w:fldChar w:fldCharType="end"/>
            </w:r>
          </w:hyperlink>
        </w:p>
        <w:p>
          <w:pPr>
            <w:pStyle w:val="11"/>
            <w:ind w:left="360"/>
            <w:tabs>
              <w:tab w:val="right" w:leader="dot" w:pos="9026"/>
            </w:tabs>
            <w:spacing w:before="120" w:after="60"/>
          </w:pPr>
          <w:hyperlink w:anchor="_Toc100075" w:history="1">
            <w:r>
              <w:rPr>
                <w:rStyle w:val="Hyperlink"/>
              </w:rPr>
              <w:t>6.2 数据看板</w:t>
            </w:r>
            <w:r>
              <w:tab/>
            </w:r>
            <w:r>
              <w:fldChar w:fldCharType="begin"/>
            </w:r>
            <w:r>
              <w:instrText xml:space="preserve"> PAGEREF _Toc100075 \h </w:instrText>
            </w:r>
            <w:r>
              <w:fldChar w:fldCharType="separate"/>
            </w:r>
            <w:r>
              <w:t>22</w:t>
            </w:r>
            <w:r>
              <w:fldChar w:fldCharType="end"/>
            </w:r>
          </w:hyperlink>
        </w:p>
        <w:p>
          <w:pPr>
            <w:pStyle w:val="11"/>
            <w:ind w:left="360"/>
            <w:tabs>
              <w:tab w:val="right" w:leader="dot" w:pos="9026"/>
            </w:tabs>
            <w:spacing w:before="120" w:after="60"/>
          </w:pPr>
          <w:hyperlink w:anchor="_Toc100076" w:history="1">
            <w:r>
              <w:rPr>
                <w:rStyle w:val="Hyperlink"/>
              </w:rPr>
              <w:t>6.3 数据大屏</w:t>
            </w:r>
            <w:r>
              <w:tab/>
            </w:r>
            <w:r>
              <w:fldChar w:fldCharType="begin"/>
            </w:r>
            <w:r>
              <w:instrText xml:space="preserve"> PAGEREF _Toc100076 \h </w:instrText>
            </w:r>
            <w:r>
              <w:fldChar w:fldCharType="separate"/>
            </w:r>
            <w:r>
              <w:t>23</w:t>
            </w:r>
            <w:r>
              <w:fldChar w:fldCharType="end"/>
            </w:r>
          </w:hyperlink>
        </w:p>
        <w:p>
          <w:pPr>
            <w:pStyle w:val="11"/>
            <w:ind w:left="360"/>
            <w:tabs>
              <w:tab w:val="right" w:leader="dot" w:pos="9026"/>
            </w:tabs>
            <w:spacing w:before="120" w:after="60"/>
          </w:pPr>
          <w:hyperlink w:anchor="_Toc100077" w:history="1">
            <w:r>
              <w:rPr>
                <w:rStyle w:val="Hyperlink"/>
              </w:rPr>
              <w:t>6.4 回收订单管理</w:t>
            </w:r>
            <w:r>
              <w:tab/>
            </w:r>
            <w:r>
              <w:fldChar w:fldCharType="begin"/>
            </w:r>
            <w:r>
              <w:instrText xml:space="preserve"> PAGEREF _Toc100077 \h </w:instrText>
            </w:r>
            <w:r>
              <w:fldChar w:fldCharType="separate"/>
            </w:r>
            <w:r>
              <w:t>23</w:t>
            </w:r>
            <w:r>
              <w:fldChar w:fldCharType="end"/>
            </w:r>
          </w:hyperlink>
        </w:p>
        <w:p>
          <w:pPr>
            <w:pStyle w:val="12"/>
            <w:ind w:left="720"/>
            <w:tabs>
              <w:tab w:val="right" w:leader="dot" w:pos="9026"/>
            </w:tabs>
            <w:spacing w:before="120" w:after="60"/>
          </w:pPr>
          <w:hyperlink w:anchor="_Toc100078" w:history="1">
            <w:r>
              <w:rPr>
                <w:rStyle w:val="Hyperlink"/>
              </w:rPr>
              <w:t>6.4.1 订单列表与筛选</w:t>
            </w:r>
            <w:r>
              <w:tab/>
            </w:r>
            <w:r>
              <w:fldChar w:fldCharType="begin"/>
            </w:r>
            <w:r>
              <w:instrText xml:space="preserve"> PAGEREF _Toc100078 \h </w:instrText>
            </w:r>
            <w:r>
              <w:fldChar w:fldCharType="separate"/>
            </w:r>
            <w:r>
              <w:t>23</w:t>
            </w:r>
            <w:r>
              <w:fldChar w:fldCharType="end"/>
            </w:r>
          </w:hyperlink>
        </w:p>
        <w:p>
          <w:pPr>
            <w:pStyle w:val="12"/>
            <w:ind w:left="720"/>
            <w:tabs>
              <w:tab w:val="right" w:leader="dot" w:pos="9026"/>
            </w:tabs>
            <w:spacing w:before="120" w:after="60"/>
          </w:pPr>
          <w:hyperlink w:anchor="_Toc100079" w:history="1">
            <w:r>
              <w:rPr>
                <w:rStyle w:val="Hyperlink"/>
              </w:rPr>
              <w:t>6.4.2 订单详情</w:t>
            </w:r>
            <w:r>
              <w:tab/>
            </w:r>
            <w:r>
              <w:fldChar w:fldCharType="begin"/>
            </w:r>
            <w:r>
              <w:instrText xml:space="preserve"> PAGEREF _Toc100079 \h </w:instrText>
            </w:r>
            <w:r>
              <w:fldChar w:fldCharType="separate"/>
            </w:r>
            <w:r>
              <w:t>24</w:t>
            </w:r>
            <w:r>
              <w:fldChar w:fldCharType="end"/>
            </w:r>
          </w:hyperlink>
        </w:p>
        <w:p>
          <w:pPr>
            <w:pStyle w:val="12"/>
            <w:ind w:left="720"/>
            <w:tabs>
              <w:tab w:val="right" w:leader="dot" w:pos="9026"/>
            </w:tabs>
            <w:spacing w:before="120" w:after="60"/>
          </w:pPr>
          <w:hyperlink w:anchor="_Toc100080" w:history="1">
            <w:r>
              <w:rPr>
                <w:rStyle w:val="Hyperlink"/>
              </w:rPr>
              <w:t>6.4.3 报价处理</w:t>
            </w:r>
            <w:r>
              <w:tab/>
            </w:r>
            <w:r>
              <w:fldChar w:fldCharType="begin"/>
            </w:r>
            <w:r>
              <w:instrText xml:space="preserve"> PAGEREF _Toc100080 \h </w:instrText>
            </w:r>
            <w:r>
              <w:fldChar w:fldCharType="separate"/>
            </w:r>
            <w:r>
              <w:t>24</w:t>
            </w:r>
            <w:r>
              <w:fldChar w:fldCharType="end"/>
            </w:r>
          </w:hyperlink>
        </w:p>
        <w:p>
          <w:pPr>
            <w:pStyle w:val="12"/>
            <w:ind w:left="720"/>
            <w:tabs>
              <w:tab w:val="right" w:leader="dot" w:pos="9026"/>
            </w:tabs>
            <w:spacing w:before="120" w:after="60"/>
          </w:pPr>
          <w:hyperlink w:anchor="_Toc100081" w:history="1">
            <w:r>
              <w:rPr>
                <w:rStyle w:val="Hyperlink"/>
              </w:rPr>
              <w:t>6.4.4 状态流转</w:t>
            </w:r>
            <w:r>
              <w:tab/>
            </w:r>
            <w:r>
              <w:fldChar w:fldCharType="begin"/>
            </w:r>
            <w:r>
              <w:instrText xml:space="preserve"> PAGEREF _Toc100081 \h </w:instrText>
            </w:r>
            <w:r>
              <w:fldChar w:fldCharType="separate"/>
            </w:r>
            <w:r>
              <w:t>24</w:t>
            </w:r>
            <w:r>
              <w:fldChar w:fldCharType="end"/>
            </w:r>
          </w:hyperlink>
        </w:p>
        <w:p>
          <w:pPr>
            <w:pStyle w:val="12"/>
            <w:ind w:left="720"/>
            <w:tabs>
              <w:tab w:val="right" w:leader="dot" w:pos="9026"/>
            </w:tabs>
            <w:spacing w:before="120" w:after="60"/>
          </w:pPr>
          <w:hyperlink w:anchor="_Toc100082" w:history="1">
            <w:r>
              <w:rPr>
                <w:rStyle w:val="Hyperlink"/>
              </w:rPr>
              <w:t>6.4.5 手动创建订单</w:t>
            </w:r>
            <w:r>
              <w:tab/>
            </w:r>
            <w:r>
              <w:fldChar w:fldCharType="begin"/>
            </w:r>
            <w:r>
              <w:instrText xml:space="preserve"> PAGEREF _Toc100082 \h </w:instrText>
            </w:r>
            <w:r>
              <w:fldChar w:fldCharType="separate"/>
            </w:r>
            <w:r>
              <w:t>25</w:t>
            </w:r>
            <w:r>
              <w:fldChar w:fldCharType="end"/>
            </w:r>
          </w:hyperlink>
        </w:p>
        <w:p>
          <w:pPr>
            <w:pStyle w:val="12"/>
            <w:ind w:left="720"/>
            <w:tabs>
              <w:tab w:val="right" w:leader="dot" w:pos="9026"/>
            </w:tabs>
            <w:spacing w:before="120" w:after="60"/>
          </w:pPr>
          <w:hyperlink w:anchor="_Toc100083" w:history="1">
            <w:r>
              <w:rPr>
                <w:rStyle w:val="Hyperlink"/>
              </w:rPr>
              <w:t>6.4.6 订单导出</w:t>
            </w:r>
            <w:r>
              <w:tab/>
            </w:r>
            <w:r>
              <w:fldChar w:fldCharType="begin"/>
            </w:r>
            <w:r>
              <w:instrText xml:space="preserve"> PAGEREF _Toc100083 \h </w:instrText>
            </w:r>
            <w:r>
              <w:fldChar w:fldCharType="separate"/>
            </w:r>
            <w:r>
              <w:t>25</w:t>
            </w:r>
            <w:r>
              <w:fldChar w:fldCharType="end"/>
            </w:r>
          </w:hyperlink>
        </w:p>
        <w:p>
          <w:pPr>
            <w:pStyle w:val="11"/>
            <w:ind w:left="360"/>
            <w:tabs>
              <w:tab w:val="right" w:leader="dot" w:pos="9026"/>
            </w:tabs>
            <w:spacing w:before="120" w:after="60"/>
          </w:pPr>
          <w:hyperlink w:anchor="_Toc100084" w:history="1">
            <w:r>
              <w:rPr>
                <w:rStyle w:val="Hyperlink"/>
              </w:rPr>
              <w:t>6.5 设备配价库</w:t>
            </w:r>
            <w:r>
              <w:tab/>
            </w:r>
            <w:r>
              <w:fldChar w:fldCharType="begin"/>
            </w:r>
            <w:r>
              <w:instrText xml:space="preserve"> PAGEREF _Toc100084 \h </w:instrText>
            </w:r>
            <w:r>
              <w:fldChar w:fldCharType="separate"/>
            </w:r>
            <w:r>
              <w:t>25</w:t>
            </w:r>
            <w:r>
              <w:fldChar w:fldCharType="end"/>
            </w:r>
          </w:hyperlink>
        </w:p>
        <w:p>
          <w:pPr>
            <w:pStyle w:val="12"/>
            <w:ind w:left="720"/>
            <w:tabs>
              <w:tab w:val="right" w:leader="dot" w:pos="9026"/>
            </w:tabs>
            <w:spacing w:before="120" w:after="60"/>
          </w:pPr>
          <w:hyperlink w:anchor="_Toc100085" w:history="1">
            <w:r>
              <w:rPr>
                <w:rStyle w:val="Hyperlink"/>
              </w:rPr>
              <w:t>6.5.1 目录结构管理</w:t>
            </w:r>
            <w:r>
              <w:tab/>
            </w:r>
            <w:r>
              <w:fldChar w:fldCharType="begin"/>
            </w:r>
            <w:r>
              <w:instrText xml:space="preserve"> PAGEREF _Toc100085 \h </w:instrText>
            </w:r>
            <w:r>
              <w:fldChar w:fldCharType="separate"/>
            </w:r>
            <w:r>
              <w:t>25</w:t>
            </w:r>
            <w:r>
              <w:fldChar w:fldCharType="end"/>
            </w:r>
          </w:hyperlink>
        </w:p>
        <w:p>
          <w:pPr>
            <w:pStyle w:val="12"/>
            <w:ind w:left="720"/>
            <w:tabs>
              <w:tab w:val="right" w:leader="dot" w:pos="9026"/>
            </w:tabs>
            <w:spacing w:before="120" w:after="60"/>
          </w:pPr>
          <w:hyperlink w:anchor="_Toc100086" w:history="1">
            <w:r>
              <w:rPr>
                <w:rStyle w:val="Hyperlink"/>
              </w:rPr>
              <w:t>6.5.2 型号查询与导出</w:t>
            </w:r>
            <w:r>
              <w:tab/>
            </w:r>
            <w:r>
              <w:fldChar w:fldCharType="begin"/>
            </w:r>
            <w:r>
              <w:instrText xml:space="preserve"> PAGEREF _Toc100086 \h </w:instrText>
            </w:r>
            <w:r>
              <w:fldChar w:fldCharType="separate"/>
            </w:r>
            <w:r>
              <w:t>26</w:t>
            </w:r>
            <w:r>
              <w:fldChar w:fldCharType="end"/>
            </w:r>
          </w:hyperlink>
        </w:p>
        <w:p>
          <w:pPr>
            <w:pStyle w:val="12"/>
            <w:ind w:left="720"/>
            <w:tabs>
              <w:tab w:val="right" w:leader="dot" w:pos="9026"/>
            </w:tabs>
            <w:spacing w:before="120" w:after="60"/>
          </w:pPr>
          <w:hyperlink w:anchor="_Toc100087" w:history="1">
            <w:r>
              <w:rPr>
                <w:rStyle w:val="Hyperlink"/>
              </w:rPr>
              <w:t>6.5.3 调价管理</w:t>
            </w:r>
            <w:r>
              <w:tab/>
            </w:r>
            <w:r>
              <w:fldChar w:fldCharType="begin"/>
            </w:r>
            <w:r>
              <w:instrText xml:space="preserve"> PAGEREF _Toc100087 \h </w:instrText>
            </w:r>
            <w:r>
              <w:fldChar w:fldCharType="separate"/>
            </w:r>
            <w:r>
              <w:t>26</w:t>
            </w:r>
            <w:r>
              <w:fldChar w:fldCharType="end"/>
            </w:r>
          </w:hyperlink>
        </w:p>
        <w:p>
          <w:pPr>
            <w:pStyle w:val="11"/>
            <w:ind w:left="360"/>
            <w:tabs>
              <w:tab w:val="right" w:leader="dot" w:pos="9026"/>
            </w:tabs>
            <w:spacing w:before="120" w:after="60"/>
          </w:pPr>
          <w:hyperlink w:anchor="_Toc100092" w:history="1">
            <w:r>
              <w:rPr>
                <w:rStyle w:val="Hyperlink"/>
              </w:rPr>
              <w:t>6.6 回收平台管理</w:t>
            </w:r>
            <w:r>
              <w:tab/>
            </w:r>
            <w:r>
              <w:fldChar w:fldCharType="begin"/>
            </w:r>
            <w:r>
              <w:instrText xml:space="preserve"> PAGEREF _Toc100092 \h </w:instrText>
            </w:r>
            <w:r>
              <w:fldChar w:fldCharType="separate"/>
            </w:r>
            <w:r>
              <w:t>27</w:t>
            </w:r>
            <w:r>
              <w:fldChar w:fldCharType="end"/>
            </w:r>
          </w:hyperlink>
        </w:p>
        <w:p>
          <w:pPr>
            <w:pStyle w:val="11"/>
            <w:ind w:left="360"/>
            <w:tabs>
              <w:tab w:val="right" w:leader="dot" w:pos="9026"/>
            </w:tabs>
            <w:spacing w:before="120" w:after="60"/>
          </w:pPr>
          <w:hyperlink w:anchor="_Toc100093" w:history="1">
            <w:r>
              <w:rPr>
                <w:rStyle w:val="Hyperlink"/>
              </w:rPr>
              <w:t>6.7 采购链接管理</w:t>
            </w:r>
            <w:r>
              <w:tab/>
            </w:r>
            <w:r>
              <w:fldChar w:fldCharType="begin"/>
            </w:r>
            <w:r>
              <w:instrText xml:space="preserve"> PAGEREF _Toc100093 \h </w:instrText>
            </w:r>
            <w:r>
              <w:fldChar w:fldCharType="separate"/>
            </w:r>
            <w:r>
              <w:t>28</w:t>
            </w:r>
            <w:r>
              <w:fldChar w:fldCharType="end"/>
            </w:r>
          </w:hyperlink>
        </w:p>
        <w:p>
          <w:pPr>
            <w:pStyle w:val="11"/>
            <w:ind w:left="360"/>
            <w:tabs>
              <w:tab w:val="right" w:leader="dot" w:pos="9026"/>
            </w:tabs>
            <w:spacing w:before="120" w:after="60"/>
          </w:pPr>
          <w:hyperlink w:anchor="_Toc100094" w:history="1">
            <w:r>
              <w:rPr>
                <w:rStyle w:val="Hyperlink"/>
              </w:rPr>
              <w:t>6.8 估价配置</w:t>
            </w:r>
            <w:r>
              <w:tab/>
            </w:r>
            <w:r>
              <w:fldChar w:fldCharType="begin"/>
            </w:r>
            <w:r>
              <w:instrText xml:space="preserve"> PAGEREF _Toc100094 \h </w:instrText>
            </w:r>
            <w:r>
              <w:fldChar w:fldCharType="separate"/>
            </w:r>
            <w:r>
              <w:t>28</w:t>
            </w:r>
            <w:r>
              <w:fldChar w:fldCharType="end"/>
            </w:r>
          </w:hyperlink>
        </w:p>
        <w:p>
          <w:pPr>
            <w:pStyle w:val="12"/>
            <w:ind w:left="720"/>
            <w:tabs>
              <w:tab w:val="right" w:leader="dot" w:pos="9026"/>
            </w:tabs>
            <w:spacing w:before="120" w:after="60"/>
          </w:pPr>
          <w:hyperlink w:anchor="_Toc100095" w:history="1">
            <w:r>
              <w:rPr>
                <w:rStyle w:val="Hyperlink"/>
              </w:rPr>
              <w:t>6.8.1 核心参数</w:t>
            </w:r>
            <w:r>
              <w:tab/>
            </w:r>
            <w:r>
              <w:fldChar w:fldCharType="begin"/>
            </w:r>
            <w:r>
              <w:instrText xml:space="preserve"> PAGEREF _Toc100095 \h </w:instrText>
            </w:r>
            <w:r>
              <w:fldChar w:fldCharType="separate"/>
            </w:r>
            <w:r>
              <w:t>29</w:t>
            </w:r>
            <w:r>
              <w:fldChar w:fldCharType="end"/>
            </w:r>
          </w:hyperlink>
        </w:p>
        <w:p>
          <w:pPr>
            <w:pStyle w:val="12"/>
            <w:ind w:left="720"/>
            <w:tabs>
              <w:tab w:val="right" w:leader="dot" w:pos="9026"/>
            </w:tabs>
            <w:spacing w:before="120" w:after="60"/>
          </w:pPr>
          <w:hyperlink w:anchor="_Toc100096" w:history="1">
            <w:r>
              <w:rPr>
                <w:rStyle w:val="Hyperlink"/>
              </w:rPr>
              <w:t>6.8.2 品类估价系数</w:t>
            </w:r>
            <w:r>
              <w:tab/>
            </w:r>
            <w:r>
              <w:fldChar w:fldCharType="begin"/>
            </w:r>
            <w:r>
              <w:instrText xml:space="preserve"> PAGEREF _Toc100096 \h </w:instrText>
            </w:r>
            <w:r>
              <w:fldChar w:fldCharType="separate"/>
            </w:r>
            <w:r>
              <w:t>29</w:t>
            </w:r>
            <w:r>
              <w:fldChar w:fldCharType="end"/>
            </w:r>
          </w:hyperlink>
        </w:p>
        <w:p>
          <w:pPr>
            <w:pStyle w:val="12"/>
            <w:ind w:left="720"/>
            <w:tabs>
              <w:tab w:val="right" w:leader="dot" w:pos="9026"/>
            </w:tabs>
            <w:spacing w:before="120" w:after="60"/>
          </w:pPr>
          <w:hyperlink w:anchor="_Toc100097" w:history="1">
            <w:r>
              <w:rPr>
                <w:rStyle w:val="Hyperlink"/>
              </w:rPr>
              <w:t>6.8.3 因子系数维护</w:t>
            </w:r>
            <w:r>
              <w:tab/>
            </w:r>
            <w:r>
              <w:fldChar w:fldCharType="begin"/>
            </w:r>
            <w:r>
              <w:instrText xml:space="preserve"> PAGEREF _Toc100097 \h </w:instrText>
            </w:r>
            <w:r>
              <w:fldChar w:fldCharType="separate"/>
            </w:r>
            <w:r>
              <w:t>29</w:t>
            </w:r>
            <w:r>
              <w:fldChar w:fldCharType="end"/>
            </w:r>
          </w:hyperlink>
        </w:p>
        <w:p>
          <w:pPr>
            <w:pStyle w:val="12"/>
            <w:ind w:left="720"/>
            <w:tabs>
              <w:tab w:val="right" w:leader="dot" w:pos="9026"/>
            </w:tabs>
            <w:spacing w:before="120" w:after="60"/>
          </w:pPr>
          <w:hyperlink w:anchor="_Toc100098" w:history="1">
            <w:r>
              <w:rPr>
                <w:rStyle w:val="Hyperlink"/>
              </w:rPr>
              <w:t>6.8.4 估价模拟器</w:t>
            </w:r>
            <w:r>
              <w:tab/>
            </w:r>
            <w:r>
              <w:fldChar w:fldCharType="begin"/>
            </w:r>
            <w:r>
              <w:instrText xml:space="preserve"> PAGEREF _Toc100098 \h </w:instrText>
            </w:r>
            <w:r>
              <w:fldChar w:fldCharType="separate"/>
            </w:r>
            <w:r>
              <w:t>29</w:t>
            </w:r>
            <w:r>
              <w:fldChar w:fldCharType="end"/>
            </w:r>
          </w:hyperlink>
        </w:p>
        <w:p>
          <w:pPr>
            <w:pStyle w:val="11"/>
            <w:ind w:left="360"/>
            <w:tabs>
              <w:tab w:val="right" w:leader="dot" w:pos="9026"/>
            </w:tabs>
            <w:spacing w:before="120" w:after="60"/>
          </w:pPr>
          <w:hyperlink w:anchor="_Toc100099" w:history="1">
            <w:r>
              <w:rPr>
                <w:rStyle w:val="Hyperlink"/>
              </w:rPr>
              <w:t>6.9 操作日志</w:t>
            </w:r>
            <w:r>
              <w:tab/>
            </w:r>
            <w:r>
              <w:fldChar w:fldCharType="begin"/>
            </w:r>
            <w:r>
              <w:instrText xml:space="preserve"> PAGEREF _Toc100099 \h </w:instrText>
            </w:r>
            <w:r>
              <w:fldChar w:fldCharType="separate"/>
            </w:r>
            <w:r>
              <w:t>30</w:t>
            </w:r>
            <w:r>
              <w:fldChar w:fldCharType="end"/>
            </w:r>
          </w:hyperlink>
        </w:p>
        <w:p>
          <w:pPr>
            <w:pStyle w:val="11"/>
            <w:ind w:left="360"/>
            <w:tabs>
              <w:tab w:val="right" w:leader="dot" w:pos="9026"/>
            </w:tabs>
            <w:spacing w:before="120" w:after="60"/>
          </w:pPr>
          <w:hyperlink w:anchor="_Toc100100" w:history="1">
            <w:r>
              <w:rPr>
                <w:rStyle w:val="Hyperlink"/>
              </w:rPr>
              <w:t>6.10 系统设置</w:t>
            </w:r>
            <w:r>
              <w:tab/>
            </w:r>
            <w:r>
              <w:fldChar w:fldCharType="begin"/>
            </w:r>
            <w:r>
              <w:instrText xml:space="preserve"> PAGEREF _Toc100100 \h </w:instrText>
            </w:r>
            <w:r>
              <w:fldChar w:fldCharType="separate"/>
            </w:r>
            <w:r>
              <w:t>30</w:t>
            </w:r>
            <w:r>
              <w:fldChar w:fldCharType="end"/>
            </w:r>
          </w:hyperlink>
        </w:p>
        <w:p>
          <w:pPr>
            <w:pStyle w:val="12"/>
            <w:ind w:left="720"/>
            <w:tabs>
              <w:tab w:val="right" w:leader="dot" w:pos="9026"/>
            </w:tabs>
            <w:spacing w:before="120" w:after="60"/>
          </w:pPr>
          <w:hyperlink w:anchor="_Toc100101" w:history="1">
            <w:r>
              <w:rPr>
                <w:rStyle w:val="Hyperlink"/>
              </w:rPr>
              <w:t>6.10.1 系统参数</w:t>
            </w:r>
            <w:r>
              <w:tab/>
            </w:r>
            <w:r>
              <w:fldChar w:fldCharType="begin"/>
            </w:r>
            <w:r>
              <w:instrText xml:space="preserve"> PAGEREF _Toc100101 \h </w:instrText>
            </w:r>
            <w:r>
              <w:fldChar w:fldCharType="separate"/>
            </w:r>
            <w:r>
              <w:t>30</w:t>
            </w:r>
            <w:r>
              <w:fldChar w:fldCharType="end"/>
            </w:r>
          </w:hyperlink>
        </w:p>
        <w:p>
          <w:pPr>
            <w:pStyle w:val="12"/>
            <w:ind w:left="720"/>
            <w:tabs>
              <w:tab w:val="right" w:leader="dot" w:pos="9026"/>
            </w:tabs>
            <w:spacing w:before="120" w:after="60"/>
          </w:pPr>
          <w:hyperlink w:anchor="_Toc100102" w:history="1">
            <w:r>
              <w:rPr>
                <w:rStyle w:val="Hyperlink"/>
              </w:rPr>
              <w:t>6.10.2 管理员管理</w:t>
            </w:r>
            <w:r>
              <w:tab/>
            </w:r>
            <w:r>
              <w:fldChar w:fldCharType="begin"/>
            </w:r>
            <w:r>
              <w:instrText xml:space="preserve"> PAGEREF _Toc100102 \h </w:instrText>
            </w:r>
            <w:r>
              <w:fldChar w:fldCharType="separate"/>
            </w:r>
            <w:r>
              <w:t>31</w:t>
            </w:r>
            <w:r>
              <w:fldChar w:fldCharType="end"/>
            </w:r>
          </w:hyperlink>
        </w:p>
        <w:p>
          <w:pPr>
            <w:pStyle w:val="12"/>
            <w:ind w:left="720"/>
            <w:tabs>
              <w:tab w:val="right" w:leader="dot" w:pos="9026"/>
            </w:tabs>
            <w:spacing w:before="120" w:after="60"/>
          </w:pPr>
          <w:hyperlink w:anchor="_Toc100103" w:history="1">
            <w:r>
              <w:rPr>
                <w:rStyle w:val="Hyperlink"/>
              </w:rPr>
              <w:t>6.10.3 修改密码</w:t>
            </w:r>
            <w:r>
              <w:tab/>
            </w:r>
            <w:r>
              <w:fldChar w:fldCharType="begin"/>
            </w:r>
            <w:r>
              <w:instrText xml:space="preserve"> PAGEREF _Toc100103 \h </w:instrText>
            </w:r>
            <w:r>
              <w:fldChar w:fldCharType="separate"/>
            </w:r>
            <w:r>
              <w:t>31</w:t>
            </w:r>
            <w:r>
              <w:fldChar w:fldCharType="end"/>
            </w:r>
          </w:hyperlink>
        </w:p>
        <w:p>
          <w:pPr>
            <w:pStyle w:val="9"/>
            <w:tabs>
              <w:tab w:val="right" w:leader="dot" w:pos="9026"/>
            </w:tabs>
            <w:spacing w:before="120" w:after="60"/>
          </w:pPr>
          <w:hyperlink w:anchor="_Toc100104" w:history="1">
            <w:r>
              <w:rPr>
                <w:rStyle w:val="Hyperlink"/>
              </w:rPr>
              <w:t>第七章 安全设计</w:t>
            </w:r>
            <w:r>
              <w:tab/>
            </w:r>
            <w:r>
              <w:fldChar w:fldCharType="begin"/>
            </w:r>
            <w:r>
              <w:instrText xml:space="preserve"> PAGEREF _Toc100104 \h </w:instrText>
            </w:r>
            <w:r>
              <w:fldChar w:fldCharType="separate"/>
            </w:r>
            <w:r>
              <w:t>31</w:t>
            </w:r>
            <w:r>
              <w:fldChar w:fldCharType="end"/>
            </w:r>
          </w:hyperlink>
        </w:p>
        <w:p>
          <w:pPr>
            <w:pStyle w:val="11"/>
            <w:ind w:left="360"/>
            <w:tabs>
              <w:tab w:val="right" w:leader="dot" w:pos="9026"/>
            </w:tabs>
            <w:spacing w:before="120" w:after="60"/>
          </w:pPr>
          <w:hyperlink w:anchor="_Toc100105" w:history="1">
            <w:r>
              <w:rPr>
                <w:rStyle w:val="Hyperlink"/>
              </w:rPr>
              <w:t>7.1 身份认证安全</w:t>
            </w:r>
            <w:r>
              <w:tab/>
            </w:r>
            <w:r>
              <w:fldChar w:fldCharType="begin"/>
            </w:r>
            <w:r>
              <w:instrText xml:space="preserve"> PAGEREF _Toc100105 \h </w:instrText>
            </w:r>
            <w:r>
              <w:fldChar w:fldCharType="separate"/>
            </w:r>
            <w:r>
              <w:t>32</w:t>
            </w:r>
            <w:r>
              <w:fldChar w:fldCharType="end"/>
            </w:r>
          </w:hyperlink>
        </w:p>
        <w:p>
          <w:pPr>
            <w:pStyle w:val="11"/>
            <w:ind w:left="360"/>
            <w:tabs>
              <w:tab w:val="right" w:leader="dot" w:pos="9026"/>
            </w:tabs>
            <w:spacing w:before="120" w:after="60"/>
          </w:pPr>
          <w:hyperlink w:anchor="_Toc100106" w:history="1">
            <w:r>
              <w:rPr>
                <w:rStyle w:val="Hyperlink"/>
              </w:rPr>
              <w:t>7.2 权限控制</w:t>
            </w:r>
            <w:r>
              <w:tab/>
            </w:r>
            <w:r>
              <w:fldChar w:fldCharType="begin"/>
            </w:r>
            <w:r>
              <w:instrText xml:space="preserve"> PAGEREF _Toc100106 \h </w:instrText>
            </w:r>
            <w:r>
              <w:fldChar w:fldCharType="separate"/>
            </w:r>
            <w:r>
              <w:t>32</w:t>
            </w:r>
            <w:r>
              <w:fldChar w:fldCharType="end"/>
            </w:r>
          </w:hyperlink>
        </w:p>
        <w:p>
          <w:pPr>
            <w:pStyle w:val="11"/>
            <w:ind w:left="360"/>
            <w:tabs>
              <w:tab w:val="right" w:leader="dot" w:pos="9026"/>
            </w:tabs>
            <w:spacing w:before="120" w:after="60"/>
          </w:pPr>
          <w:hyperlink w:anchor="_Toc100107" w:history="1">
            <w:r>
              <w:rPr>
                <w:rStyle w:val="Hyperlink"/>
              </w:rPr>
              <w:t>7.3 数据安全</w:t>
            </w:r>
            <w:r>
              <w:tab/>
            </w:r>
            <w:r>
              <w:fldChar w:fldCharType="begin"/>
            </w:r>
            <w:r>
              <w:instrText xml:space="preserve"> PAGEREF _Toc100107 \h </w:instrText>
            </w:r>
            <w:r>
              <w:fldChar w:fldCharType="separate"/>
            </w:r>
            <w:r>
              <w:t>32</w:t>
            </w:r>
            <w:r>
              <w:fldChar w:fldCharType="end"/>
            </w:r>
          </w:hyperlink>
        </w:p>
        <w:p>
          <w:pPr>
            <w:pStyle w:val="11"/>
            <w:ind w:left="360"/>
            <w:tabs>
              <w:tab w:val="right" w:leader="dot" w:pos="9026"/>
            </w:tabs>
            <w:spacing w:before="120" w:after="60"/>
          </w:pPr>
          <w:hyperlink w:anchor="_Toc100108" w:history="1">
            <w:r>
              <w:rPr>
                <w:rStyle w:val="Hyperlink"/>
              </w:rPr>
              <w:t>7.4 操作审计</w:t>
            </w:r>
            <w:r>
              <w:tab/>
            </w:r>
            <w:r>
              <w:fldChar w:fldCharType="begin"/>
            </w:r>
            <w:r>
              <w:instrText xml:space="preserve"> PAGEREF _Toc100108 \h </w:instrText>
            </w:r>
            <w:r>
              <w:fldChar w:fldCharType="separate"/>
            </w:r>
            <w:r>
              <w:t>32</w:t>
            </w:r>
            <w:r>
              <w:fldChar w:fldCharType="end"/>
            </w:r>
          </w:hyperlink>
        </w:p>
        <w:p>
          <w:pPr>
            <w:pStyle w:val="11"/>
            <w:ind w:left="360"/>
            <w:tabs>
              <w:tab w:val="right" w:leader="dot" w:pos="9026"/>
            </w:tabs>
            <w:spacing w:before="120" w:after="60"/>
          </w:pPr>
          <w:hyperlink w:anchor="_Toc100109" w:history="1">
            <w:r>
              <w:rPr>
                <w:rStyle w:val="Hyperlink"/>
              </w:rPr>
              <w:t>7.5 传输与部署安全</w:t>
            </w:r>
            <w:r>
              <w:tab/>
            </w:r>
            <w:r>
              <w:fldChar w:fldCharType="begin"/>
            </w:r>
            <w:r>
              <w:instrText xml:space="preserve"> PAGEREF _Toc100109 \h </w:instrText>
            </w:r>
            <w:r>
              <w:fldChar w:fldCharType="separate"/>
            </w:r>
            <w:r>
              <w:t>33</w:t>
            </w:r>
            <w:r>
              <w:fldChar w:fldCharType="end"/>
            </w:r>
          </w:hyperlink>
        </w:p>
        <w:p>
          <w:pPr>
            <w:pStyle w:val="9"/>
            <w:tabs>
              <w:tab w:val="right" w:leader="dot" w:pos="9026"/>
            </w:tabs>
            <w:spacing w:before="120" w:after="60"/>
          </w:pPr>
          <w:hyperlink w:anchor="_Toc100110" w:history="1">
            <w:r>
              <w:rPr>
                <w:rStyle w:val="Hyperlink"/>
              </w:rPr>
              <w:t>第八章 运行与维护</w:t>
            </w:r>
            <w:r>
              <w:tab/>
            </w:r>
            <w:r>
              <w:fldChar w:fldCharType="begin"/>
            </w:r>
            <w:r>
              <w:instrText xml:space="preserve"> PAGEREF _Toc100110 \h </w:instrText>
            </w:r>
            <w:r>
              <w:fldChar w:fldCharType="separate"/>
            </w:r>
            <w:r>
              <w:t>33</w:t>
            </w:r>
            <w:r>
              <w:fldChar w:fldCharType="end"/>
            </w:r>
          </w:hyperlink>
        </w:p>
        <w:p>
          <w:pPr>
            <w:pStyle w:val="11"/>
            <w:ind w:left="360"/>
            <w:tabs>
              <w:tab w:val="right" w:leader="dot" w:pos="9026"/>
            </w:tabs>
            <w:spacing w:before="120" w:after="60"/>
          </w:pPr>
          <w:hyperlink w:anchor="_Toc100111" w:history="1">
            <w:r>
              <w:rPr>
                <w:rStyle w:val="Hyperlink"/>
              </w:rPr>
              <w:t>8.1 部署方式</w:t>
            </w:r>
            <w:r>
              <w:tab/>
            </w:r>
            <w:r>
              <w:fldChar w:fldCharType="begin"/>
            </w:r>
            <w:r>
              <w:instrText xml:space="preserve"> PAGEREF _Toc100111 \h </w:instrText>
            </w:r>
            <w:r>
              <w:fldChar w:fldCharType="separate"/>
            </w:r>
            <w:r>
              <w:t>33</w:t>
            </w:r>
            <w:r>
              <w:fldChar w:fldCharType="end"/>
            </w:r>
          </w:hyperlink>
        </w:p>
        <w:p>
          <w:pPr>
            <w:pStyle w:val="11"/>
            <w:ind w:left="360"/>
            <w:tabs>
              <w:tab w:val="right" w:leader="dot" w:pos="9026"/>
            </w:tabs>
            <w:spacing w:before="120" w:after="60"/>
          </w:pPr>
          <w:hyperlink w:anchor="_Toc100112" w:history="1">
            <w:r>
              <w:rPr>
                <w:rStyle w:val="Hyperlink"/>
              </w:rPr>
              <w:t>8.2 初始化与种子数据</w:t>
            </w:r>
            <w:r>
              <w:tab/>
            </w:r>
            <w:r>
              <w:fldChar w:fldCharType="begin"/>
            </w:r>
            <w:r>
              <w:instrText xml:space="preserve"> PAGEREF _Toc100112 \h </w:instrText>
            </w:r>
            <w:r>
              <w:fldChar w:fldCharType="separate"/>
            </w:r>
            <w:r>
              <w:t>33</w:t>
            </w:r>
            <w:r>
              <w:fldChar w:fldCharType="end"/>
            </w:r>
          </w:hyperlink>
        </w:p>
        <w:p>
          <w:pPr>
            <w:pStyle w:val="11"/>
            <w:ind w:left="360"/>
            <w:tabs>
              <w:tab w:val="right" w:leader="dot" w:pos="9026"/>
            </w:tabs>
            <w:spacing w:before="120" w:after="60"/>
          </w:pPr>
          <w:hyperlink w:anchor="_Toc100113" w:history="1">
            <w:r>
              <w:rPr>
                <w:rStyle w:val="Hyperlink"/>
              </w:rPr>
              <w:t>8.3 健康检查与监控</w:t>
            </w:r>
            <w:r>
              <w:tab/>
            </w:r>
            <w:r>
              <w:fldChar w:fldCharType="begin"/>
            </w:r>
            <w:r>
              <w:instrText xml:space="preserve"> PAGEREF _Toc100113 \h </w:instrText>
            </w:r>
            <w:r>
              <w:fldChar w:fldCharType="separate"/>
            </w:r>
            <w:r>
              <w:t>33</w:t>
            </w:r>
            <w:r>
              <w:fldChar w:fldCharType="end"/>
            </w:r>
          </w:hyperlink>
        </w:p>
        <w:p>
          <w:pPr>
            <w:pStyle w:val="11"/>
            <w:ind w:left="360"/>
            <w:tabs>
              <w:tab w:val="right" w:leader="dot" w:pos="9026"/>
            </w:tabs>
            <w:spacing w:before="120" w:after="60"/>
          </w:pPr>
          <w:hyperlink w:anchor="_Toc100114" w:history="1">
            <w:r>
              <w:rPr>
                <w:rStyle w:val="Hyperlink"/>
              </w:rPr>
              <w:t>8.4 常见问题与处理</w:t>
            </w:r>
            <w:r>
              <w:tab/>
            </w:r>
            <w:r>
              <w:fldChar w:fldCharType="begin"/>
            </w:r>
            <w:r>
              <w:instrText xml:space="preserve"> PAGEREF _Toc100114 \h </w:instrText>
            </w:r>
            <w:r>
              <w:fldChar w:fldCharType="separate"/>
            </w:r>
            <w:r>
              <w:t>34</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注：本目录由域代码生成。文档编辑后如需刷新页码，请在目录上点击右键并选择「更新域」。</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Times New Roman" w:eastAsia="SimHei"/>
          <w:b/>
          <w:bCs/>
          <w:color w:val="1A4735"/>
          <w:sz w:val="32"/>
          <w:szCs w:val="32"/>
        </w:rPr>
        <w:t xml:space="preserve">第一章 概述</w:t>
      </w:r>
      <w:bookmarkEnd w:id="100000"/>
    </w:p>
    <w:p>
      <w:pPr>
        <w:pStyle w:val="Heading2"/>
        <w:spacing w:after="140" w:before="280" w:line="312"/>
      </w:pPr>
      <w:bookmarkStart w:id="100001" w:name="_Toc100001"/>
      <w:r>
        <w:rPr>
          <w:rFonts w:ascii="Times New Roman" w:eastAsia="SimHei"/>
          <w:b/>
          <w:bCs/>
          <w:color w:val="1A4735"/>
          <w:sz w:val="28"/>
          <w:szCs w:val="28"/>
        </w:rPr>
        <w:t xml:space="preserve">1.1 软件简介</w:t>
      </w:r>
      <w:bookmarkEnd w:id="100001"/>
    </w:p>
    <w:p>
      <w:pPr>
        <w:spacing w:after="60" w:line="312"/>
        <w:ind w:firstLine="480"/>
        <w:jc w:val="both"/>
      </w:pPr>
      <w:r>
        <w:rPr>
          <w:rFonts w:ascii="Times New Roman" w:eastAsia="SimSun"/>
          <w:b w:val="false"/>
          <w:bCs w:val="false"/>
          <w:color w:val="000000"/>
          <w:sz w:val="24"/>
          <w:szCs w:val="24"/>
        </w:rPr>
        <w:t xml:space="preserve">众云信息科技回收综合服务平台（以下简称本平台）是一套面向电子产品回收业务的全流程线上化管理系统，覆盖手机、电脑、平板、智能穿戴、显示器、影像器材、游戏机、无人机、服务器、网络设备、显卡等十余个回收品类。平台由微信小程序用户端与 Web 管理后台两部分组成：小程序端面向普通用户提供分类浏览、型号检索、问答式估价、AI 辅助估价、回收下单等自助服务；管理后台面向回收企业运营人员，提供设备配价库管理、回收订单处理、回收平台档案管理、采购链接管理、估价系数配置、经营数据统计以及操作审计等全量管理能力。</w:t>
      </w:r>
    </w:p>
    <w:p>
      <w:pPr>
        <w:spacing w:after="60" w:line="312"/>
        <w:ind w:firstLine="480"/>
        <w:jc w:val="both"/>
      </w:pPr>
      <w:r>
        <w:rPr>
          <w:rFonts w:ascii="Times New Roman" w:eastAsia="SimSun"/>
          <w:b w:val="false"/>
          <w:bCs w:val="false"/>
          <w:color w:val="000000"/>
          <w:sz w:val="24"/>
          <w:szCs w:val="24"/>
        </w:rPr>
        <w:t xml:space="preserve">平台采用前后端分离架构。管理后台服务端基于 Node.js 与 Express 框架构建，前端基于 Vue3、Vite 与 Element Plus 组件库构建；小程序端基于微信小程序原生框架开发；数据持久化采用 MySQL 8.0 关系数据库。系统各组成部分既可独立部署、独立升级，又通过共享业务数据库实现配价、订单等核心业务数据的实时同步，形成「小程序估价下单—后台接单报价—物流完成交易」的完整业务闭环。</w:t>
      </w:r>
    </w:p>
    <w:p>
      <w:pPr>
        <w:pStyle w:val="Heading2"/>
        <w:spacing w:after="140" w:before="280" w:line="312"/>
      </w:pPr>
      <w:bookmarkStart w:id="100002" w:name="_Toc100002"/>
      <w:r>
        <w:rPr>
          <w:rFonts w:ascii="Times New Roman" w:eastAsia="SimHei"/>
          <w:b/>
          <w:bCs/>
          <w:color w:val="1A4735"/>
          <w:sz w:val="28"/>
          <w:szCs w:val="28"/>
        </w:rPr>
        <w:t xml:space="preserve">1.2 开发背景与目的</w:t>
      </w:r>
      <w:bookmarkEnd w:id="100002"/>
    </w:p>
    <w:p>
      <w:pPr>
        <w:spacing w:after="60" w:line="312"/>
        <w:ind w:firstLine="480"/>
        <w:jc w:val="both"/>
      </w:pPr>
      <w:r>
        <w:rPr>
          <w:rFonts w:ascii="Times New Roman" w:eastAsia="SimSun"/>
          <w:b w:val="false"/>
          <w:bCs w:val="false"/>
          <w:color w:val="000000"/>
          <w:sz w:val="24"/>
          <w:szCs w:val="24"/>
        </w:rPr>
        <w:t xml:space="preserve">随着消费电子产品的更新换代不断加速，废旧手机、电脑等电子设备的存量持续增长，二手回收行业迎来快速发展期。传统回收经营普遍存在以下痛点：一是报价依赖人工经验，缺乏统一、可随时调整的配价标准，不同人员报价口径不一致；二是回收渠道分散，企业与爱回收、转转、闲鱼等外部平台之间的比价、采购协作缺少统一入口；三是订单以电话、微信等线下方式记录，状态难追踪、数据难沉淀；四是估价过程不透明，用户对报价缺乏信任，成交转化率低。</w:t>
      </w:r>
    </w:p>
    <w:p>
      <w:pPr>
        <w:spacing w:after="60" w:line="312"/>
        <w:ind w:firstLine="480"/>
        <w:jc w:val="both"/>
      </w:pPr>
      <w:r>
        <w:rPr>
          <w:rFonts w:ascii="Times New Roman" w:eastAsia="SimSun"/>
          <w:b w:val="false"/>
          <w:bCs w:val="false"/>
          <w:color w:val="000000"/>
          <w:sz w:val="24"/>
          <w:szCs w:val="24"/>
        </w:rPr>
        <w:t xml:space="preserve">本平台即为解决上述问题而开发。通过建立「分类—品牌—型号」三级配价库并支持在线调价与批量调价，企业可以随时统一报价口径；通过问答式估价与 AI 大模型辅助估价，用户在两分钟内即可自助获得有依据的回收报价；通过与订单系统的打通，每一笔回收业务从提交、报价、确认到完成全程留痕，并自动沉淀为经营统计数据；通过回收平台档案与采购链接管理，将外部比价与采购渠道整合到统一工作台。平台同时将环保贡献量化呈现，助力企业开展绿色回收品牌建设。</w:t>
      </w:r>
    </w:p>
    <w:p>
      <w:pPr>
        <w:pStyle w:val="Heading2"/>
        <w:spacing w:after="140" w:before="280" w:line="312"/>
      </w:pPr>
      <w:bookmarkStart w:id="100003" w:name="_Toc100003"/>
      <w:r>
        <w:rPr>
          <w:rFonts w:ascii="Times New Roman" w:eastAsia="SimHei"/>
          <w:b/>
          <w:bCs/>
          <w:color w:val="1A4735"/>
          <w:sz w:val="28"/>
          <w:szCs w:val="28"/>
        </w:rPr>
        <w:t xml:space="preserve">1.3 主要特点</w:t>
      </w:r>
      <w:bookmarkEnd w:id="100003"/>
    </w:p>
    <w:p>
      <w:pPr>
        <w:pStyle w:val="ListParagraph"/>
        <w:numPr>
          <w:ilvl w:val="0"/>
          <w:numId w:val="1"/>
        </w:numPr>
        <w:spacing w:after="40" w:line="312"/>
        <w:jc w:val="both"/>
      </w:pPr>
      <w:r>
        <w:rPr>
          <w:rFonts w:ascii="Times New Roman" w:eastAsia="SimSun"/>
          <w:b/>
          <w:bCs/>
          <w:color w:val="000000"/>
          <w:sz w:val="24"/>
          <w:szCs w:val="24"/>
        </w:rPr>
        <w:t xml:space="preserve">云端配价、离线兜底：</w:t>
      </w:r>
      <w:r>
        <w:rPr>
          <w:rFonts w:ascii="Times New Roman" w:eastAsia="SimSun"/>
          <w:color w:val="000000"/>
          <w:sz w:val="24"/>
          <w:szCs w:val="24"/>
        </w:rPr>
        <w:t xml:space="preserve">小程序端内置完整本地配价目录保证秒开与离线可用，同时异步加载后台维护的最新云端配价，后台调价后小程序端十分钟缓存周期内自动生效，兼顾性能与时效。</w:t>
      </w:r>
    </w:p>
    <w:p>
      <w:pPr>
        <w:pStyle w:val="ListParagraph"/>
        <w:numPr>
          <w:ilvl w:val="0"/>
          <w:numId w:val="1"/>
        </w:numPr>
        <w:spacing w:after="40" w:line="312"/>
        <w:jc w:val="both"/>
      </w:pPr>
      <w:r>
        <w:rPr>
          <w:rFonts w:ascii="Times New Roman" w:eastAsia="SimSun"/>
          <w:b/>
          <w:bCs/>
          <w:color w:val="000000"/>
          <w:sz w:val="24"/>
          <w:szCs w:val="24"/>
        </w:rPr>
        <w:t xml:space="preserve">多因子估价模型：</w:t>
      </w:r>
      <w:r>
        <w:rPr>
          <w:rFonts w:ascii="Times New Roman" w:eastAsia="SimSun"/>
          <w:color w:val="000000"/>
          <w:sz w:val="24"/>
          <w:szCs w:val="24"/>
        </w:rPr>
        <w:t xml:space="preserve">回收价格由型号基准价与成色、屏幕、功能、版本、配件、维修史六大评估因子系数连乘计算，叠加二手基准系数与品类系数，估价过程可解释、可追溯。</w:t>
      </w:r>
    </w:p>
    <w:p>
      <w:pPr>
        <w:pStyle w:val="ListParagraph"/>
        <w:numPr>
          <w:ilvl w:val="0"/>
          <w:numId w:val="1"/>
        </w:numPr>
        <w:spacing w:after="40" w:line="312"/>
        <w:jc w:val="both"/>
      </w:pPr>
      <w:r>
        <w:rPr>
          <w:rFonts w:ascii="Times New Roman" w:eastAsia="SimSun"/>
          <w:b/>
          <w:bCs/>
          <w:color w:val="000000"/>
          <w:sz w:val="24"/>
          <w:szCs w:val="24"/>
        </w:rPr>
        <w:t xml:space="preserve">AI 大模型辅助估价：</w:t>
      </w:r>
      <w:r>
        <w:rPr>
          <w:rFonts w:ascii="Times New Roman" w:eastAsia="SimSun"/>
          <w:color w:val="000000"/>
          <w:sz w:val="24"/>
          <w:szCs w:val="24"/>
        </w:rPr>
        <w:t xml:space="preserve">集成 DeepSeek 大语言模型接口，结合产品信息与设备状况生成参考回收价与估价说明，AI 不可用时自动降级为本地模型计算，保证服务连续性。</w:t>
      </w:r>
    </w:p>
    <w:p>
      <w:pPr>
        <w:pStyle w:val="ListParagraph"/>
        <w:numPr>
          <w:ilvl w:val="0"/>
          <w:numId w:val="1"/>
        </w:numPr>
        <w:spacing w:after="40" w:line="312"/>
        <w:jc w:val="both"/>
      </w:pPr>
      <w:r>
        <w:rPr>
          <w:rFonts w:ascii="Times New Roman" w:eastAsia="SimSun"/>
          <w:b/>
          <w:bCs/>
          <w:color w:val="000000"/>
          <w:sz w:val="24"/>
          <w:szCs w:val="24"/>
        </w:rPr>
        <w:t xml:space="preserve">调价安全管控：</w:t>
      </w:r>
      <w:r>
        <w:rPr>
          <w:rFonts w:ascii="Times New Roman" w:eastAsia="SimSun"/>
          <w:color w:val="000000"/>
          <w:sz w:val="24"/>
          <w:szCs w:val="24"/>
        </w:rPr>
        <w:t xml:space="preserve">单型号调价幅度超过系统设定阈值（默认 20%）时强制二次确认，全部调价动作记录调价审计日志，防止误操作与恶意调价。</w:t>
      </w:r>
    </w:p>
    <w:p>
      <w:pPr>
        <w:pStyle w:val="ListParagraph"/>
        <w:numPr>
          <w:ilvl w:val="0"/>
          <w:numId w:val="1"/>
        </w:numPr>
        <w:spacing w:after="40" w:line="312"/>
        <w:jc w:val="both"/>
      </w:pPr>
      <w:r>
        <w:rPr>
          <w:rFonts w:ascii="Times New Roman" w:eastAsia="SimSun"/>
          <w:b/>
          <w:bCs/>
          <w:color w:val="000000"/>
          <w:sz w:val="24"/>
          <w:szCs w:val="24"/>
        </w:rPr>
        <w:t xml:space="preserve">三级角色权限体系：</w:t>
      </w:r>
      <w:r>
        <w:rPr>
          <w:rFonts w:ascii="Times New Roman" w:eastAsia="SimSun"/>
          <w:color w:val="000000"/>
          <w:sz w:val="24"/>
          <w:szCs w:val="24"/>
        </w:rPr>
        <w:t xml:space="preserve">内置超级管理员、管理员、只读账号三级角色，写操作与高危操作分级校验，所有后台写操作全程记录操作日志。</w:t>
      </w:r>
    </w:p>
    <w:p>
      <w:pPr>
        <w:pStyle w:val="ListParagraph"/>
        <w:numPr>
          <w:ilvl w:val="0"/>
          <w:numId w:val="1"/>
        </w:numPr>
        <w:spacing w:after="40" w:line="312"/>
        <w:jc w:val="both"/>
      </w:pPr>
      <w:r>
        <w:rPr>
          <w:rFonts w:ascii="Times New Roman" w:eastAsia="SimSun"/>
          <w:b/>
          <w:bCs/>
          <w:color w:val="000000"/>
          <w:sz w:val="24"/>
          <w:szCs w:val="24"/>
        </w:rPr>
        <w:t xml:space="preserve">跨系统单点登录：</w:t>
      </w:r>
      <w:r>
        <w:rPr>
          <w:rFonts w:ascii="Times New Roman" w:eastAsia="SimSun"/>
          <w:color w:val="000000"/>
          <w:sz w:val="24"/>
          <w:szCs w:val="24"/>
        </w:rPr>
        <w:t xml:space="preserve">与维修后台管理系统同域部署，支持以维修后台登录凭证置换回收后台会话，首次进入自动开户，实现一套账号、双系统免登切换。</w:t>
      </w:r>
    </w:p>
    <w:p>
      <w:pPr>
        <w:pStyle w:val="ListParagraph"/>
        <w:numPr>
          <w:ilvl w:val="0"/>
          <w:numId w:val="1"/>
        </w:numPr>
        <w:spacing w:after="40" w:line="312"/>
        <w:jc w:val="both"/>
      </w:pPr>
      <w:r>
        <w:rPr>
          <w:rFonts w:ascii="Times New Roman" w:eastAsia="SimSun"/>
          <w:b/>
          <w:bCs/>
          <w:color w:val="000000"/>
          <w:sz w:val="24"/>
          <w:szCs w:val="24"/>
        </w:rPr>
        <w:t xml:space="preserve">环保贡献量化：</w:t>
      </w:r>
      <w:r>
        <w:rPr>
          <w:rFonts w:ascii="Times New Roman" w:eastAsia="SimSun"/>
          <w:color w:val="000000"/>
          <w:sz w:val="24"/>
          <w:szCs w:val="24"/>
        </w:rPr>
        <w:t xml:space="preserve">依据累计回收完成台数，按可配置的行业换算系数自动折算减碳量、等效植树量与节省电能，在看板与大屏直观呈现绿色回收成效。</w:t>
      </w:r>
    </w:p>
    <w:p>
      <w:pPr>
        <w:pStyle w:val="ListParagraph"/>
        <w:numPr>
          <w:ilvl w:val="0"/>
          <w:numId w:val="1"/>
        </w:numPr>
        <w:spacing w:after="40" w:line="312"/>
        <w:jc w:val="both"/>
      </w:pPr>
      <w:r>
        <w:rPr>
          <w:rFonts w:ascii="Times New Roman" w:eastAsia="SimSun"/>
          <w:b/>
          <w:bCs/>
          <w:color w:val="000000"/>
          <w:sz w:val="24"/>
          <w:szCs w:val="24"/>
        </w:rPr>
        <w:t xml:space="preserve">容器化统一部署：</w:t>
      </w:r>
      <w:r>
        <w:rPr>
          <w:rFonts w:ascii="Times New Roman" w:eastAsia="SimSun"/>
          <w:color w:val="000000"/>
          <w:sz w:val="24"/>
          <w:szCs w:val="24"/>
        </w:rPr>
        <w:t xml:space="preserve">全栈支持 Docker 容器化编排，经 HTTPS 统一网关以子路径对外提供服务，部署、升级、回滚流程标准化。</w:t>
      </w:r>
    </w:p>
    <w:p>
      <w:pPr>
        <w:pStyle w:val="Heading2"/>
        <w:spacing w:after="140" w:before="280" w:line="312"/>
      </w:pPr>
      <w:bookmarkStart w:id="100004" w:name="_Toc100004"/>
      <w:r>
        <w:rPr>
          <w:rFonts w:ascii="Times New Roman" w:eastAsia="SimHei"/>
          <w:b/>
          <w:bCs/>
          <w:color w:val="1A4735"/>
          <w:sz w:val="28"/>
          <w:szCs w:val="28"/>
        </w:rPr>
        <w:t xml:space="preserve">1.4 运行环境</w:t>
      </w:r>
      <w:bookmarkEnd w:id="100004"/>
    </w:p>
    <w:p>
      <w:pPr>
        <w:pStyle w:val="Heading3"/>
        <w:spacing w:after="100" w:before="220" w:line="312"/>
      </w:pPr>
      <w:bookmarkStart w:id="100005" w:name="_Toc100005"/>
      <w:r>
        <w:rPr>
          <w:rFonts w:ascii="Times New Roman" w:eastAsia="SimHei"/>
          <w:b/>
          <w:bCs/>
          <w:color w:val="1A4735"/>
          <w:sz w:val="24"/>
          <w:szCs w:val="24"/>
        </w:rPr>
        <w:t xml:space="preserve">1.4.1 硬件环境</w:t>
      </w:r>
      <w:bookmarkEnd w:id="100005"/>
    </w:p>
    <w:p>
      <w:pPr>
        <w:spacing w:after="60" w:line="312"/>
        <w:ind w:firstLine="480"/>
        <w:jc w:val="both"/>
      </w:pPr>
      <w:r>
        <w:rPr>
          <w:rFonts w:ascii="Times New Roman" w:eastAsia="SimSun"/>
          <w:b w:val="false"/>
          <w:bCs w:val="false"/>
          <w:color w:val="000000"/>
          <w:sz w:val="24"/>
          <w:szCs w:val="24"/>
        </w:rPr>
        <w:t xml:space="preserve">服务端建议配置：2 核及以上 CPU、4GB 及以上内存、40GB 及以上系统盘；生产环境建议 4 核 CPU、8GB 内存并配备独立数据盘。管理端与用户端对终端无特殊要求：管理后台通过现代桌面浏览器访问，小程序端在支持微信小程序运行环境的智能手机上使用。</w:t>
      </w:r>
    </w:p>
    <w:p>
      <w:pPr>
        <w:pStyle w:val="Heading3"/>
        <w:spacing w:after="100" w:before="220" w:line="312"/>
      </w:pPr>
      <w:bookmarkStart w:id="100006" w:name="_Toc100006"/>
      <w:r>
        <w:rPr>
          <w:rFonts w:ascii="Times New Roman" w:eastAsia="SimHei"/>
          <w:b/>
          <w:bCs/>
          <w:color w:val="1A4735"/>
          <w:sz w:val="24"/>
          <w:szCs w:val="24"/>
        </w:rPr>
        <w:t xml:space="preserve">1.4.2 软件环境</w:t>
      </w:r>
      <w:bookmarkEnd w:id="100006"/>
    </w:p>
    <w:p>
      <w:pPr>
        <w:keepNext/>
        <w:spacing w:after="80" w:before="160" w:line="312"/>
        <w:jc w:val="center"/>
      </w:pPr>
      <w:r>
        <w:rPr>
          <w:rFonts w:ascii="Times New Roman" w:eastAsia="SimSun"/>
          <w:b/>
          <w:bCs/>
          <w:color w:val="333333"/>
          <w:sz w:val="21"/>
          <w:szCs w:val="21"/>
        </w:rPr>
        <w:t xml:space="preserve">表 1-1 软件运行环境要求</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1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类别</w:t>
            </w:r>
          </w:p>
        </w:tc>
        <w:tc>
          <w:tcPr>
            <w:tcW w:type="pct" w:w="2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环境项</w:t>
            </w:r>
          </w:p>
        </w:tc>
        <w:tc>
          <w:tcPr>
            <w:tcW w:type="pct" w:w="6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要求</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操作系统</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Linux（推荐）或 Windows Server，支持 Docker 容器运行时</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Node.js</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20.x 及以上版本（管理后台服务、小程序服务端）</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MySQL</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8.0 及以上版本，字符集 utf8mb4</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容器环境</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Docker Engine 24+ 与 Docker Compose（容器化部署）</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服务端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反向代理</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Nginx 1.24 及以上版本（统一 HTTPS 网关）</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浏览器</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Chrome、Edge、Firefox 等现代浏览器最新版本</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用户端</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微信客户端 8.0 及以上版本，支持小程序运行环境</w:t>
            </w:r>
          </w:p>
        </w:tc>
      </w:tr>
    </w:tbl>
    <w:p>
      <w:pPr>
        <w:pStyle w:val="Heading3"/>
        <w:spacing w:after="100" w:before="220" w:line="312"/>
      </w:pPr>
      <w:bookmarkStart w:id="100007" w:name="_Toc100007"/>
      <w:r>
        <w:rPr>
          <w:rFonts w:ascii="Times New Roman" w:eastAsia="SimHei"/>
          <w:b/>
          <w:bCs/>
          <w:color w:val="1A4735"/>
          <w:sz w:val="24"/>
          <w:szCs w:val="24"/>
        </w:rPr>
        <w:t xml:space="preserve">1.4.3 网络环境</w:t>
      </w:r>
      <w:bookmarkEnd w:id="100007"/>
    </w:p>
    <w:p>
      <w:pPr>
        <w:spacing w:after="60" w:line="312"/>
        <w:ind w:firstLine="480"/>
        <w:jc w:val="both"/>
      </w:pPr>
      <w:r>
        <w:rPr>
          <w:rFonts w:ascii="Times New Roman" w:eastAsia="SimSun"/>
          <w:b w:val="false"/>
          <w:bCs w:val="false"/>
          <w:color w:val="000000"/>
          <w:sz w:val="24"/>
          <w:szCs w:val="24"/>
        </w:rPr>
        <w:t xml:space="preserve">平台各组成部分通过内部容器网络通信：管理后台服务、小程序服务端与数据库、缓存之间均走容器内网。对外统一由 Nginx 网关以 HTTPS（443 端口）暴露，管理后台挂载于 /recycle-admin/ 子路径，小程序接口挂载于 /mp-api/ 子路径。生产环境需开放 443 端口并配置域名与 SSL 证书；内网测试环境可直接访问相应本机端口。</w:t>
      </w:r>
    </w:p>
    <w:p>
      <w:pPr>
        <w:pStyle w:val="Heading2"/>
        <w:spacing w:after="140" w:before="280" w:line="312"/>
      </w:pPr>
      <w:bookmarkStart w:id="100008" w:name="_Toc100008"/>
      <w:r>
        <w:rPr>
          <w:rFonts w:ascii="Times New Roman" w:eastAsia="SimHei"/>
          <w:b/>
          <w:bCs/>
          <w:color w:val="1A4735"/>
          <w:sz w:val="28"/>
          <w:szCs w:val="28"/>
        </w:rPr>
        <w:t xml:space="preserve">1.5 术语与缩略语</w:t>
      </w:r>
      <w:bookmarkEnd w:id="100008"/>
    </w:p>
    <w:p>
      <w:pPr>
        <w:keepNext/>
        <w:spacing w:after="80" w:before="160" w:line="312"/>
        <w:jc w:val="center"/>
      </w:pPr>
      <w:r>
        <w:rPr>
          <w:rFonts w:ascii="Times New Roman" w:eastAsia="SimSun"/>
          <w:b/>
          <w:bCs/>
          <w:color w:val="333333"/>
          <w:sz w:val="21"/>
          <w:szCs w:val="21"/>
        </w:rPr>
        <w:t xml:space="preserve">表 1-2 术语与缩略语定义</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2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术语</w:t>
            </w:r>
          </w:p>
        </w:tc>
        <w:tc>
          <w:tcPr>
            <w:tcW w:type="pct" w:w="7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定义</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配价库</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设备回收基准价格库，按「分类—品牌—型号」三级结构维护各机型的回收基准价与市场参考价</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基准价</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型号处于最佳成色时回收方可提供的最高回收价，是估价计算的起点</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二手基准系数</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即便设备全新也按该折扣回收的兜底系数，默认 0.9，用于使报价贴近真实二手行情</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估价因子</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影响回收价格的设备状况维度，包括成色、屏幕、功能、版本、配件、维修史六项</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品类系数</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按回收品类整体设定的折算系数，用于调节不同品类之间的估价水平</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回收订单</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业务订单表中订单类型为 recycle 的订单，记录用户回收申请、报价与成交信息</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SSO</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Single Sign-On，单点登录，指以维修后台登录凭证直接换取回收后台会话的机制</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JWT</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JSON Web Token，用于管理后台接口身份校验的令牌</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大屏</w:t>
            </w:r>
          </w:p>
        </w:tc>
        <w:tc>
          <w:tcPr>
            <w:tcW w:type="pct" w:w="7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面向展示场景的数据可视化页面，全屏呈现经营指标与环保贡献</w:t>
            </w:r>
          </w:p>
        </w:tc>
      </w:tr>
    </w:tbl>
    <w:p>
      <w:pPr>
        <w:pStyle w:val="Heading1"/>
        <w:pageBreakBefore/>
        <w:spacing w:after="200" w:before="360" w:line="312"/>
      </w:pPr>
      <w:bookmarkStart w:id="100009" w:name="_Toc100009"/>
      <w:r>
        <w:rPr>
          <w:rFonts w:ascii="Times New Roman" w:eastAsia="SimHei"/>
          <w:b/>
          <w:bCs/>
          <w:color w:val="1A4735"/>
          <w:sz w:val="32"/>
          <w:szCs w:val="32"/>
        </w:rPr>
        <w:t xml:space="preserve">第二章 系统总体结构</w:t>
      </w:r>
      <w:bookmarkEnd w:id="100009"/>
    </w:p>
    <w:p>
      <w:pPr>
        <w:pStyle w:val="Heading2"/>
        <w:spacing w:after="140" w:before="280" w:line="312"/>
      </w:pPr>
      <w:bookmarkStart w:id="100010" w:name="_Toc100010"/>
      <w:r>
        <w:rPr>
          <w:rFonts w:ascii="Times New Roman" w:eastAsia="SimHei"/>
          <w:b/>
          <w:bCs/>
          <w:color w:val="1A4735"/>
          <w:sz w:val="28"/>
          <w:szCs w:val="28"/>
        </w:rPr>
        <w:t xml:space="preserve">2.1 总体架构</w:t>
      </w:r>
      <w:bookmarkEnd w:id="100010"/>
    </w:p>
    <w:p>
      <w:pPr>
        <w:spacing w:after="60" w:line="312"/>
        <w:ind w:firstLine="480"/>
        <w:jc w:val="both"/>
      </w:pPr>
      <w:r>
        <w:rPr>
          <w:rFonts w:ascii="Times New Roman" w:eastAsia="SimSun"/>
          <w:b w:val="false"/>
          <w:bCs w:val="false"/>
          <w:color w:val="000000"/>
          <w:sz w:val="24"/>
          <w:szCs w:val="24"/>
        </w:rPr>
        <w:t xml:space="preserve">平台在逻辑上划分为四层：用户接入层、业务服务层、数据层与外部服务层。用户接入层包括微信小程序端与 Web 管理后台前端；业务服务层包括回收管理后台服务（默认端口 3005）、小程序服务端（默认端口 3001）与统一网关；数据层为共享的 MySQL 业务数据库，配价、订单等核心数据在两个服务之间实时共享；外部服务层包括 DeepSeek 大模型接口与各外部回收平台网站。</w:t>
      </w:r>
    </w:p>
    <w:p>
      <w:pPr>
        <w:spacing w:after="60" w:line="312"/>
        <w:ind w:firstLine="480"/>
        <w:jc w:val="both"/>
      </w:pPr>
      <w:r>
        <w:rPr>
          <w:rFonts w:ascii="Times New Roman" w:eastAsia="SimSun"/>
          <w:b w:val="false"/>
          <w:bCs w:val="false"/>
          <w:color w:val="000000"/>
          <w:sz w:val="24"/>
          <w:szCs w:val="24"/>
        </w:rPr>
        <w:t xml:space="preserve">回收管理后台服务与小程序服务端之间不直接调用接口，而是通过共享同一 MySQL 业务库协作：后台负责写入配价库、估价系数与平台档案等管理数据；小程序服务端以只读方式将这些数据组装为公开接口供小程序拉取；回收订单由小程序端写入业务订单表，后台直接读取并处理。这种「读写分离、以库为界」的协作方式使两端完全解耦，任一端升级不影响另一端运行。</w:t>
      </w:r>
    </w:p>
    <w:p>
      <w:pPr>
        <w:pStyle w:val="Heading2"/>
        <w:spacing w:after="140" w:before="280" w:line="312"/>
      </w:pPr>
      <w:bookmarkStart w:id="100011" w:name="_Toc100011"/>
      <w:r>
        <w:rPr>
          <w:rFonts w:ascii="Times New Roman" w:eastAsia="SimHei"/>
          <w:b/>
          <w:bCs/>
          <w:color w:val="1A4735"/>
          <w:sz w:val="28"/>
          <w:szCs w:val="28"/>
        </w:rPr>
        <w:t xml:space="preserve">2.2 技术架构</w:t>
      </w:r>
      <w:bookmarkEnd w:id="100011"/>
    </w:p>
    <w:p>
      <w:pPr>
        <w:keepNext/>
        <w:spacing w:after="80" w:before="160" w:line="312"/>
        <w:jc w:val="center"/>
      </w:pPr>
      <w:r>
        <w:rPr>
          <w:rFonts w:ascii="Times New Roman" w:eastAsia="SimSun"/>
          <w:b/>
          <w:bCs/>
          <w:color w:val="333333"/>
          <w:sz w:val="21"/>
          <w:szCs w:val="21"/>
        </w:rPr>
        <w:t xml:space="preserve">表 2-1 平台技术栈构成</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2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组成部分</w:t>
            </w:r>
          </w:p>
        </w:tc>
        <w:tc>
          <w:tcPr>
            <w:tcW w:type="pct" w:w="3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技术选型</w:t>
            </w:r>
          </w:p>
        </w:tc>
        <w:tc>
          <w:tcPr>
            <w:tcW w:type="pct" w:w="4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说明</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管理后台服务端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Node.js 20 + Express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RESTful API，JWT 鉴权，单端口同时托管接口与前端静态资源</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管理后台前端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Vue3 + Vite + Element Plus + ECharts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组件化开发，构建产物由服务端托管，支持子路径部署</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微信小程序原生框架</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分包加载、本地缓存、自定义视觉体系</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Node.js + Express + mysql2</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业务订单处理、回收公开数据接口、AI 估价代理</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数据库</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MySQL 8.0（mysql2 连接池）</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utf8mb4 字符集，时区东八区，连接池默认上限 10</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 估价</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DeepSeek Chat API</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温度参数 0.3，输出约束为 JSON 格式，失败自动降级</w:t>
            </w:r>
          </w:p>
        </w:tc>
      </w:tr>
      <w:tr>
        <w:trPr>
          <w:cantSplit/>
        </w:trPr>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网关</w:t>
            </w:r>
          </w:p>
        </w:tc>
        <w:tc>
          <w:tcPr>
            <w:tcW w:type="pct" w:w="3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Nginx 1.24</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HTTPS 终端、子路径路由、静态资源与上传目录分发</w:t>
            </w:r>
          </w:p>
        </w:tc>
      </w:tr>
    </w:tbl>
    <w:p>
      <w:pPr>
        <w:spacing w:after="60" w:line="312"/>
        <w:ind w:firstLine="480"/>
        <w:jc w:val="both"/>
      </w:pPr>
      <w:r>
        <w:rPr>
          <w:rFonts w:ascii="Times New Roman" w:eastAsia="SimSun"/>
          <w:b w:val="false"/>
          <w:bCs w:val="false"/>
          <w:color w:val="000000"/>
          <w:sz w:val="24"/>
          <w:szCs w:val="24"/>
        </w:rPr>
        <w:t xml:space="preserve">管理后台前端与管理后台服务端为一同部署单元：生产模式下，Express 服务在提供 /api 前缀接口的同时，直接托管前端构建产物目录，并回退路由支持前端 history 路由模式，因此单端口即可对外提供完整后台能力。前端构建时通过环境变量注入子路径基座与接口前缀，适配网关子路径部署场景。</w:t>
      </w:r>
    </w:p>
    <w:p>
      <w:pPr>
        <w:pStyle w:val="Heading2"/>
        <w:spacing w:after="140" w:before="280" w:line="312"/>
      </w:pPr>
      <w:bookmarkStart w:id="100012" w:name="_Toc100012"/>
      <w:r>
        <w:rPr>
          <w:rFonts w:ascii="Times New Roman" w:eastAsia="SimHei"/>
          <w:b/>
          <w:bCs/>
          <w:color w:val="1A4735"/>
          <w:sz w:val="28"/>
          <w:szCs w:val="28"/>
        </w:rPr>
        <w:t xml:space="preserve">2.3 部署架构</w:t>
      </w:r>
      <w:bookmarkEnd w:id="100012"/>
    </w:p>
    <w:p>
      <w:pPr>
        <w:spacing w:after="60" w:line="312"/>
        <w:ind w:firstLine="480"/>
        <w:jc w:val="both"/>
      </w:pPr>
      <w:r>
        <w:rPr>
          <w:rFonts w:ascii="Times New Roman" w:eastAsia="SimSun"/>
          <w:b w:val="false"/>
          <w:bCs w:val="false"/>
          <w:color w:val="000000"/>
          <w:sz w:val="24"/>
          <w:szCs w:val="24"/>
        </w:rPr>
        <w:t xml:space="preserve">平台采用容器化统一编排部署。全部服务注册在同一容器网络中：Nginx 网关容器对外监听 443 端口，按路径将请求转发至回收管理后台容器（/recycle-admin/）、小程序服务端容器（/mp-api/）等后端服务；数据库使用宿主机已有的 MySQL 实例，容器内通过 host.docker.internal 访问；Redis 缓存容器仅绑定本机回环地址。管理后台容器仅暴露本机端口用于调试，外部访问一律经网关进行，形成统一的入口收敛与安全边界。</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2-1 系统总体部署架构图（可插入部署架构截图或示意图片）</w:t>
      </w:r>
    </w:p>
    <w:p>
      <w:pPr>
        <w:pStyle w:val="Heading2"/>
        <w:spacing w:after="140" w:before="280" w:line="312"/>
      </w:pPr>
      <w:bookmarkStart w:id="100013" w:name="_Toc100013"/>
      <w:r>
        <w:rPr>
          <w:rFonts w:ascii="Times New Roman" w:eastAsia="SimHei"/>
          <w:b/>
          <w:bCs/>
          <w:color w:val="1A4735"/>
          <w:sz w:val="28"/>
          <w:szCs w:val="28"/>
        </w:rPr>
        <w:t xml:space="preserve">2.4 功能模块划分</w:t>
      </w:r>
      <w:bookmarkEnd w:id="100013"/>
    </w:p>
    <w:p>
      <w:pPr>
        <w:spacing w:after="60" w:line="312"/>
        <w:ind w:firstLine="480"/>
        <w:jc w:val="both"/>
      </w:pPr>
      <w:r>
        <w:rPr>
          <w:rFonts w:ascii="Times New Roman" w:eastAsia="SimSun"/>
          <w:b w:val="false"/>
          <w:bCs w:val="false"/>
          <w:color w:val="000000"/>
          <w:sz w:val="24"/>
          <w:szCs w:val="24"/>
        </w:rPr>
        <w:t xml:space="preserve">平台功能划分为小程序端与管理后台端两大体系，共计十六个功能模块。小程序端包含回收主页、估价引导两个核心模块；管理后台端包含数据看板、数据大屏、回收订单管理、设备配价库、回收平台管理、采购链接管理、估价配置、操作日志、系统设置九个菜单模块，另含登录认证与权限控制基础模块。</w:t>
      </w:r>
    </w:p>
    <w:p>
      <w:pPr>
        <w:keepNext/>
        <w:spacing w:after="80" w:before="160" w:line="312"/>
        <w:jc w:val="center"/>
      </w:pPr>
      <w:r>
        <w:rPr>
          <w:rFonts w:ascii="Times New Roman" w:eastAsia="SimSun"/>
          <w:b/>
          <w:bCs/>
          <w:color w:val="333333"/>
          <w:sz w:val="21"/>
          <w:szCs w:val="21"/>
        </w:rPr>
        <w:t xml:space="preserve">表 2-2 平台功能模块清单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1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端</w:t>
            </w:r>
          </w:p>
        </w:tc>
        <w:tc>
          <w:tcPr>
            <w:tcW w:type="pct" w:w="20%"/>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模块</w:t>
            </w:r>
          </w:p>
        </w:tc>
        <w:tc>
          <w:tcPr>
            <w:tcW w:type="pct" w:w="6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核心功能</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回收主页</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分类浏览、品牌型号选择、全局搜索、平台比价、云端配价加载</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估价引导</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七步问答评估、实时估价、AI 估价、地址选择、订单提交、内部回收申请</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数据看板</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经营指标总览、订单趋势、类型分布、热门机型、环保贡献</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数据大屏</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全屏数据可视化展示，含实时时钟与全屏控制</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回收订单管理</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订单检索、详情查看、报价提交、状态流转、手动建单、CSV 导出</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设备配价库</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分类/品牌/型号管理、单型号调价、批量调价、调价审计、品类系数</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回收平台管理</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回收平台档案维护、跳转点击统计</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采购链接管理</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外部采购与比价链接维护、点击统计与排行</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估价配置</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核心参数、品类系数、因子系数维护与估价模拟</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操作日志</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后台全部写操作日志的多条件检索</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系统设置</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系统参数、管理员账号管理、密码修改</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c>
          <w:tcPr>
            <w:tcW w:type="pct" w:w="2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认证与权限</w:t>
            </w:r>
          </w:p>
        </w:tc>
        <w:tc>
          <w:tcPr>
            <w:tcW w:type="pct" w:w="6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账号登录、单点登录、JWT 会话、三级角色控制</w:t>
            </w:r>
          </w:p>
        </w:tc>
      </w:tr>
    </w:tbl>
    <w:p>
      <w:pPr>
        <w:pStyle w:val="Heading2"/>
        <w:spacing w:after="140" w:before="280" w:line="312"/>
      </w:pPr>
      <w:bookmarkStart w:id="100014" w:name="_Toc100014"/>
      <w:r>
        <w:rPr>
          <w:rFonts w:ascii="Times New Roman" w:eastAsia="SimHei"/>
          <w:b/>
          <w:bCs/>
          <w:color w:val="1A4735"/>
          <w:sz w:val="28"/>
          <w:szCs w:val="28"/>
        </w:rPr>
        <w:t xml:space="preserve">2.5 业务流程设计</w:t>
      </w:r>
      <w:bookmarkEnd w:id="100014"/>
    </w:p>
    <w:p>
      <w:pPr>
        <w:pStyle w:val="Heading3"/>
        <w:spacing w:after="100" w:before="220" w:line="312"/>
      </w:pPr>
      <w:bookmarkStart w:id="100015" w:name="_Toc100015"/>
      <w:r>
        <w:rPr>
          <w:rFonts w:ascii="Times New Roman" w:eastAsia="SimHei"/>
          <w:b/>
          <w:bCs/>
          <w:color w:val="1A4735"/>
          <w:sz w:val="24"/>
          <w:szCs w:val="24"/>
        </w:rPr>
        <w:t xml:space="preserve">2.5.1 用户回收下单流程</w:t>
      </w:r>
      <w:bookmarkEnd w:id="100015"/>
    </w:p>
    <w:p>
      <w:pPr>
        <w:spacing w:after="60" w:line="312"/>
        <w:ind w:firstLine="480"/>
        <w:jc w:val="both"/>
      </w:pPr>
      <w:r>
        <w:rPr>
          <w:rFonts w:ascii="Times New Roman" w:eastAsia="SimSun"/>
          <w:b w:val="false"/>
          <w:bCs w:val="false"/>
          <w:color w:val="000000"/>
          <w:sz w:val="24"/>
          <w:szCs w:val="24"/>
        </w:rPr>
        <w:t xml:space="preserve">用户进入小程序回收主页后，可按分类逐级浏览品牌与型号，也可通过全局搜索直接定位型号；点击目标型号卡片进入估价引导页。估价引导页以问答形式依次采集设备成色、屏幕状况、功能状况、设备版本、配件状况、维修史与补充说明七项信息，每完成一项即实时刷新预估价格。全部问题作答完成后，系统先以本地多因子模型计算估价，再尝试调用 AI 大模型估价，AI 返回有效价格时采用 AI 结果并附估价说明。用户确认估价后选择回收地址，普通用户经金额确认弹窗二次确认后提交订单；公司内部人员选择设备来源后可提交免付款回收申请。订单提交成功后进入后台待确认队列。</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2-2 用户回收下单业务流程图（可插入流程图截图）</w:t>
      </w:r>
    </w:p>
    <w:p>
      <w:pPr>
        <w:pStyle w:val="Heading3"/>
        <w:spacing w:after="100" w:before="220" w:line="312"/>
      </w:pPr>
      <w:bookmarkStart w:id="100016" w:name="_Toc100016"/>
      <w:r>
        <w:rPr>
          <w:rFonts w:ascii="Times New Roman" w:eastAsia="SimHei"/>
          <w:b/>
          <w:bCs/>
          <w:color w:val="1A4735"/>
          <w:sz w:val="24"/>
          <w:szCs w:val="24"/>
        </w:rPr>
        <w:t xml:space="preserve">2.5.2 估价计算流程</w:t>
      </w:r>
      <w:bookmarkEnd w:id="100016"/>
    </w:p>
    <w:p>
      <w:pPr>
        <w:spacing w:after="60" w:line="312"/>
        <w:ind w:firstLine="480"/>
        <w:jc w:val="both"/>
      </w:pPr>
      <w:r>
        <w:rPr>
          <w:rFonts w:ascii="Times New Roman" w:eastAsia="SimSun"/>
          <w:b w:val="false"/>
          <w:bCs w:val="false"/>
          <w:color w:val="000000"/>
          <w:sz w:val="24"/>
          <w:szCs w:val="24"/>
        </w:rPr>
        <w:t xml:space="preserve">估价计算以型号基准价为起点，依次乘以用户所选各评估因子对应的价格系数，再乘以二手基准系数与品类系数得到最终估价；价格区间按点估价的 90% 至 105% 收敛生成。计算公式为：最终估价 = 型号基准价 × 成色系数 × 屏幕系数 × 功能系数 × 版本系数 × 配件系数 × 维修史系数 × 二手基准系数 × 品类系数。其中型号基准价来自配价库，各因子系数与全局参数均由管理后台在线维护，小程序端启动估价流程时拉取最新配置并覆盖本地默认值。</w:t>
      </w:r>
    </w:p>
    <w:p>
      <w:pPr>
        <w:pStyle w:val="Heading3"/>
        <w:spacing w:after="100" w:before="220" w:line="312"/>
      </w:pPr>
      <w:bookmarkStart w:id="100017" w:name="_Toc100017"/>
      <w:r>
        <w:rPr>
          <w:rFonts w:ascii="Times New Roman" w:eastAsia="SimHei"/>
          <w:b/>
          <w:bCs/>
          <w:color w:val="1A4735"/>
          <w:sz w:val="24"/>
          <w:szCs w:val="24"/>
        </w:rPr>
        <w:t xml:space="preserve">2.5.3 后台订单处理流程</w:t>
      </w:r>
      <w:bookmarkEnd w:id="100017"/>
    </w:p>
    <w:p>
      <w:pPr>
        <w:spacing w:after="60" w:line="312"/>
        <w:ind w:firstLine="480"/>
        <w:jc w:val="both"/>
      </w:pPr>
      <w:r>
        <w:rPr>
          <w:rFonts w:ascii="Times New Roman" w:eastAsia="SimSun"/>
          <w:b w:val="false"/>
          <w:bCs w:val="false"/>
          <w:color w:val="000000"/>
          <w:sz w:val="24"/>
          <w:szCs w:val="24"/>
        </w:rPr>
        <w:t xml:space="preserve">回收订单遵循统一的状态机流转：待确认（pending）→ 已报价（quoted）→ 已确认（confirmed）→ 处理中（processing）→ 已完成（completed），任一非完结状态可转已取消（cancelled）。后台运营人员在订单列表检索到待确认订单后，查看订单详情中的设备信息、评估明细与用户联系方式，结合配价库行情提交回收报价，订单状态自动置为已报价；用户在小程序端确认报价后订单进入后续环节；设备验收完成后运营人员将订单置为已完成并记录成交价。已完结订单不允许再变更状态与报价，全部状态变更记录操作日志。</w:t>
      </w:r>
    </w:p>
    <w:p>
      <w:pPr>
        <w:pStyle w:val="Heading3"/>
        <w:spacing w:after="100" w:before="220" w:line="312"/>
      </w:pPr>
      <w:bookmarkStart w:id="100018" w:name="_Toc100018"/>
      <w:r>
        <w:rPr>
          <w:rFonts w:ascii="Times New Roman" w:eastAsia="SimHei"/>
          <w:b/>
          <w:bCs/>
          <w:color w:val="1A4735"/>
          <w:sz w:val="24"/>
          <w:szCs w:val="24"/>
        </w:rPr>
        <w:t xml:space="preserve">2.5.4 配价管理流程</w:t>
      </w:r>
      <w:bookmarkEnd w:id="100018"/>
    </w:p>
    <w:p>
      <w:pPr>
        <w:spacing w:after="60" w:line="312"/>
        <w:ind w:firstLine="480"/>
        <w:jc w:val="both"/>
      </w:pPr>
      <w:r>
        <w:rPr>
          <w:rFonts w:ascii="Times New Roman" w:eastAsia="SimSun"/>
          <w:b w:val="false"/>
          <w:bCs w:val="false"/>
          <w:color w:val="000000"/>
          <w:sz w:val="24"/>
          <w:szCs w:val="24"/>
        </w:rPr>
        <w:t xml:space="preserve">配价调整由运营人员在设备配价库或估价配置模块发起。单型号调价时系统先校验调价幅度：超过设定阈值（默认 20%）时返回需要二次确认的提示，运营人员确认强制调价后方可生效；批量调价支持按百分比上浮或下调、统一设置为固定值两种模式。每次调价无论成功与否均写入调价记录表，记录调价前后的价格、原因与操作人，形成完整的价格审计链。调价生效后，小程序端在配价缓存过期后自动拉取新价格。</w:t>
      </w:r>
    </w:p>
    <w:p>
      <w:pPr>
        <w:pStyle w:val="Heading1"/>
        <w:pageBreakBefore/>
        <w:spacing w:after="200" w:before="360" w:line="312"/>
      </w:pPr>
      <w:bookmarkStart w:id="100019" w:name="_Toc100019"/>
      <w:r>
        <w:rPr>
          <w:rFonts w:ascii="Times New Roman" w:eastAsia="SimHei"/>
          <w:b/>
          <w:bCs/>
          <w:color w:val="1A4735"/>
          <w:sz w:val="32"/>
          <w:szCs w:val="32"/>
        </w:rPr>
        <w:t xml:space="preserve">第三章 数据库设计</w:t>
      </w:r>
      <w:bookmarkEnd w:id="100019"/>
    </w:p>
    <w:p>
      <w:pPr>
        <w:pStyle w:val="Heading2"/>
        <w:spacing w:after="140" w:before="280" w:line="312"/>
      </w:pPr>
      <w:bookmarkStart w:id="100020" w:name="_Toc100020"/>
      <w:r>
        <w:rPr>
          <w:rFonts w:ascii="Times New Roman" w:eastAsia="SimHei"/>
          <w:b/>
          <w:bCs/>
          <w:color w:val="1A4735"/>
          <w:sz w:val="28"/>
          <w:szCs w:val="28"/>
        </w:rPr>
        <w:t xml:space="preserve">3.1 设计概述</w:t>
      </w:r>
      <w:bookmarkEnd w:id="100020"/>
    </w:p>
    <w:p>
      <w:pPr>
        <w:spacing w:after="60" w:line="312"/>
        <w:ind w:firstLine="480"/>
        <w:jc w:val="both"/>
      </w:pPr>
      <w:r>
        <w:rPr>
          <w:rFonts w:ascii="Times New Roman" w:eastAsia="SimSun"/>
          <w:b w:val="false"/>
          <w:bCs w:val="false"/>
          <w:color w:val="000000"/>
          <w:sz w:val="24"/>
          <w:szCs w:val="24"/>
        </w:rPr>
        <w:t xml:space="preserve">平台数据库采用 MySQL 8.0，字符集 utf8mb4，时区设置为东八区。数据表分为两类：一类是平台专属表，统一使用 recycle_ 前缀，由管理后台服务在首次启动时自动建表并灌入种子数据，覆盖管理员账号、配价库、平台档案、估价配置与操作审计；另一类是与小程序共享的业务表，包括订单表 orders（通过订单类型字段 order_type = recycle 标识回收订单）、用户表 users 与用户地址表 user_addresses，由小程序服务端负责建表与写入，管理后台只读访问。</w:t>
      </w:r>
    </w:p>
    <w:p>
      <w:pPr>
        <w:spacing w:after="60" w:line="312"/>
        <w:ind w:firstLine="480"/>
        <w:jc w:val="both"/>
      </w:pPr>
      <w:r>
        <w:rPr>
          <w:rFonts w:ascii="Times New Roman" w:eastAsia="SimSun"/>
          <w:b w:val="false"/>
          <w:bCs w:val="false"/>
          <w:color w:val="000000"/>
          <w:sz w:val="24"/>
          <w:szCs w:val="24"/>
        </w:rPr>
        <w:t xml:space="preserve">考虑到业务表结构随小程序服务端持续迭代，管理后台在查询订单与地址前会先读取数据库元数据获取实际存在的列集合，对可选列按需拼接查询字段，缺失列以空值占位，保证响应结构稳定，避免因两端部署节奏差异导致接口异常。</w:t>
      </w:r>
    </w:p>
    <w:p>
      <w:pPr>
        <w:pStyle w:val="Heading2"/>
        <w:spacing w:after="140" w:before="280" w:line="312"/>
      </w:pPr>
      <w:bookmarkStart w:id="100021" w:name="_Toc100021"/>
      <w:r>
        <w:rPr>
          <w:rFonts w:ascii="Times New Roman" w:eastAsia="SimHei"/>
          <w:b/>
          <w:bCs/>
          <w:color w:val="1A4735"/>
          <w:sz w:val="28"/>
          <w:szCs w:val="28"/>
        </w:rPr>
        <w:t xml:space="preserve">3.2 数据表清单</w:t>
      </w:r>
      <w:bookmarkEnd w:id="100021"/>
    </w:p>
    <w:p>
      <w:pPr>
        <w:keepNext/>
        <w:spacing w:after="80" w:before="160" w:line="312"/>
        <w:jc w:val="center"/>
      </w:pPr>
      <w:r>
        <w:rPr>
          <w:rFonts w:ascii="Times New Roman" w:eastAsia="SimSun"/>
          <w:b/>
          <w:bCs/>
          <w:color w:val="333333"/>
          <w:sz w:val="21"/>
          <w:szCs w:val="21"/>
        </w:rPr>
        <w:t xml:space="preserve">表 3-1 平台数据表清单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30%"/>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表名</w:t>
            </w:r>
          </w:p>
        </w:tc>
        <w:tc>
          <w:tcPr>
            <w:tcW w:type="pct" w:w="4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说明</w:t>
            </w:r>
          </w:p>
        </w:tc>
        <w:tc>
          <w:tcPr>
            <w:tcW w:type="pct" w:w="2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维护方</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recycle_admins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回收后台管理员账号（含角色与状态）</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recycle_categories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回收设备分类</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recycle_brands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回收设备品牌（隶属分类）</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recycle_models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回收设备型号配价（核心表）</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recycle_price_logs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配价调整记录（调价审计）</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recycle_platforms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回收/采购/比价平台档案</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recycle_procurement_links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采购网站平台链接</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recycle_click_logs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平台/链接跳转点击日志</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双端写入</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recycle_condition_rates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估价因子系数配置</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recycle_settings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系统参数（键值对）</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recycle_operation_logs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后台操作日志</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管理后台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orders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业务订单表（order_type=recycle 为回收订单）</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users / user_addresses</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用户与收货地址</w:t>
            </w:r>
          </w:p>
        </w:tc>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小程序服务端</w:t>
            </w:r>
          </w:p>
        </w:tc>
      </w:tr>
    </w:tbl>
    <w:p>
      <w:pPr>
        <w:pStyle w:val="Heading2"/>
        <w:spacing w:after="140" w:before="280" w:line="312"/>
      </w:pPr>
      <w:bookmarkStart w:id="100022" w:name="_Toc100022"/>
      <w:r>
        <w:rPr>
          <w:rFonts w:ascii="Times New Roman" w:eastAsia="SimHei"/>
          <w:b/>
          <w:bCs/>
          <w:color w:val="1A4735"/>
          <w:sz w:val="28"/>
          <w:szCs w:val="28"/>
        </w:rPr>
        <w:t xml:space="preserve">3.3 核心表结构说明</w:t>
      </w:r>
      <w:bookmarkEnd w:id="100022"/>
    </w:p>
    <w:p>
      <w:pPr>
        <w:pStyle w:val="Heading3"/>
        <w:spacing w:after="100" w:before="220" w:line="312"/>
      </w:pPr>
      <w:bookmarkStart w:id="100023" w:name="_Toc100023"/>
      <w:r>
        <w:rPr>
          <w:rFonts w:ascii="Times New Roman" w:eastAsia="SimHei"/>
          <w:b/>
          <w:bCs/>
          <w:color w:val="1A4735"/>
          <w:sz w:val="24"/>
          <w:szCs w:val="24"/>
        </w:rPr>
        <w:t xml:space="preserve">3.3.1 管理员表 recycle_admins</w:t>
      </w:r>
      <w:bookmarkEnd w:id="100023"/>
    </w:p>
    <w:p>
      <w:pPr>
        <w:spacing w:after="40" w:line="312"/>
        <w:ind w:firstLine="480"/>
        <w:jc w:val="both"/>
      </w:pPr>
      <w:r>
        <w:rPr>
          <w:rFonts w:ascii="Times New Roman" w:eastAsia="SimSun"/>
          <w:b w:val="false"/>
          <w:bCs w:val="false"/>
          <w:color w:val="000000"/>
          <w:sz w:val="24"/>
          <w:szCs w:val="24"/>
        </w:rPr>
        <w:t xml:space="preserve">存储回收后台的独立账号体系，与维修后台账号逻辑隔离。密码以 bcrypt 哈希存储；角色分为 super（超级管理员）、admin（管理员）、viewer（只读）三级；账号可禁用而保留历史日志关联。</w:t>
      </w:r>
    </w:p>
    <w:p>
      <w:pPr>
        <w:keepNext/>
        <w:spacing w:after="80" w:before="160" w:line="312"/>
        <w:jc w:val="center"/>
      </w:pPr>
      <w:r>
        <w:rPr>
          <w:rFonts w:ascii="Times New Roman" w:eastAsia="SimSun"/>
          <w:b/>
          <w:bCs/>
          <w:color w:val="333333"/>
          <w:sz w:val="21"/>
          <w:szCs w:val="21"/>
        </w:rPr>
        <w:t xml:space="preserve">表 3-2 recycle_admins 主要字段</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2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字段</w:t>
            </w:r>
          </w:p>
        </w:tc>
        <w:tc>
          <w:tcPr>
            <w:tcW w:type="pct" w:w="30%"/>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类型</w:t>
            </w:r>
          </w:p>
        </w:tc>
        <w:tc>
          <w:tcPr>
            <w:tcW w:type="pct" w:w="4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说明</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自增主键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管理员标识</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username</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VARCHAR(64) 唯一</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登录账号</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password_hash</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VARCHAR(128)</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bcrypt 密码哈希</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name</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VARCHAR(64)</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姓名</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role</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ENUM(super/admin/viewer)</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角色，默认 admin</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启用，0 禁用</w:t>
            </w:r>
          </w:p>
        </w:tc>
      </w:tr>
      <w:tr>
        <w:trPr>
          <w:cantSplit/>
        </w:trPr>
        <w:tc>
          <w:tcPr>
            <w:tcW w:type="pct" w:w="2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last_login_at</w:t>
            </w:r>
          </w:p>
        </w:tc>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DATETIME</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最近登录时间</w:t>
            </w:r>
          </w:p>
        </w:tc>
      </w:tr>
    </w:tbl>
    <w:p>
      <w:pPr>
        <w:pStyle w:val="Heading3"/>
        <w:spacing w:after="100" w:before="220" w:line="312"/>
      </w:pPr>
      <w:bookmarkStart w:id="100024" w:name="_Toc100024"/>
      <w:r>
        <w:rPr>
          <w:rFonts w:ascii="Times New Roman" w:eastAsia="SimHei"/>
          <w:b/>
          <w:bCs/>
          <w:color w:val="1A4735"/>
          <w:sz w:val="24"/>
          <w:szCs w:val="24"/>
        </w:rPr>
        <w:t xml:space="preserve">3.3.2 设备分类表 recycle_categories 与品牌表 recycle_brands</w:t>
      </w:r>
      <w:bookmarkEnd w:id="100024"/>
    </w:p>
    <w:p>
      <w:pPr>
        <w:spacing w:after="40" w:line="312"/>
        <w:ind w:firstLine="480"/>
        <w:jc w:val="both"/>
      </w:pPr>
      <w:r>
        <w:rPr>
          <w:rFonts w:ascii="Times New Roman" w:eastAsia="SimSun"/>
          <w:b w:val="false"/>
          <w:bCs w:val="false"/>
          <w:color w:val="000000"/>
          <w:sz w:val="24"/>
          <w:szCs w:val="24"/>
        </w:rPr>
        <w:t xml:space="preserve">分类表维护回收品类的基础信息，编码唯一，支持图标与主题色定制及上架/下架状态；品牌表通过分类外键隶属分类，支持品牌字标与品牌色。删除分类时校验其下是否仍有品牌，删除品牌时校验其下是否仍有型号，从应用层保证目录树完整性；数据库层同时设置级联删除外键作为兜底。</w:t>
      </w:r>
    </w:p>
    <w:p>
      <w:pPr>
        <w:keepNext/>
        <w:spacing w:after="80" w:before="160" w:line="312"/>
        <w:jc w:val="center"/>
      </w:pPr>
      <w:r>
        <w:rPr>
          <w:rFonts w:ascii="Times New Roman" w:eastAsia="SimSun"/>
          <w:b/>
          <w:bCs/>
          <w:color w:val="333333"/>
          <w:sz w:val="21"/>
          <w:szCs w:val="21"/>
        </w:rPr>
        <w:t xml:space="preserve">表 3-3 recycle_categories 主要字段</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2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字段</w:t>
            </w:r>
          </w:p>
        </w:tc>
        <w:tc>
          <w:tcPr>
            <w:tcW w:type="pct" w:w="2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类型</w:t>
            </w:r>
          </w:p>
        </w:tc>
        <w:tc>
          <w:tcPr>
            <w:tcW w:type="pct" w:w="4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说明</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自增主键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分类标识</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code</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VARCHAR(32) 唯一</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分类编码（如 phone、computer）</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name / icon / color</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分类名称、图标、主题色</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sort_order</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排序权重</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上架，0 下架</w:t>
            </w:r>
          </w:p>
        </w:tc>
      </w:tr>
    </w:tbl>
    <w:p>
      <w:pPr>
        <w:pStyle w:val="Heading3"/>
        <w:spacing w:after="100" w:before="220" w:line="312"/>
      </w:pPr>
      <w:bookmarkStart w:id="100025" w:name="_Toc100025"/>
      <w:r>
        <w:rPr>
          <w:rFonts w:ascii="Times New Roman" w:eastAsia="SimHei"/>
          <w:b/>
          <w:bCs/>
          <w:color w:val="1A4735"/>
          <w:sz w:val="24"/>
          <w:szCs w:val="24"/>
        </w:rPr>
        <w:t xml:space="preserve">3.3.3 型号配价表 recycle_models</w:t>
      </w:r>
      <w:bookmarkEnd w:id="100025"/>
    </w:p>
    <w:p>
      <w:pPr>
        <w:spacing w:after="40" w:line="312"/>
        <w:ind w:firstLine="480"/>
        <w:jc w:val="both"/>
      </w:pPr>
      <w:r>
        <w:rPr>
          <w:rFonts w:ascii="Times New Roman" w:eastAsia="SimSun"/>
          <w:b w:val="false"/>
          <w:bCs w:val="false"/>
          <w:color w:val="000000"/>
          <w:sz w:val="24"/>
          <w:szCs w:val="24"/>
        </w:rPr>
        <w:t xml:space="preserve">配价核心表，每个型号记录回收基准价（最高回收价）与二手市场参考价，支持热门机型标记、上架/下架与排序；updated_by 记录最后调价的管理员，配合调价记录表实现价格责任可追溯。</w:t>
      </w:r>
    </w:p>
    <w:p>
      <w:pPr>
        <w:keepNext/>
        <w:spacing w:after="80" w:before="160" w:line="312"/>
        <w:jc w:val="center"/>
      </w:pPr>
      <w:r>
        <w:rPr>
          <w:rFonts w:ascii="Times New Roman" w:eastAsia="SimSun"/>
          <w:b/>
          <w:bCs/>
          <w:color w:val="333333"/>
          <w:sz w:val="21"/>
          <w:szCs w:val="21"/>
        </w:rPr>
        <w:t xml:space="preserve">表 3-4 recycle_models 主要字段</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2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字段</w:t>
            </w:r>
          </w:p>
        </w:tc>
        <w:tc>
          <w:tcPr>
            <w:tcW w:type="pct" w:w="2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类型</w:t>
            </w:r>
          </w:p>
        </w:tc>
        <w:tc>
          <w:tcPr>
            <w:tcW w:type="pct" w:w="4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说明</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自增主键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型号标识</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brand_id</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 外键</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所属品牌</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name / specs</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VARCHAR</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型号名称、规格说明</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base_price</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DECIMAL(10,2)</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回收基准价</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market_price</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DECIMAL(10,2) 可空</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二手市场参考价</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hot</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是否热门机型</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TINYINT(1)</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上架，0 下架</w:t>
            </w:r>
          </w:p>
        </w:tc>
      </w:tr>
      <w:tr>
        <w:trPr>
          <w:cantSplit/>
        </w:trPr>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updated_by</w:t>
            </w:r>
          </w:p>
        </w:tc>
        <w:tc>
          <w:tcPr>
            <w:tcW w:type="pct" w:w="2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INT</w:t>
            </w:r>
          </w:p>
        </w:tc>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最后调价管理员</w:t>
            </w:r>
          </w:p>
        </w:tc>
      </w:tr>
    </w:tbl>
    <w:p>
      <w:pPr>
        <w:pStyle w:val="Heading3"/>
        <w:spacing w:after="100" w:before="220" w:line="312"/>
      </w:pPr>
      <w:bookmarkStart w:id="100026" w:name="_Toc100026"/>
      <w:r>
        <w:rPr>
          <w:rFonts w:ascii="Times New Roman" w:eastAsia="SimHei"/>
          <w:b/>
          <w:bCs/>
          <w:color w:val="1A4735"/>
          <w:sz w:val="24"/>
          <w:szCs w:val="24"/>
        </w:rPr>
        <w:t xml:space="preserve">3.3.4 调价记录表 recycle_price_logs</w:t>
      </w:r>
      <w:bookmarkEnd w:id="100026"/>
    </w:p>
    <w:p>
      <w:pPr>
        <w:spacing w:after="60" w:line="312"/>
        <w:ind w:firstLine="480"/>
        <w:jc w:val="both"/>
      </w:pPr>
      <w:r>
        <w:rPr>
          <w:rFonts w:ascii="Times New Roman" w:eastAsia="SimSun"/>
          <w:b w:val="false"/>
          <w:bCs w:val="false"/>
          <w:color w:val="000000"/>
          <w:sz w:val="24"/>
          <w:szCs w:val="24"/>
        </w:rPr>
        <w:t xml:space="preserve">记录每一次配价变动，包括新增型号的初始定价与批量调价中的每个型号，字段涵盖调价前后价格、调价原因、操作管理员与时间，按型号与时间建立索引，支撑价格走势查询与审计。</w:t>
      </w:r>
    </w:p>
    <w:p>
      <w:pPr>
        <w:pStyle w:val="Heading3"/>
        <w:spacing w:after="100" w:before="220" w:line="312"/>
      </w:pPr>
      <w:bookmarkStart w:id="100027" w:name="_Toc100027"/>
      <w:r>
        <w:rPr>
          <w:rFonts w:ascii="Times New Roman" w:eastAsia="SimHei"/>
          <w:b/>
          <w:bCs/>
          <w:color w:val="1A4735"/>
          <w:sz w:val="24"/>
          <w:szCs w:val="24"/>
        </w:rPr>
        <w:t xml:space="preserve">3.3.5 平台档案表 recycle_platforms 与采购链接表 recycle_procurement_links</w:t>
      </w:r>
      <w:bookmarkEnd w:id="100027"/>
    </w:p>
    <w:p>
      <w:pPr>
        <w:spacing w:after="60" w:line="312"/>
        <w:ind w:firstLine="480"/>
        <w:jc w:val="both"/>
      </w:pPr>
      <w:r>
        <w:rPr>
          <w:rFonts w:ascii="Times New Roman" w:eastAsia="SimSun"/>
          <w:b w:val="false"/>
          <w:bCs w:val="false"/>
          <w:color w:val="000000"/>
          <w:sz w:val="24"/>
          <w:szCs w:val="24"/>
        </w:rPr>
        <w:t xml:space="preserve">平台档案表存储外部回收平台信息，类型分为回收平台、采购渠道、比价参考三类，字段覆盖平台网址、服务方式（上门/邮寄/到店）、结算方式、佣金说明与联系方式，并累计跳转点击量。采购链接表存储按设备分类或机型关键词归类的采购与比价链接，可关联平台档案，记录参考价格区间、备注与点击统计。两张表配合跳转日志表 recycle_click_logs（记录来源为后台或小程序）形成渠道引流数据闭环。</w:t>
      </w:r>
    </w:p>
    <w:p>
      <w:pPr>
        <w:pStyle w:val="Heading3"/>
        <w:spacing w:after="100" w:before="220" w:line="312"/>
      </w:pPr>
      <w:bookmarkStart w:id="100028" w:name="_Toc100028"/>
      <w:r>
        <w:rPr>
          <w:rFonts w:ascii="Times New Roman" w:eastAsia="SimHei"/>
          <w:b/>
          <w:bCs/>
          <w:color w:val="1A4735"/>
          <w:sz w:val="24"/>
          <w:szCs w:val="24"/>
        </w:rPr>
        <w:t xml:space="preserve">3.3.6 估价系数表 recycle_condition_rates</w:t>
      </w:r>
      <w:bookmarkEnd w:id="100028"/>
    </w:p>
    <w:p>
      <w:pPr>
        <w:spacing w:after="60" w:line="312"/>
        <w:ind w:firstLine="480"/>
        <w:jc w:val="both"/>
      </w:pPr>
      <w:r>
        <w:rPr>
          <w:rFonts w:ascii="Times New Roman" w:eastAsia="SimSun"/>
          <w:b w:val="false"/>
          <w:bCs w:val="false"/>
          <w:color w:val="000000"/>
          <w:sz w:val="24"/>
          <w:szCs w:val="24"/>
        </w:rPr>
        <w:t xml:space="preserve">按估价因子分组存储各选项的价格系数，每条记录包含因子键（condition/screen/function/version/accessories/repair-history）、选项文案、选项匹配值与系数值，同一因子下按排序字段决定小程序端展示顺序。管理后台对系数的增删改即时生效，小程序端估价前拉取最新配置。</w:t>
      </w:r>
    </w:p>
    <w:p>
      <w:pPr>
        <w:pStyle w:val="Heading3"/>
        <w:spacing w:after="100" w:before="220" w:line="312"/>
      </w:pPr>
      <w:bookmarkStart w:id="100029" w:name="_Toc100029"/>
      <w:r>
        <w:rPr>
          <w:rFonts w:ascii="Times New Roman" w:eastAsia="SimHei"/>
          <w:b/>
          <w:bCs/>
          <w:color w:val="1A4735"/>
          <w:sz w:val="24"/>
          <w:szCs w:val="24"/>
        </w:rPr>
        <w:t xml:space="preserve">3.3.7 系统参数表 recycle_settings</w:t>
      </w:r>
      <w:bookmarkEnd w:id="100029"/>
    </w:p>
    <w:p>
      <w:pPr>
        <w:spacing w:after="40" w:line="312"/>
        <w:ind w:firstLine="480"/>
        <w:jc w:val="both"/>
      </w:pPr>
      <w:r>
        <w:rPr>
          <w:rFonts w:ascii="Times New Roman" w:eastAsia="SimSun"/>
          <w:b w:val="false"/>
          <w:bCs w:val="false"/>
          <w:color w:val="000000"/>
          <w:sz w:val="24"/>
          <w:szCs w:val="24"/>
        </w:rPr>
        <w:t xml:space="preserve">以键值对方式存储平台运行参数，键唯一。预置参数包括二手回收基准系数、AI 估价开关、配价有效期、回收服务电话、回收须知、单次调价幅度上限、环保换算系数等；品类估价系数亦以 cat_factor_ 前缀键存于本表。参数支持在线修改并记录更新人。</w:t>
      </w:r>
    </w:p>
    <w:p>
      <w:pPr>
        <w:keepNext/>
        <w:spacing w:after="80" w:before="160" w:line="312"/>
        <w:jc w:val="center"/>
      </w:pPr>
      <w:r>
        <w:rPr>
          <w:rFonts w:ascii="Times New Roman" w:eastAsia="SimSun"/>
          <w:b/>
          <w:bCs/>
          <w:color w:val="333333"/>
          <w:sz w:val="21"/>
          <w:szCs w:val="21"/>
        </w:rPr>
        <w:t xml:space="preserve">表 3-5 预置系统参数</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30%"/>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参数键</w:t>
            </w:r>
          </w:p>
        </w:tc>
        <w:tc>
          <w:tcPr>
            <w:tcW w:type="pct" w:w="2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默认值</w:t>
            </w:r>
          </w:p>
        </w:tc>
        <w:tc>
          <w:tcPr>
            <w:tcW w:type="pct" w:w="4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说明</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base_factor</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0.9</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二手回收基准系数</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ai_evaluate_enabled</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小程序端 AI 估价开关（1 开 0 关）</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price_valid_days</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配价有效期（天）</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service_phone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400-888-8888</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回收服务电话</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recycle_notice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回收前请备份数据并退出账号</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回收须知文案</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max_price_adjust_percent</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20</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单次调价幅度上限（%）</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eco_co2_per_device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25</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每台设备回收减少碳排放（kg CO2e）</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eco_tree_co2_year</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18</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一棵树年吸收二氧化碳（kg）</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eco_energy_per_device</w:t>
            </w:r>
          </w:p>
        </w:tc>
        <w:tc>
          <w:tcPr>
            <w:tcW w:type="pct" w:w="2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8.7</w:t>
            </w:r>
          </w:p>
        </w:tc>
        <w:tc>
          <w:tcPr>
            <w:tcW w:type="pct" w:w="4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每台设备回收节省电能（kWh）</w:t>
            </w:r>
          </w:p>
        </w:tc>
      </w:tr>
    </w:tbl>
    <w:p>
      <w:pPr>
        <w:pStyle w:val="Heading3"/>
        <w:spacing w:after="100" w:before="220" w:line="312"/>
      </w:pPr>
      <w:bookmarkStart w:id="100030" w:name="_Toc100030"/>
      <w:r>
        <w:rPr>
          <w:rFonts w:ascii="Times New Roman" w:eastAsia="SimHei"/>
          <w:b/>
          <w:bCs/>
          <w:color w:val="1A4735"/>
          <w:sz w:val="24"/>
          <w:szCs w:val="24"/>
        </w:rPr>
        <w:t xml:space="preserve">3.3.8 操作日志表 recycle_operation_logs</w:t>
      </w:r>
      <w:bookmarkEnd w:id="100030"/>
    </w:p>
    <w:p>
      <w:pPr>
        <w:spacing w:after="60" w:line="312"/>
        <w:ind w:firstLine="480"/>
        <w:jc w:val="both"/>
      </w:pPr>
      <w:r>
        <w:rPr>
          <w:rFonts w:ascii="Times New Roman" w:eastAsia="SimSun"/>
          <w:b w:val="false"/>
          <w:bCs w:val="false"/>
          <w:color w:val="000000"/>
          <w:sz w:val="24"/>
          <w:szCs w:val="24"/>
        </w:rPr>
        <w:t xml:space="preserve">记录后台全部写操作，字段包括操作管理员、模块（order/catalog/platform/link/setting/auth）、动作、明细、来源 IP 与时间，按模块与时间索引。日志写入与业务操作同事务提交，明细内容超长时自动截断至一千字符。</w:t>
      </w:r>
    </w:p>
    <w:p>
      <w:pPr>
        <w:pStyle w:val="Heading3"/>
        <w:spacing w:after="100" w:before="220" w:line="312"/>
      </w:pPr>
      <w:bookmarkStart w:id="100031" w:name="_Toc100031"/>
      <w:r>
        <w:rPr>
          <w:rFonts w:ascii="Times New Roman" w:eastAsia="SimHei"/>
          <w:b/>
          <w:bCs/>
          <w:color w:val="1A4735"/>
          <w:sz w:val="24"/>
          <w:szCs w:val="24"/>
        </w:rPr>
        <w:t xml:space="preserve">3.3.9 业务订单表 orders（共享）</w:t>
      </w:r>
      <w:bookmarkEnd w:id="100031"/>
    </w:p>
    <w:p>
      <w:pPr>
        <w:spacing w:after="60" w:line="312"/>
        <w:ind w:firstLine="480"/>
        <w:jc w:val="both"/>
      </w:pPr>
      <w:r>
        <w:rPr>
          <w:rFonts w:ascii="Times New Roman" w:eastAsia="SimSun"/>
          <w:b w:val="false"/>
          <w:bCs w:val="false"/>
          <w:color w:val="000000"/>
          <w:sz w:val="24"/>
          <w:szCs w:val="24"/>
        </w:rPr>
        <w:t xml:space="preserve">回收订单复用业务订单表，以 order_type 字段区分业务类型。回收订单使用的主要字段包括：订单号 order_id、用户 user_id、设备型号 device_model、设备成色 device_condition、预估价 estimated_price、成交价 actual_price、报价说明 quote_description、订单状态 status、进度 progress、图片 images、取消原因 cancel_reason 以及支付状态 payment_status 等；内部回收申请另以设备来源 device_source 与免付款标记区分。管理后台查询时按订单类型过滤并联查用户昵称、真实姓名与手机号，订单详情额外联查收货地址。</w:t>
      </w:r>
    </w:p>
    <w:p>
      <w:pPr>
        <w:pStyle w:val="Heading2"/>
        <w:spacing w:after="140" w:before="280" w:line="312"/>
      </w:pPr>
      <w:bookmarkStart w:id="100032" w:name="_Toc100032"/>
      <w:r>
        <w:rPr>
          <w:rFonts w:ascii="Times New Roman" w:eastAsia="SimHei"/>
          <w:b/>
          <w:bCs/>
          <w:color w:val="1A4735"/>
          <w:sz w:val="28"/>
          <w:szCs w:val="28"/>
        </w:rPr>
        <w:t xml:space="preserve">3.4 数据一致性设计</w:t>
      </w:r>
      <w:bookmarkEnd w:id="100032"/>
    </w:p>
    <w:p>
      <w:pPr>
        <w:spacing w:after="60" w:line="312"/>
        <w:ind w:firstLine="480"/>
        <w:jc w:val="both"/>
      </w:pPr>
      <w:r>
        <w:rPr>
          <w:rFonts w:ascii="Times New Roman" w:eastAsia="SimSun"/>
          <w:b w:val="false"/>
          <w:bCs w:val="false"/>
          <w:color w:val="000000"/>
          <w:sz w:val="24"/>
          <w:szCs w:val="24"/>
        </w:rPr>
        <w:t xml:space="preserve">平台在多处采用应用层校验与幂等设计保障数据一致性：建表与种子数据全部使用幂等语句（CREATE TABLE IF NOT EXISTS 与空表判断），服务可安全重复启动；配价目录的删除操作前置引用校验，防止出现悬空引用；估价系数每个因子至少保留两个选项，删除时校验剩余数量；管理员删除时校验系统至少保留一个超级管理员且不可删除自己；参数与品类系数写入使用 INSERT ... ON DUPLICATE KEY UPDATE 语句实现存在即更新的幂等语义。</w:t>
      </w:r>
    </w:p>
    <w:p>
      <w:pPr>
        <w:pStyle w:val="Heading1"/>
        <w:pageBreakBefore/>
        <w:spacing w:after="200" w:before="360" w:line="312"/>
      </w:pPr>
      <w:bookmarkStart w:id="100033" w:name="_Toc100033"/>
      <w:r>
        <w:rPr>
          <w:rFonts w:ascii="Times New Roman" w:eastAsia="SimHei"/>
          <w:b/>
          <w:bCs/>
          <w:color w:val="1A4735"/>
          <w:sz w:val="32"/>
          <w:szCs w:val="32"/>
        </w:rPr>
        <w:t xml:space="preserve">第四章 接口设计</w:t>
      </w:r>
      <w:bookmarkEnd w:id="100033"/>
    </w:p>
    <w:p>
      <w:pPr>
        <w:pStyle w:val="Heading2"/>
        <w:spacing w:after="140" w:before="280" w:line="312"/>
      </w:pPr>
      <w:bookmarkStart w:id="100034" w:name="_Toc100034"/>
      <w:r>
        <w:rPr>
          <w:rFonts w:ascii="Times New Roman" w:eastAsia="SimHei"/>
          <w:b/>
          <w:bCs/>
          <w:color w:val="1A4735"/>
          <w:sz w:val="28"/>
          <w:szCs w:val="28"/>
        </w:rPr>
        <w:t xml:space="preserve">4.1 接口规范</w:t>
      </w:r>
      <w:bookmarkEnd w:id="100034"/>
    </w:p>
    <w:p>
      <w:pPr>
        <w:spacing w:after="60" w:line="312"/>
        <w:ind w:firstLine="480"/>
        <w:jc w:val="both"/>
      </w:pPr>
      <w:r>
        <w:rPr>
          <w:rFonts w:ascii="Times New Roman" w:eastAsia="SimSun"/>
          <w:b w:val="false"/>
          <w:bCs w:val="false"/>
          <w:color w:val="000000"/>
          <w:sz w:val="24"/>
          <w:szCs w:val="24"/>
        </w:rPr>
        <w:t xml:space="preserve">管理后台接口统一以 /api 为前缀，采用 JSON 报文。除登录、单点登录与健康检查外，全部接口要求携带 Authorization: Bearer 令牌；文件下载类接口支持以查询参数 token 传递令牌以适配新窗口下载场景。响应统一为 success（布尔）、message（提示信息）与 data（业务数据）结构；列表类接口返回 list、total、page、pageSize 分页结构。写操作接口同时要求角色不低于管理员（viewer 只读账号被拒绝）。</w:t>
      </w:r>
    </w:p>
    <w:p>
      <w:pPr>
        <w:pStyle w:val="Heading2"/>
        <w:spacing w:after="140" w:before="280" w:line="312"/>
      </w:pPr>
      <w:bookmarkStart w:id="100035" w:name="_Toc100035"/>
      <w:r>
        <w:rPr>
          <w:rFonts w:ascii="Times New Roman" w:eastAsia="SimHei"/>
          <w:b/>
          <w:bCs/>
          <w:color w:val="1A4735"/>
          <w:sz w:val="28"/>
          <w:szCs w:val="28"/>
        </w:rPr>
        <w:t xml:space="preserve">4.2 认证与账号接口</w:t>
      </w:r>
      <w:bookmarkEnd w:id="100035"/>
    </w:p>
    <w:p>
      <w:pPr>
        <w:keepNext/>
        <w:spacing w:after="80" w:before="160" w:line="312"/>
        <w:jc w:val="center"/>
      </w:pPr>
      <w:r>
        <w:rPr>
          <w:rFonts w:ascii="Times New Roman" w:eastAsia="SimSun"/>
          <w:b/>
          <w:bCs/>
          <w:color w:val="333333"/>
          <w:sz w:val="21"/>
          <w:szCs w:val="21"/>
        </w:rPr>
        <w:t xml:space="preserve">表 4-1 认证接口清单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3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6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/api/auth/login</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账号密码登录，校验 bcrypt 哈希与账号状态，签发 12 小时 JWT</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/api/auth/sso</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以维修后台令牌置换回收后台会话，无账号时自动开通</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/api/auth/me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获取当前登录管理员信息</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/api/auth/change-password</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修改自身密码，新密码不少于 6 位</w:t>
            </w:r>
          </w:p>
        </w:tc>
      </w:tr>
    </w:tbl>
    <w:p>
      <w:pPr>
        <w:pStyle w:val="Heading2"/>
        <w:spacing w:after="140" w:before="280" w:line="312"/>
      </w:pPr>
      <w:bookmarkStart w:id="100036" w:name="_Toc100036"/>
      <w:r>
        <w:rPr>
          <w:rFonts w:ascii="Times New Roman" w:eastAsia="SimHei"/>
          <w:b/>
          <w:bCs/>
          <w:color w:val="1A4735"/>
          <w:sz w:val="28"/>
          <w:szCs w:val="28"/>
        </w:rPr>
        <w:t xml:space="preserve">4.3 回收订单接口</w:t>
      </w:r>
      <w:bookmarkEnd w:id="100036"/>
    </w:p>
    <w:p>
      <w:pPr>
        <w:keepNext/>
        <w:spacing w:after="80" w:before="160" w:line="312"/>
        <w:jc w:val="center"/>
      </w:pPr>
      <w:r>
        <w:rPr>
          <w:rFonts w:ascii="Times New Roman" w:eastAsia="SimSun"/>
          <w:b/>
          <w:bCs/>
          <w:color w:val="333333"/>
          <w:sz w:val="21"/>
          <w:szCs w:val="21"/>
        </w:rPr>
        <w:t xml:space="preserve">表 4-2 回收订单接口清单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3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6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分页查询回收订单，支持关键词、状态、成色、日期区间筛选，返回列表与成交额汇总</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/api/orders/:id</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订单详情，含用户联系信息与收货地址拼接</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/api/orders/:id/quote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提交回收报价，校验金额有效性并写操作日志</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/api/orders/:id/status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订单状态流转，完结态校验与取消原因记录</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/api/orders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手动创建线下回收订单，生成 REC 前缀订单号</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/api/orders/export/list</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按当前筛选条件导出 CSV（带 BOM，Excel 直接打开）</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/api/orders/meta/options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用户搜索下拉（按昵称/姓名/手机号检索）</w:t>
            </w:r>
          </w:p>
        </w:tc>
      </w:tr>
    </w:tbl>
    <w:p>
      <w:pPr>
        <w:pStyle w:val="Heading2"/>
        <w:spacing w:after="140" w:before="280" w:line="312"/>
      </w:pPr>
      <w:bookmarkStart w:id="100037" w:name="_Toc100037"/>
      <w:r>
        <w:rPr>
          <w:rFonts w:ascii="Times New Roman" w:eastAsia="SimHei"/>
          <w:b/>
          <w:bCs/>
          <w:color w:val="1A4735"/>
          <w:sz w:val="28"/>
          <w:szCs w:val="28"/>
        </w:rPr>
        <w:t xml:space="preserve">4.4 配价库接口</w:t>
      </w:r>
      <w:bookmarkEnd w:id="100037"/>
    </w:p>
    <w:p>
      <w:pPr>
        <w:keepNext/>
        <w:spacing w:after="80" w:before="160" w:line="312"/>
        <w:jc w:val="center"/>
      </w:pPr>
      <w:r>
        <w:rPr>
          <w:rFonts w:ascii="Times New Roman" w:eastAsia="SimSun"/>
          <w:b/>
          <w:bCs/>
          <w:color w:val="333333"/>
          <w:sz w:val="21"/>
          <w:szCs w:val="21"/>
        </w:rPr>
        <w:t xml:space="preserve">表 4-3 配价库接口清单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4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5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/api/catalog/tree</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完整目录树（分类—品牌—型号，含配价）</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/api/catalog/models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型号分页查询，支持分类/品牌/关键词/状态/热门筛选</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/api/catalog/export/models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配价库全量 CSV 导出</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POST/PUT/DELETE /api/catalog/categories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分类增删改（删除前置品牌引用校验）</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POST/PUT/DELETE /api/catalog/brands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品牌增删改（删除前置型号引用校验）</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POST/PUT/DELETE /api/catalog/models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型号增删改，新增即记初始定价</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PUT /api/catalog/models/:id/price</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单型号调价，幅度超限需 force 二次确认</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/api/catalog/models/batch-price</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批量调价（百分比/固定值两种模式）</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GET/PUT /api/catalog/category-factors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品类估价系数查询与修改（0.1~2）</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/api/catalog/price-logs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调价记录分页查询，支持按型号过滤查看走势</w:t>
            </w:r>
          </w:p>
        </w:tc>
      </w:tr>
    </w:tbl>
    <w:p>
      <w:pPr>
        <w:pStyle w:val="Heading2"/>
        <w:spacing w:after="140" w:before="280" w:line="312"/>
      </w:pPr>
      <w:bookmarkStart w:id="100038" w:name="_Toc100038"/>
      <w:r>
        <w:rPr>
          <w:rFonts w:ascii="Times New Roman" w:eastAsia="SimHei"/>
          <w:b/>
          <w:bCs/>
          <w:color w:val="1A4735"/>
          <w:sz w:val="28"/>
          <w:szCs w:val="28"/>
        </w:rPr>
        <w:t xml:space="preserve">4.5 平台与链接接口</w:t>
      </w:r>
      <w:bookmarkEnd w:id="100038"/>
    </w:p>
    <w:p>
      <w:pPr>
        <w:keepNext/>
        <w:spacing w:after="80" w:before="160" w:line="312"/>
        <w:jc w:val="center"/>
      </w:pPr>
      <w:r>
        <w:rPr>
          <w:rFonts w:ascii="Times New Roman" w:eastAsia="SimSun"/>
          <w:b/>
          <w:bCs/>
          <w:color w:val="333333"/>
          <w:sz w:val="21"/>
          <w:szCs w:val="21"/>
        </w:rPr>
        <w:t xml:space="preserve">表 4-4 平台与链接接口清单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4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5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/api/platforms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回收平台档案增删改查，网址格式校验</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/api/platforms/:id/click</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记录平台跳转点击并返回目标地址</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/api/links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采购链接增删改查，支持分类/关键词/状态筛选</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/api/links/:id/click</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记录链接跳转点击并返回目标地址</w:t>
            </w:r>
          </w:p>
        </w:tc>
      </w:tr>
      <w:tr>
        <w:trPr>
          <w:cantSplit/>
        </w:trPr>
        <w:tc>
          <w:tcPr>
            <w:tcW w:type="pct" w:w="4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/api/links/click-stats</w:t>
            </w:r>
          </w:p>
        </w:tc>
        <w:tc>
          <w:tcPr>
            <w:tcW w:type="pct" w:w="5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近 30 天跳转趋势与点击 TOP10 统计</w:t>
            </w:r>
          </w:p>
        </w:tc>
      </w:tr>
    </w:tbl>
    <w:p>
      <w:pPr>
        <w:pStyle w:val="Heading2"/>
        <w:spacing w:after="140" w:before="280" w:line="312"/>
      </w:pPr>
      <w:bookmarkStart w:id="100039" w:name="_Toc100039"/>
      <w:r>
        <w:rPr>
          <w:rFonts w:ascii="Times New Roman" w:eastAsia="SimHei"/>
          <w:b/>
          <w:bCs/>
          <w:color w:val="1A4735"/>
          <w:sz w:val="28"/>
          <w:szCs w:val="28"/>
        </w:rPr>
        <w:t xml:space="preserve">4.6 统计接口</w:t>
      </w:r>
      <w:bookmarkEnd w:id="100039"/>
    </w:p>
    <w:p>
      <w:pPr>
        <w:keepNext/>
        <w:spacing w:after="80" w:before="160" w:line="312"/>
        <w:jc w:val="center"/>
      </w:pPr>
      <w:r>
        <w:rPr>
          <w:rFonts w:ascii="Times New Roman" w:eastAsia="SimSun"/>
          <w:b/>
          <w:bCs/>
          <w:color w:val="333333"/>
          <w:sz w:val="21"/>
          <w:szCs w:val="21"/>
        </w:rPr>
        <w:t xml:space="preserve">表 4-5 统计接口清单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3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6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/api/stats/dashboard</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看板概览：订单与成交额汇总、30 天趋势、机型排行、类型分布、最新订单、配价与跳转概况、环保贡献折算</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/api/stats/orders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自定义区间统计：按日/月粒度趋势、状态分布、成色分布、价格段分布、机型 TOP15</w:t>
            </w:r>
          </w:p>
        </w:tc>
      </w:tr>
    </w:tbl>
    <w:p>
      <w:pPr>
        <w:pStyle w:val="Heading2"/>
        <w:spacing w:after="140" w:before="280" w:line="312"/>
      </w:pPr>
      <w:bookmarkStart w:id="100040" w:name="_Toc100040"/>
      <w:r>
        <w:rPr>
          <w:rFonts w:ascii="Times New Roman" w:eastAsia="SimHei"/>
          <w:b/>
          <w:bCs/>
          <w:color w:val="1A4735"/>
          <w:sz w:val="28"/>
          <w:szCs w:val="28"/>
        </w:rPr>
        <w:t xml:space="preserve">4.7 系统设置与日志接口</w:t>
      </w:r>
      <w:bookmarkEnd w:id="100040"/>
    </w:p>
    <w:p>
      <w:pPr>
        <w:keepNext/>
        <w:spacing w:after="80" w:before="160" w:line="312"/>
        <w:jc w:val="center"/>
      </w:pPr>
      <w:r>
        <w:rPr>
          <w:rFonts w:ascii="Times New Roman" w:eastAsia="SimSun"/>
          <w:b/>
          <w:bCs/>
          <w:color w:val="333333"/>
          <w:sz w:val="21"/>
          <w:szCs w:val="21"/>
        </w:rPr>
        <w:t xml:space="preserve">表 4-6 系统设置与日志接口清单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46%"/>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5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GET/PUT /api/system/settings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系统参数查询与批量保存</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/api/system/condition-rates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估价因子系数的分组查询、修改、增删（每因子至少保留两项）</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GET/POST/PUT/DELETE /api/system/admins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管理员管理，仅超级管理员可操作</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/api/system/operation-logs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操作日志分页查询（按模块过滤）</w:t>
            </w:r>
          </w:p>
        </w:tc>
      </w:tr>
      <w:tr>
        <w:trPr>
          <w:cantSplit/>
        </w:trPr>
        <w:tc>
          <w:tcPr>
            <w:tcW w:type="pct" w:w="46%"/>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/api/logs</w:t>
            </w:r>
          </w:p>
        </w:tc>
        <w:tc>
          <w:tcPr>
            <w:tcW w:type="pct" w:w="5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操作日志多条件检索（模块/关键词/日期）</w:t>
            </w:r>
          </w:p>
        </w:tc>
      </w:tr>
    </w:tbl>
    <w:p>
      <w:pPr>
        <w:pStyle w:val="Heading2"/>
        <w:spacing w:after="140" w:before="280" w:line="312"/>
      </w:pPr>
      <w:bookmarkStart w:id="100041" w:name="_Toc100041"/>
      <w:r>
        <w:rPr>
          <w:rFonts w:ascii="Times New Roman" w:eastAsia="SimHei"/>
          <w:b/>
          <w:bCs/>
          <w:color w:val="1A4735"/>
          <w:sz w:val="28"/>
          <w:szCs w:val="28"/>
        </w:rPr>
        <w:t xml:space="preserve">4.8 小程序端公开接口</w:t>
      </w:r>
      <w:bookmarkEnd w:id="100041"/>
    </w:p>
    <w:p>
      <w:pPr>
        <w:spacing w:after="40" w:line="312"/>
        <w:ind w:firstLine="480"/>
        <w:jc w:val="both"/>
      </w:pPr>
      <w:r>
        <w:rPr>
          <w:rFonts w:ascii="Times New Roman" w:eastAsia="SimSun"/>
          <w:b w:val="false"/>
          <w:bCs w:val="false"/>
          <w:color w:val="000000"/>
          <w:sz w:val="24"/>
          <w:szCs w:val="24"/>
        </w:rPr>
        <w:t xml:space="preserve">以下接口由小程序服务端提供，不要求管理后台令牌，供小程序回收模块拉取后台维护的公共数据。当配价表尚未初始化时返回 managed=false 标记，小程序端自动回退本地内置数据，保证离线与冷启动可用。</w:t>
      </w:r>
    </w:p>
    <w:p>
      <w:pPr>
        <w:keepNext/>
        <w:spacing w:after="80" w:before="160" w:line="312"/>
        <w:jc w:val="center"/>
      </w:pPr>
      <w:r>
        <w:rPr>
          <w:rFonts w:ascii="Times New Roman" w:eastAsia="SimSun"/>
          <w:b/>
          <w:bCs/>
          <w:color w:val="333333"/>
          <w:sz w:val="21"/>
          <w:szCs w:val="21"/>
        </w:rPr>
        <w:t xml:space="preserve">表 4-7 小程序回收公开接口清单</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38%"/>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方法与路径</w:t>
            </w:r>
          </w:p>
        </w:tc>
        <w:tc>
          <w:tcPr>
            <w:tcW w:type="pct" w:w="6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功能说明</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/api/recycle/catalog</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上架配价目录（分类—品牌—型号），结构与小程序本地数据一致</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/api/recycle/platforms</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启用中的回收平台列表（比价区数据源）</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/api/recycle/click</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上报平台/链接跳转点击（来源标记 mini）</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GET /api/recycle/config</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估价配置（系统参数与因子系数），供小程序热更新</w:t>
            </w:r>
          </w:p>
        </w:tc>
      </w:tr>
      <w:tr>
        <w:trPr>
          <w:cantSplit/>
        </w:trPr>
        <w:tc>
          <w:tcPr>
            <w:tcW w:type="pct" w:w="38%"/>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POST /api/recycle/evaluate</w:t>
            </w:r>
          </w:p>
        </w:tc>
        <w:tc>
          <w:tcPr>
            <w:tcW w:type="pct" w:w="6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AI 回收估价（DeepSeek），失败返回降级提示</w:t>
            </w:r>
          </w:p>
        </w:tc>
      </w:tr>
    </w:tbl>
    <w:p>
      <w:pPr>
        <w:pStyle w:val="Heading1"/>
        <w:pageBreakBefore/>
        <w:spacing w:after="200" w:before="360" w:line="312"/>
      </w:pPr>
      <w:bookmarkStart w:id="100042" w:name="_Toc100042"/>
      <w:r>
        <w:rPr>
          <w:rFonts w:ascii="Times New Roman" w:eastAsia="SimHei"/>
          <w:b/>
          <w:bCs/>
          <w:color w:val="1A4735"/>
          <w:sz w:val="32"/>
          <w:szCs w:val="32"/>
        </w:rPr>
        <w:t xml:space="preserve">第五章 小程序端功能设计与说明</w:t>
      </w:r>
      <w:bookmarkEnd w:id="100042"/>
    </w:p>
    <w:p>
      <w:pPr>
        <w:pStyle w:val="Heading2"/>
        <w:spacing w:after="140" w:before="280" w:line="312"/>
      </w:pPr>
      <w:bookmarkStart w:id="100043" w:name="_Toc100043"/>
      <w:r>
        <w:rPr>
          <w:rFonts w:ascii="Times New Roman" w:eastAsia="SimHei"/>
          <w:b/>
          <w:bCs/>
          <w:color w:val="1A4735"/>
          <w:sz w:val="28"/>
          <w:szCs w:val="28"/>
        </w:rPr>
        <w:t xml:space="preserve">5.1 回收主页</w:t>
      </w:r>
      <w:bookmarkEnd w:id="100043"/>
    </w:p>
    <w:p>
      <w:pPr>
        <w:pStyle w:val="Heading3"/>
        <w:spacing w:after="100" w:before="220" w:line="312"/>
      </w:pPr>
      <w:bookmarkStart w:id="100044" w:name="_Toc100044"/>
      <w:r>
        <w:rPr>
          <w:rFonts w:ascii="Times New Roman" w:eastAsia="SimHei"/>
          <w:b/>
          <w:bCs/>
          <w:color w:val="1A4735"/>
          <w:sz w:val="24"/>
          <w:szCs w:val="24"/>
        </w:rPr>
        <w:t xml:space="preserve">5.1.1 页面布局与视觉设计</w:t>
      </w:r>
      <w:bookmarkEnd w:id="100044"/>
    </w:p>
    <w:p>
      <w:pPr>
        <w:spacing w:after="60" w:line="312"/>
        <w:ind w:firstLine="480"/>
        <w:jc w:val="both"/>
      </w:pPr>
      <w:r>
        <w:rPr>
          <w:rFonts w:ascii="Times New Roman" w:eastAsia="SimSun"/>
          <w:b w:val="false"/>
          <w:bCs w:val="false"/>
          <w:color w:val="000000"/>
          <w:sz w:val="24"/>
          <w:szCs w:val="24"/>
        </w:rPr>
        <w:t xml:space="preserve">回收主页采用「顶部搜索 + 分类横滑 + 品牌分区 + 型号卡片」的信息架构。页面顶部为搜索栏，中部为可横滑切换的分类导航，每个分类配有场景化主图与身份徽标；主体区域按品牌分区展示型号卡片，卡片呈现型号名称、规格要点与回收基准价。全页建立统一视觉体系：十二个分类各自绑定图标、场景文案与主题色，型号卡片颜色继承品牌色，在云端配价未携带颜色信息时自动沿用同品牌本地第一个型号的颜色，保持卡片观感一致。分类主图加载失败时自动降级为图标显示。</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5-1 小程序回收主页（可插入截图）</w:t>
      </w:r>
    </w:p>
    <w:p>
      <w:pPr>
        <w:pStyle w:val="Heading3"/>
        <w:spacing w:after="100" w:before="220" w:line="312"/>
      </w:pPr>
      <w:bookmarkStart w:id="100045" w:name="_Toc100045"/>
      <w:r>
        <w:rPr>
          <w:rFonts w:ascii="Times New Roman" w:eastAsia="SimHei"/>
          <w:b/>
          <w:bCs/>
          <w:color w:val="1A4735"/>
          <w:sz w:val="24"/>
          <w:szCs w:val="24"/>
        </w:rPr>
        <w:t xml:space="preserve">5.1.2 分类与品牌浏览</w:t>
      </w:r>
      <w:bookmarkEnd w:id="100045"/>
    </w:p>
    <w:p>
      <w:pPr>
        <w:spacing w:after="60" w:line="312"/>
        <w:ind w:firstLine="480"/>
        <w:jc w:val="both"/>
      </w:pPr>
      <w:r>
        <w:rPr>
          <w:rFonts w:ascii="Times New Roman" w:eastAsia="SimSun"/>
          <w:b w:val="false"/>
          <w:bCs w:val="false"/>
          <w:color w:val="000000"/>
          <w:sz w:val="24"/>
          <w:szCs w:val="24"/>
        </w:rPr>
        <w:t xml:space="preserve">平台预置十二个回收分类：手机、电脑、平板、智能穿戴、显示器、生活数码、相机、游戏机、无人机、服务器、网络设备、显卡。用户点击分类导航后，主体区域切换至该分类的品牌与型号列表；点击品牌标题时列表自动滚动定位到对应品牌区块。分类与品牌数据优先来自后台配价库（仅上架项），后台未初始化时使用本地内置目录。</w:t>
      </w:r>
    </w:p>
    <w:p>
      <w:pPr>
        <w:pStyle w:val="Heading3"/>
        <w:spacing w:after="100" w:before="220" w:line="312"/>
      </w:pPr>
      <w:bookmarkStart w:id="100046" w:name="_Toc100046"/>
      <w:r>
        <w:rPr>
          <w:rFonts w:ascii="Times New Roman" w:eastAsia="SimHei"/>
          <w:b/>
          <w:bCs/>
          <w:color w:val="1A4735"/>
          <w:sz w:val="24"/>
          <w:szCs w:val="24"/>
        </w:rPr>
        <w:t xml:space="preserve">5.1.3 型号选择与估价入口</w:t>
      </w:r>
      <w:bookmarkEnd w:id="100046"/>
    </w:p>
    <w:p>
      <w:pPr>
        <w:spacing w:after="60" w:line="312"/>
        <w:ind w:firstLine="480"/>
        <w:jc w:val="both"/>
      </w:pPr>
      <w:r>
        <w:rPr>
          <w:rFonts w:ascii="Times New Roman" w:eastAsia="SimSun"/>
          <w:b w:val="false"/>
          <w:bCs w:val="false"/>
          <w:color w:val="000000"/>
          <w:sz w:val="24"/>
          <w:szCs w:val="24"/>
        </w:rPr>
        <w:t xml:space="preserve">型号卡片展示基准回收价，点击任意型号卡片即携带分类、品牌、型号、基准价、规格与视觉参数跳转至估价引导页，开始问答式估价流程。型号数据同样遵循「本地秒开、云端覆盖」策略。</w:t>
      </w:r>
    </w:p>
    <w:p>
      <w:pPr>
        <w:pStyle w:val="Heading3"/>
        <w:spacing w:after="100" w:before="220" w:line="312"/>
      </w:pPr>
      <w:bookmarkStart w:id="100047" w:name="_Toc100047"/>
      <w:r>
        <w:rPr>
          <w:rFonts w:ascii="Times New Roman" w:eastAsia="SimHei"/>
          <w:b/>
          <w:bCs/>
          <w:color w:val="1A4735"/>
          <w:sz w:val="24"/>
          <w:szCs w:val="24"/>
        </w:rPr>
        <w:t xml:space="preserve">5.1.4 全局型号搜索</w:t>
      </w:r>
      <w:bookmarkEnd w:id="100047"/>
    </w:p>
    <w:p>
      <w:pPr>
        <w:pStyle w:val="Heading4"/>
        <w:spacing w:after="80" w:before="180" w:line="312"/>
      </w:pPr>
      <w:bookmarkStart w:id="100048" w:name="_Toc100048"/>
      <w:r>
        <w:rPr>
          <w:rFonts w:ascii="Times New Roman" w:eastAsia="SimHei"/>
          <w:b/>
          <w:bCs/>
          <w:color w:val="2F2F2F"/>
          <w:sz w:val="24"/>
          <w:szCs w:val="24"/>
        </w:rPr>
        <w:t xml:space="preserve">5.1.4.1 搜索入口与面板</w:t>
      </w:r>
      <w:bookmarkEnd w:id="100048"/>
    </w:p>
    <w:p>
      <w:pPr>
        <w:spacing w:after="60" w:line="312"/>
        <w:ind w:firstLine="480"/>
        <w:jc w:val="both"/>
      </w:pPr>
      <w:r>
        <w:rPr>
          <w:rFonts w:ascii="Times New Roman" w:eastAsia="SimSun"/>
          <w:b w:val="false"/>
          <w:bCs w:val="false"/>
          <w:color w:val="000000"/>
          <w:sz w:val="24"/>
          <w:szCs w:val="24"/>
        </w:rPr>
        <w:t xml:space="preserve">点击主页顶部搜索栏唤起全屏搜索面板，面板包含输入框、搜索结果列表与搜索历史三个区域。输入过程按 300 毫秒防抖触发检索，避免高频计算；软键盘确认搜索时保存搜索词至历史。</w:t>
      </w:r>
    </w:p>
    <w:p>
      <w:pPr>
        <w:pStyle w:val="Heading4"/>
        <w:spacing w:after="80" w:before="180" w:line="312"/>
      </w:pPr>
      <w:bookmarkStart w:id="100049" w:name="_Toc100049"/>
      <w:r>
        <w:rPr>
          <w:rFonts w:ascii="Times New Roman" w:eastAsia="SimHei"/>
          <w:b/>
          <w:bCs/>
          <w:color w:val="2F2F2F"/>
          <w:sz w:val="24"/>
          <w:szCs w:val="24"/>
        </w:rPr>
        <w:t xml:space="preserve">5.1.4.2 多关键词模糊匹配</w:t>
      </w:r>
      <w:bookmarkEnd w:id="100049"/>
    </w:p>
    <w:p>
      <w:pPr>
        <w:spacing w:after="60" w:line="312"/>
        <w:ind w:firstLine="480"/>
        <w:jc w:val="both"/>
      </w:pPr>
      <w:r>
        <w:rPr>
          <w:rFonts w:ascii="Times New Roman" w:eastAsia="SimSun"/>
          <w:b w:val="false"/>
          <w:bCs w:val="false"/>
          <w:color w:val="000000"/>
          <w:sz w:val="24"/>
          <w:szCs w:val="24"/>
        </w:rPr>
        <w:t xml:space="preserve">搜索在预构建的全局索引（扁平化全部型号，附带分类、品牌信息）上进行。检索策略采用双通道匹配：其一为多关键词 AND 匹配，将输入按空格拆分为多个搜索词，要求每个搜索词都出现在由型号名、品牌名、规格、分类名拼接的组合文本中；其二为无空格模糊匹配，将输入与组合文本分别去除全部空格后整体包含匹配，使输入「iphone17」能够命中「iPhone 17」。两条通道任一命中即保留，结果最多展示五十条。匹配全程忽略大小写。</w:t>
      </w:r>
    </w:p>
    <w:p>
      <w:pPr>
        <w:pStyle w:val="Heading4"/>
        <w:spacing w:after="80" w:before="180" w:line="312"/>
      </w:pPr>
      <w:bookmarkStart w:id="100050" w:name="_Toc100050"/>
      <w:r>
        <w:rPr>
          <w:rFonts w:ascii="Times New Roman" w:eastAsia="SimHei"/>
          <w:b/>
          <w:bCs/>
          <w:color w:val="2F2F2F"/>
          <w:sz w:val="24"/>
          <w:szCs w:val="24"/>
        </w:rPr>
        <w:t xml:space="preserve">5.1.4.3 搜索历史</w:t>
      </w:r>
      <w:bookmarkEnd w:id="100050"/>
    </w:p>
    <w:p>
      <w:pPr>
        <w:spacing w:after="60" w:line="312"/>
        <w:ind w:firstLine="480"/>
        <w:jc w:val="both"/>
      </w:pPr>
      <w:r>
        <w:rPr>
          <w:rFonts w:ascii="Times New Roman" w:eastAsia="SimSun"/>
          <w:b w:val="false"/>
          <w:bCs w:val="false"/>
          <w:color w:val="000000"/>
          <w:sz w:val="24"/>
          <w:szCs w:val="24"/>
        </w:rPr>
        <w:t xml:space="preserve">搜索词保存于本地存储，按最近使用排序、去重、最多保留十条；点击历史词立即以该词执行检索；支持一键清空（带确认弹窗）。历史数据独立于微信账号，存储于设备本地。</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5-2 型号搜索面板（可插入截图）</w:t>
      </w:r>
    </w:p>
    <w:p>
      <w:pPr>
        <w:pStyle w:val="Heading3"/>
        <w:spacing w:after="100" w:before="220" w:line="312"/>
      </w:pPr>
      <w:bookmarkStart w:id="100051" w:name="_Toc100051"/>
      <w:r>
        <w:rPr>
          <w:rFonts w:ascii="Times New Roman" w:eastAsia="SimHei"/>
          <w:b/>
          <w:bCs/>
          <w:color w:val="1A4735"/>
          <w:sz w:val="24"/>
          <w:szCs w:val="24"/>
        </w:rPr>
        <w:t xml:space="preserve">5.1.5 平台比价</w:t>
      </w:r>
      <w:bookmarkEnd w:id="100051"/>
    </w:p>
    <w:p>
      <w:pPr>
        <w:spacing w:after="60" w:line="312"/>
        <w:ind w:firstLine="480"/>
        <w:jc w:val="both"/>
      </w:pPr>
      <w:r>
        <w:rPr>
          <w:rFonts w:ascii="Times New Roman" w:eastAsia="SimSun"/>
          <w:b w:val="false"/>
          <w:bCs w:val="false"/>
          <w:color w:val="000000"/>
          <w:sz w:val="24"/>
          <w:szCs w:val="24"/>
        </w:rPr>
        <w:t xml:space="preserve">主页底部为回收平台比价区，数据来自后台「回收平台管理」中启用平台的档案，展示平台名称、类型标签（回收平台/采购渠道/比价参考）、字标、服务方式与结算方式。由于小程序环境限制无法直接跳转外部网址，点击平台卡片时弹出说明弹窗并将平台网址复制到剪贴板，同时向后台上报一次跳转点击（来源标记为小程序端），点击数据汇入后台跳转统计。</w:t>
      </w:r>
    </w:p>
    <w:p>
      <w:pPr>
        <w:pStyle w:val="Heading3"/>
        <w:spacing w:after="100" w:before="220" w:line="312"/>
      </w:pPr>
      <w:bookmarkStart w:id="100052" w:name="_Toc100052"/>
      <w:r>
        <w:rPr>
          <w:rFonts w:ascii="Times New Roman" w:eastAsia="SimHei"/>
          <w:b/>
          <w:bCs/>
          <w:color w:val="1A4735"/>
          <w:sz w:val="24"/>
          <w:szCs w:val="24"/>
        </w:rPr>
        <w:t xml:space="preserve">5.1.6 云端配价加载机制</w:t>
      </w:r>
      <w:bookmarkEnd w:id="100052"/>
    </w:p>
    <w:p>
      <w:pPr>
        <w:spacing w:after="60" w:line="312"/>
        <w:ind w:firstLine="480"/>
        <w:jc w:val="both"/>
      </w:pPr>
      <w:r>
        <w:rPr>
          <w:rFonts w:ascii="Times New Roman" w:eastAsia="SimSun"/>
          <w:b w:val="false"/>
          <w:bCs w:val="false"/>
          <w:color w:val="000000"/>
          <w:sz w:val="24"/>
          <w:szCs w:val="24"/>
        </w:rPr>
        <w:t xml:space="preserve">回收主页启动时执行三步加载：第一步立即以本地内置配价渲染，保证页面秒开与离线可用；第二步异步请求云端配价接口，云端返回有效目录时覆盖渲染并标记为后台托管状态；第三步加载平台比价数据。云端目录拉取成功后写入本地缓存，缓存有效期十分钟，有效期内再次进入页面直接使用缓存，避免重复网络等待；同时以进行中请求去重机制防止并发重复拉取。云端目录与本地目录按分类编码合并视觉资源（场景图片、图标等由本地补齐），云端数据保持轻量。</w:t>
      </w:r>
    </w:p>
    <w:p>
      <w:pPr>
        <w:pStyle w:val="Heading2"/>
        <w:spacing w:after="140" w:before="280" w:line="312"/>
      </w:pPr>
      <w:bookmarkStart w:id="100053" w:name="_Toc100053"/>
      <w:r>
        <w:rPr>
          <w:rFonts w:ascii="Times New Roman" w:eastAsia="SimHei"/>
          <w:b/>
          <w:bCs/>
          <w:color w:val="1A4735"/>
          <w:sz w:val="28"/>
          <w:szCs w:val="28"/>
        </w:rPr>
        <w:t xml:space="preserve">5.2 估价引导</w:t>
      </w:r>
      <w:bookmarkEnd w:id="100053"/>
    </w:p>
    <w:p>
      <w:pPr>
        <w:pStyle w:val="Heading3"/>
        <w:spacing w:after="100" w:before="220" w:line="312"/>
      </w:pPr>
      <w:bookmarkStart w:id="100054" w:name="_Toc100054"/>
      <w:r>
        <w:rPr>
          <w:rFonts w:ascii="Times New Roman" w:eastAsia="SimHei"/>
          <w:b/>
          <w:bCs/>
          <w:color w:val="1A4735"/>
          <w:sz w:val="24"/>
          <w:szCs w:val="24"/>
        </w:rPr>
        <w:t xml:space="preserve">5.2.1 评估流程设计</w:t>
      </w:r>
      <w:bookmarkEnd w:id="100054"/>
    </w:p>
    <w:p>
      <w:pPr>
        <w:spacing w:after="60" w:line="312"/>
        <w:ind w:firstLine="480"/>
        <w:jc w:val="both"/>
      </w:pPr>
      <w:r>
        <w:rPr>
          <w:rFonts w:ascii="Times New Roman" w:eastAsia="SimSun"/>
          <w:b w:val="false"/>
          <w:bCs w:val="false"/>
          <w:color w:val="000000"/>
          <w:sz w:val="24"/>
          <w:szCs w:val="24"/>
        </w:rPr>
        <w:t xml:space="preserve">估价引导页采用逐题问答式交互：每屏展示一个问题及其选项，用户点选后问题卡片执行离场动画并切入下一题，全部问题作答完成进入估价结算环节。问题共七项，前六项为单选题，第七项为可选的补充说明输入题（支持跳过）。页面顶部实时显示当前步骤序号，用户中途退出时弹出确认提示防止误操作丢失作答。</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5-3 估价问答界面（可插入截图）</w:t>
      </w:r>
    </w:p>
    <w:p>
      <w:pPr>
        <w:pStyle w:val="Heading3"/>
        <w:spacing w:after="100" w:before="220" w:line="312"/>
      </w:pPr>
      <w:bookmarkStart w:id="100055" w:name="_Toc100055"/>
      <w:r>
        <w:rPr>
          <w:rFonts w:ascii="Times New Roman" w:eastAsia="SimHei"/>
          <w:b/>
          <w:bCs/>
          <w:color w:val="1A4735"/>
          <w:sz w:val="24"/>
          <w:szCs w:val="24"/>
        </w:rPr>
        <w:t xml:space="preserve">5.2.2 评估因子设计</w:t>
      </w:r>
      <w:bookmarkEnd w:id="100055"/>
    </w:p>
    <w:p>
      <w:pPr>
        <w:spacing w:after="40" w:line="312"/>
        <w:ind w:firstLine="480"/>
        <w:jc w:val="both"/>
      </w:pPr>
      <w:r>
        <w:rPr>
          <w:rFonts w:ascii="Times New Roman" w:eastAsia="SimSun"/>
          <w:b w:val="false"/>
          <w:bCs w:val="false"/>
          <w:color w:val="000000"/>
          <w:sz w:val="24"/>
          <w:szCs w:val="24"/>
        </w:rPr>
        <w:t xml:space="preserve">六项选择题因子及其选项系数如下表所示（系数可由后台在线调整，下表为默认值）：</w:t>
      </w:r>
    </w:p>
    <w:p>
      <w:pPr>
        <w:keepNext/>
        <w:spacing w:after="80" w:before="160" w:line="312"/>
        <w:jc w:val="center"/>
      </w:pPr>
      <w:r>
        <w:rPr>
          <w:rFonts w:ascii="Times New Roman" w:eastAsia="SimSun"/>
          <w:b/>
          <w:bCs/>
          <w:color w:val="333333"/>
          <w:sz w:val="21"/>
          <w:szCs w:val="21"/>
        </w:rPr>
        <w:t xml:space="preserve">表 5-1 估价评估因子与默认系数</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gridCol w:w="100"/>
      </w:tblGrid>
      <w:tr>
        <w:trPr>
          <w:cantSplit/>
          <w:tblHeader/>
        </w:trPr>
        <w:tc>
          <w:tcPr>
            <w:tcW w:type="pct" w:w="1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因子</w:t>
            </w:r>
          </w:p>
        </w:tc>
        <w:tc>
          <w:tcPr>
            <w:tcW w:type="pct" w:w="22%"/>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问题</w:t>
            </w:r>
          </w:p>
        </w:tc>
        <w:tc>
          <w:tcPr>
            <w:tcW w:type="pct" w:w="64%"/>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选项与默认系数</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设备成色</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您的设备成色如何</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全新未使用 1.0；九成新 0.9；八成新 0.8；七成新 0.7；六成新及以下 0.55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屏幕状况</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屏幕状况如何</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完好无损 1.0；轻微划痕 0.9；明显划痕 0.75；碎裂/坏点 0.4；完全损坏 0.15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功能状况</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设备功能是否正常</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全部正常 1.0；部分小问题 0.7；较大故障 0.4；无法使用 0.15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设备版本</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设备是什么版本</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国行 1.0；港版/澳版 0.95；国际版 0.85；不确定 0.9</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配件状况</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配件是否齐全</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原装全配 1.0；有充电器数据线 0.98；仅裸机 0.93</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维修史</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设备是否有维修史</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从未维修 1.0；官方维修 0.92；第三方维修 0.75；不确定 0.85</w:t>
            </w:r>
          </w:p>
        </w:tc>
      </w:tr>
      <w:tr>
        <w:trPr>
          <w:cantSplit/>
        </w:trPr>
        <w:tc>
          <w:tcPr>
            <w:tcW w:type="pct" w:w="1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补充说明</w:t>
            </w:r>
          </w:p>
        </w:tc>
        <w:tc>
          <w:tcPr>
            <w:tcW w:type="pct" w:w="22%"/>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其他需要说明的问题</w:t>
            </w:r>
          </w:p>
        </w:tc>
        <w:tc>
          <w:tcPr>
            <w:tcW w:type="pct" w:w="64%"/>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文本输入，可选，不参与系数计算</w:t>
            </w:r>
          </w:p>
        </w:tc>
      </w:tr>
    </w:tbl>
    <w:p>
      <w:pPr>
        <w:pStyle w:val="Heading3"/>
        <w:spacing w:after="100" w:before="220" w:line="312"/>
      </w:pPr>
      <w:bookmarkStart w:id="100056" w:name="_Toc100056"/>
      <w:r>
        <w:rPr>
          <w:rFonts w:ascii="Times New Roman" w:eastAsia="SimHei"/>
          <w:b/>
          <w:bCs/>
          <w:color w:val="1A4735"/>
          <w:sz w:val="24"/>
          <w:szCs w:val="24"/>
        </w:rPr>
        <w:t xml:space="preserve">5.2.3 本地估价算法</w:t>
      </w:r>
      <w:bookmarkEnd w:id="100056"/>
    </w:p>
    <w:p>
      <w:pPr>
        <w:pStyle w:val="Heading4"/>
        <w:spacing w:after="80" w:before="180" w:line="312"/>
      </w:pPr>
      <w:bookmarkStart w:id="100057" w:name="_Toc100057"/>
      <w:r>
        <w:rPr>
          <w:rFonts w:ascii="Times New Roman" w:eastAsia="SimHei"/>
          <w:b/>
          <w:bCs/>
          <w:color w:val="2F2F2F"/>
          <w:sz w:val="24"/>
          <w:szCs w:val="24"/>
        </w:rPr>
        <w:t xml:space="preserve">5.2.3.1 实时估价</w:t>
      </w:r>
      <w:bookmarkEnd w:id="100057"/>
    </w:p>
    <w:p>
      <w:pPr>
        <w:spacing w:after="60" w:line="312"/>
        <w:ind w:firstLine="480"/>
        <w:jc w:val="both"/>
      </w:pPr>
      <w:r>
        <w:rPr>
          <w:rFonts w:ascii="Times New Roman" w:eastAsia="SimSun"/>
          <w:b w:val="false"/>
          <w:bCs w:val="false"/>
          <w:color w:val="000000"/>
          <w:sz w:val="24"/>
          <w:szCs w:val="24"/>
        </w:rPr>
        <w:t xml:space="preserve">用户每作答一题，页面即时重算当前预估价：以型号基准价为基础，将已作答因子的系数依次连乘，再乘以二手基准系数（默认 0.9，后台可调），结果四舍五入显示。实时估价让用户在作答过程中即可感知各项状况对价格的影响。</w:t>
      </w:r>
    </w:p>
    <w:p>
      <w:pPr>
        <w:pStyle w:val="Heading4"/>
        <w:spacing w:after="80" w:before="180" w:line="312"/>
      </w:pPr>
      <w:bookmarkStart w:id="100058" w:name="_Toc100058"/>
      <w:r>
        <w:rPr>
          <w:rFonts w:ascii="Times New Roman" w:eastAsia="SimHei"/>
          <w:b/>
          <w:bCs/>
          <w:color w:val="2F2F2F"/>
          <w:sz w:val="24"/>
          <w:szCs w:val="24"/>
        </w:rPr>
        <w:t xml:space="preserve">5.2.3.2 结算估价与价格区间</w:t>
      </w:r>
      <w:bookmarkEnd w:id="100058"/>
    </w:p>
    <w:p>
      <w:pPr>
        <w:spacing w:after="60" w:line="312"/>
        <w:ind w:firstLine="480"/>
        <w:jc w:val="both"/>
      </w:pPr>
      <w:r>
        <w:rPr>
          <w:rFonts w:ascii="Times New Roman" w:eastAsia="SimSun"/>
          <w:b w:val="false"/>
          <w:bCs w:val="false"/>
          <w:color w:val="000000"/>
          <w:sz w:val="24"/>
          <w:szCs w:val="24"/>
        </w:rPr>
        <w:t xml:space="preserve">全部问题作答完成后执行结算计算，算法与实时估价一致；在点估价基础上生成价格区间：下限为点估价的 90%，上限为 105%，区间围绕点估价小幅浮动，避免报价虚高。</w:t>
      </w:r>
    </w:p>
    <w:p>
      <w:pPr>
        <w:pStyle w:val="Heading4"/>
        <w:spacing w:after="80" w:before="180" w:line="312"/>
      </w:pPr>
      <w:bookmarkStart w:id="100059" w:name="_Toc100059"/>
      <w:r>
        <w:rPr>
          <w:rFonts w:ascii="Times New Roman" w:eastAsia="SimHei"/>
          <w:b/>
          <w:bCs/>
          <w:color w:val="2F2F2F"/>
          <w:sz w:val="24"/>
          <w:szCs w:val="24"/>
        </w:rPr>
        <w:t xml:space="preserve">5.2.3.3 估价说明生成</w:t>
      </w:r>
      <w:bookmarkEnd w:id="100059"/>
    </w:p>
    <w:p>
      <w:pPr>
        <w:spacing w:after="60" w:line="312"/>
        <w:ind w:firstLine="480"/>
        <w:jc w:val="both"/>
      </w:pPr>
      <w:r>
        <w:rPr>
          <w:rFonts w:ascii="Times New Roman" w:eastAsia="SimSun"/>
          <w:b w:val="false"/>
          <w:bCs w:val="false"/>
          <w:color w:val="000000"/>
          <w:sz w:val="24"/>
          <w:szCs w:val="24"/>
        </w:rPr>
        <w:t xml:space="preserve">系统自动生成一段结构化估价说明文字，概述用户选择的品牌型号与成色、屏幕、功能、版本四项关键状况，并给出估价金额与区间，作为 AI 估价不可用时的展示文案。</w:t>
      </w:r>
    </w:p>
    <w:p>
      <w:pPr>
        <w:pStyle w:val="Heading3"/>
        <w:spacing w:after="100" w:before="220" w:line="312"/>
      </w:pPr>
      <w:bookmarkStart w:id="100060" w:name="_Toc100060"/>
      <w:r>
        <w:rPr>
          <w:rFonts w:ascii="Times New Roman" w:eastAsia="SimHei"/>
          <w:b/>
          <w:bCs/>
          <w:color w:val="1A4735"/>
          <w:sz w:val="24"/>
          <w:szCs w:val="24"/>
        </w:rPr>
        <w:t xml:space="preserve">5.2.4 AI 大模型辅助估价</w:t>
      </w:r>
      <w:bookmarkEnd w:id="100060"/>
    </w:p>
    <w:p>
      <w:pPr>
        <w:pStyle w:val="Heading4"/>
        <w:spacing w:after="80" w:before="180" w:line="312"/>
      </w:pPr>
      <w:bookmarkStart w:id="100061" w:name="_Toc100061"/>
      <w:r>
        <w:rPr>
          <w:rFonts w:ascii="Times New Roman" w:eastAsia="SimHei"/>
          <w:b/>
          <w:bCs/>
          <w:color w:val="2F2F2F"/>
          <w:sz w:val="24"/>
          <w:szCs w:val="24"/>
        </w:rPr>
        <w:t xml:space="preserve">5.2.4.1 请求设计</w:t>
      </w:r>
      <w:bookmarkEnd w:id="100061"/>
    </w:p>
    <w:p>
      <w:pPr>
        <w:spacing w:after="60" w:line="312"/>
        <w:ind w:firstLine="480"/>
        <w:jc w:val="both"/>
      </w:pPr>
      <w:r>
        <w:rPr>
          <w:rFonts w:ascii="Times New Roman" w:eastAsia="SimSun"/>
          <w:b w:val="false"/>
          <w:bCs w:val="false"/>
          <w:color w:val="000000"/>
          <w:sz w:val="24"/>
          <w:szCs w:val="24"/>
        </w:rPr>
        <w:t xml:space="preserve">结算时页面将产品信息（分类、品牌、型号、基准价、规格）与全部作答摘要提交至小程序服务端的 AI 估价接口。服务端以系统提示词约束大模型扮演电子产品回收估价专家，综合型号行情、成色、屏幕、功能、配件、维修史与版本七类因素估价，并以严格 JSON 格式返回价格（整数元）、估价说明（两百字以内）与置信度（high/medium/low）三字段；采样温度设为 0.3 以稳定输出。</w:t>
      </w:r>
    </w:p>
    <w:p>
      <w:pPr>
        <w:pStyle w:val="Heading4"/>
        <w:spacing w:after="80" w:before="180" w:line="312"/>
      </w:pPr>
      <w:bookmarkStart w:id="100062" w:name="_Toc100062"/>
      <w:r>
        <w:rPr>
          <w:rFonts w:ascii="Times New Roman" w:eastAsia="SimHei"/>
          <w:b/>
          <w:bCs/>
          <w:color w:val="2F2F2F"/>
          <w:sz w:val="24"/>
          <w:szCs w:val="24"/>
        </w:rPr>
        <w:t xml:space="preserve">5.2.4.2 结果解析</w:t>
      </w:r>
      <w:bookmarkEnd w:id="100062"/>
    </w:p>
    <w:p>
      <w:pPr>
        <w:spacing w:after="60" w:line="312"/>
        <w:ind w:firstLine="480"/>
        <w:jc w:val="both"/>
      </w:pPr>
      <w:r>
        <w:rPr>
          <w:rFonts w:ascii="Times New Roman" w:eastAsia="SimSun"/>
          <w:b w:val="false"/>
          <w:bCs w:val="false"/>
          <w:color w:val="000000"/>
          <w:sz w:val="24"/>
          <w:szCs w:val="24"/>
        </w:rPr>
        <w:t xml:space="preserve">服务端以正则提取返回文本中的 JSON 对象并解析，校验价格字段存在且为数字后取整返回；解析失败或价格无效时抛出异常。</w:t>
      </w:r>
    </w:p>
    <w:p>
      <w:pPr>
        <w:pStyle w:val="Heading4"/>
        <w:spacing w:after="80" w:before="180" w:line="312"/>
      </w:pPr>
      <w:bookmarkStart w:id="100063" w:name="_Toc100063"/>
      <w:r>
        <w:rPr>
          <w:rFonts w:ascii="Times New Roman" w:eastAsia="SimHei"/>
          <w:b/>
          <w:bCs/>
          <w:color w:val="2F2F2F"/>
          <w:sz w:val="24"/>
          <w:szCs w:val="24"/>
        </w:rPr>
        <w:t xml:space="preserve">5.2.4.3 降级策略</w:t>
      </w:r>
      <w:bookmarkEnd w:id="100063"/>
    </w:p>
    <w:p>
      <w:pPr>
        <w:spacing w:after="60" w:line="312"/>
        <w:ind w:firstLine="480"/>
        <w:jc w:val="both"/>
      </w:pPr>
      <w:r>
        <w:rPr>
          <w:rFonts w:ascii="Times New Roman" w:eastAsia="SimSun"/>
          <w:b w:val="false"/>
          <w:bCs w:val="false"/>
          <w:color w:val="000000"/>
          <w:sz w:val="24"/>
          <w:szCs w:val="24"/>
        </w:rPr>
        <w:t xml:space="preserve">AI 接口调用失败、未配置密钥、返回异常或超时（十五秒）时，页面自动降级使用本地多因子模型估价结果，估价流程不中断；后台亦提供 AI 估价总开关，关闭后小程序端直接使用本地估价。</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5-4 估价结果展示（可插入截图）</w:t>
      </w:r>
    </w:p>
    <w:p>
      <w:pPr>
        <w:pStyle w:val="Heading3"/>
        <w:spacing w:after="100" w:before="220" w:line="312"/>
      </w:pPr>
      <w:bookmarkStart w:id="100064" w:name="_Toc100064"/>
      <w:r>
        <w:rPr>
          <w:rFonts w:ascii="Times New Roman" w:eastAsia="SimHei"/>
          <w:b/>
          <w:bCs/>
          <w:color w:val="1A4735"/>
          <w:sz w:val="24"/>
          <w:szCs w:val="24"/>
        </w:rPr>
        <w:t xml:space="preserve">5.2.5 估价配置热更新</w:t>
      </w:r>
      <w:bookmarkEnd w:id="100064"/>
    </w:p>
    <w:p>
      <w:pPr>
        <w:spacing w:after="60" w:line="312"/>
        <w:ind w:firstLine="480"/>
        <w:jc w:val="both"/>
      </w:pPr>
      <w:r>
        <w:rPr>
          <w:rFonts w:ascii="Times New Roman" w:eastAsia="SimSun"/>
          <w:b w:val="false"/>
          <w:bCs w:val="false"/>
          <w:color w:val="000000"/>
          <w:sz w:val="24"/>
          <w:szCs w:val="24"/>
        </w:rPr>
        <w:t xml:space="preserve">估价引导页启动时异步拉取后台估价配置接口：后台已初始化时，以返回的二手基准系数覆盖本地默认值，并按选项匹配值将后台维护的因子系数逐项覆盖本地题目选项；未初始化或拉取失败时保持本地默认。该机制使后台调参后小程序端无需发版即可生效。</w:t>
      </w:r>
    </w:p>
    <w:p>
      <w:pPr>
        <w:pStyle w:val="Heading3"/>
        <w:spacing w:after="100" w:before="220" w:line="312"/>
      </w:pPr>
      <w:bookmarkStart w:id="100065" w:name="_Toc100065"/>
      <w:r>
        <w:rPr>
          <w:rFonts w:ascii="Times New Roman" w:eastAsia="SimHei"/>
          <w:b/>
          <w:bCs/>
          <w:color w:val="1A4735"/>
          <w:sz w:val="24"/>
          <w:szCs w:val="24"/>
        </w:rPr>
        <w:t xml:space="preserve">5.2.6 回收地址选择</w:t>
      </w:r>
      <w:bookmarkEnd w:id="100065"/>
    </w:p>
    <w:p>
      <w:pPr>
        <w:spacing w:after="60" w:line="312"/>
        <w:ind w:firstLine="480"/>
        <w:jc w:val="both"/>
      </w:pPr>
      <w:r>
        <w:rPr>
          <w:rFonts w:ascii="Times New Roman" w:eastAsia="SimSun"/>
          <w:b w:val="false"/>
          <w:bCs w:val="false"/>
          <w:color w:val="000000"/>
          <w:sz w:val="24"/>
          <w:szCs w:val="24"/>
        </w:rPr>
        <w:t xml:space="preserve">估价完成后进入提交环节，页面自动加载用户地址簿并默认选中默认地址；用户可打开地址选择器切换，或在地址为空时跳转新增地址页，新增后返回自动刷新地址列表。地址数据与小程序账户体系共用，格式化时兼容多种字段命名。</w:t>
      </w:r>
    </w:p>
    <w:p>
      <w:pPr>
        <w:pStyle w:val="Heading3"/>
        <w:spacing w:after="100" w:before="220" w:line="312"/>
      </w:pPr>
      <w:bookmarkStart w:id="100066" w:name="_Toc100066"/>
      <w:r>
        <w:rPr>
          <w:rFonts w:ascii="Times New Roman" w:eastAsia="SimHei"/>
          <w:b/>
          <w:bCs/>
          <w:color w:val="1A4735"/>
          <w:sz w:val="24"/>
          <w:szCs w:val="24"/>
        </w:rPr>
        <w:t xml:space="preserve">5.2.7 订单提交与确认</w:t>
      </w:r>
      <w:bookmarkEnd w:id="100066"/>
    </w:p>
    <w:p>
      <w:pPr>
        <w:pStyle w:val="Heading4"/>
        <w:spacing w:after="80" w:before="180" w:line="312"/>
      </w:pPr>
      <w:bookmarkStart w:id="100067" w:name="_Toc100067"/>
      <w:r>
        <w:rPr>
          <w:rFonts w:ascii="Times New Roman" w:eastAsia="SimHei"/>
          <w:b/>
          <w:bCs/>
          <w:color w:val="2F2F2F"/>
          <w:sz w:val="24"/>
          <w:szCs w:val="24"/>
        </w:rPr>
        <w:t xml:space="preserve">5.2.7.1 普通用户提交流程</w:t>
      </w:r>
      <w:bookmarkEnd w:id="100067"/>
    </w:p>
    <w:p>
      <w:pPr>
        <w:spacing w:after="60" w:line="312"/>
        <w:ind w:firstLine="480"/>
        <w:jc w:val="both"/>
      </w:pPr>
      <w:r>
        <w:rPr>
          <w:rFonts w:ascii="Times New Roman" w:eastAsia="SimSun"/>
          <w:b w:val="false"/>
          <w:bCs w:val="false"/>
          <w:color w:val="000000"/>
          <w:sz w:val="24"/>
          <w:szCs w:val="24"/>
        </w:rPr>
        <w:t xml:space="preserve">用户点击提交后，系统弹出金额确认弹窗，展示市场基准价（全新）、设备成色、本次回收估价以及估价相对基准价的百分比，帮助用户判断报价合理性；确认后组装回收订单（订单类型 recycle、设备信息、成色、估价、评估明细描述、服务方式、收货地址、支付状态未支付）提交至小程序服务端，成功后提示并返回。</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5-5 回收金额确认弹窗（可插入截图）</w:t>
      </w:r>
    </w:p>
    <w:p>
      <w:pPr>
        <w:pStyle w:val="Heading4"/>
        <w:spacing w:after="80" w:before="180" w:line="312"/>
      </w:pPr>
      <w:bookmarkStart w:id="100068" w:name="_Toc100068"/>
      <w:r>
        <w:rPr>
          <w:rFonts w:ascii="Times New Roman" w:eastAsia="SimHei"/>
          <w:b/>
          <w:bCs/>
          <w:color w:val="2F2F2F"/>
          <w:sz w:val="24"/>
          <w:szCs w:val="24"/>
        </w:rPr>
        <w:t xml:space="preserve">5.2.7.2 内部人员免付款回收</w:t>
      </w:r>
      <w:bookmarkEnd w:id="100068"/>
    </w:p>
    <w:p>
      <w:pPr>
        <w:spacing w:after="60" w:line="312"/>
        <w:ind w:firstLine="480"/>
        <w:jc w:val="both"/>
      </w:pPr>
      <w:r>
        <w:rPr>
          <w:rFonts w:ascii="Times New Roman" w:eastAsia="SimSun"/>
          <w:b w:val="false"/>
          <w:bCs w:val="false"/>
          <w:color w:val="000000"/>
          <w:sz w:val="24"/>
          <w:szCs w:val="24"/>
        </w:rPr>
        <w:t xml:space="preserve">登录用户为公司内部人员（角色标记 internal）时，提交前需选择设备来源（项目返修/仓库/固定资产），确认弹窗改为内部回收申请说明，订单以免付款状态提交，由管理员确认后安排回收。内部申请与普通订单共用同一订单表，通过免付款标记与设备来源字段区分。</w:t>
      </w:r>
    </w:p>
    <w:p>
      <w:pPr>
        <w:pStyle w:val="Heading4"/>
        <w:spacing w:after="80" w:before="180" w:line="312"/>
      </w:pPr>
      <w:bookmarkStart w:id="100069" w:name="_Toc100069"/>
      <w:r>
        <w:rPr>
          <w:rFonts w:ascii="Times New Roman" w:eastAsia="SimHei"/>
          <w:b/>
          <w:bCs/>
          <w:color w:val="2F2F2F"/>
          <w:sz w:val="24"/>
          <w:szCs w:val="24"/>
        </w:rPr>
        <w:t xml:space="preserve">5.2.7.3 防重复提交</w:t>
      </w:r>
      <w:bookmarkEnd w:id="100069"/>
    </w:p>
    <w:p>
      <w:pPr>
        <w:spacing w:after="60" w:line="312"/>
        <w:ind w:firstLine="480"/>
        <w:jc w:val="both"/>
      </w:pPr>
      <w:r>
        <w:rPr>
          <w:rFonts w:ascii="Times New Roman" w:eastAsia="SimSun"/>
          <w:b w:val="false"/>
          <w:bCs w:val="false"/>
          <w:color w:val="000000"/>
          <w:sz w:val="24"/>
          <w:szCs w:val="24"/>
        </w:rPr>
        <w:t xml:space="preserve">提交过程设置提交中状态锁，锁定期内重复点击无效；提交完成或失败后释放，避免重复建单。</w:t>
      </w:r>
    </w:p>
    <w:p>
      <w:pPr>
        <w:pStyle w:val="Heading1"/>
        <w:pageBreakBefore/>
        <w:spacing w:after="200" w:before="360" w:line="312"/>
      </w:pPr>
      <w:bookmarkStart w:id="100070" w:name="_Toc100070"/>
      <w:r>
        <w:rPr>
          <w:rFonts w:ascii="Times New Roman" w:eastAsia="SimHei"/>
          <w:b/>
          <w:bCs/>
          <w:color w:val="1A4735"/>
          <w:sz w:val="32"/>
          <w:szCs w:val="32"/>
        </w:rPr>
        <w:t xml:space="preserve">第六章 管理后台功能设计与说明</w:t>
      </w:r>
      <w:bookmarkEnd w:id="100070"/>
    </w:p>
    <w:p>
      <w:pPr>
        <w:pStyle w:val="Heading2"/>
        <w:spacing w:after="140" w:before="280" w:line="312"/>
      </w:pPr>
      <w:bookmarkStart w:id="100071" w:name="_Toc100071"/>
      <w:r>
        <w:rPr>
          <w:rFonts w:ascii="Times New Roman" w:eastAsia="SimHei"/>
          <w:b/>
          <w:bCs/>
          <w:color w:val="1A4735"/>
          <w:sz w:val="28"/>
          <w:szCs w:val="28"/>
        </w:rPr>
        <w:t xml:space="preserve">6.1 登录与认证</w:t>
      </w:r>
      <w:bookmarkEnd w:id="100071"/>
    </w:p>
    <w:p>
      <w:pPr>
        <w:pStyle w:val="Heading3"/>
        <w:spacing w:after="100" w:before="220" w:line="312"/>
      </w:pPr>
      <w:bookmarkStart w:id="100072" w:name="_Toc100072"/>
      <w:r>
        <w:rPr>
          <w:rFonts w:ascii="Times New Roman" w:eastAsia="SimHei"/>
          <w:b/>
          <w:bCs/>
          <w:color w:val="1A4735"/>
          <w:sz w:val="24"/>
          <w:szCs w:val="24"/>
        </w:rPr>
        <w:t xml:space="preserve">6.1.1 账号密码登录</w:t>
      </w:r>
      <w:bookmarkEnd w:id="100072"/>
    </w:p>
    <w:p>
      <w:pPr>
        <w:spacing w:after="40" w:line="312"/>
        <w:ind w:firstLine="480"/>
        <w:jc w:val="both"/>
      </w:pPr>
      <w:r>
        <w:rPr>
          <w:rFonts w:ascii="Times New Roman" w:eastAsia="SimSun"/>
          <w:b w:val="false"/>
          <w:bCs w:val="false"/>
          <w:color w:val="000000"/>
          <w:sz w:val="24"/>
          <w:szCs w:val="24"/>
        </w:rPr>
        <w:t xml:space="preserve">管理员在登录页输入账号与密码，服务端校验账号存在、状态启用且 bcrypt 哈希匹配后签发有效期为十二小时的 JWT 令牌，前端将令牌与账号信息保存于本地存储并进入管理界面。登录失败统一提示账号或密码错误，不区分具体原因，防止账号探测；连续操作（含登录、单点登录）均记录操作日志并刷新最近登录时间。</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6-1 管理后台登录页（可插入截图）</w:t>
      </w:r>
    </w:p>
    <w:p>
      <w:pPr>
        <w:pStyle w:val="Heading3"/>
        <w:spacing w:after="100" w:before="220" w:line="312"/>
      </w:pPr>
      <w:bookmarkStart w:id="100073" w:name="_Toc100073"/>
      <w:r>
        <w:rPr>
          <w:rFonts w:ascii="Times New Roman" w:eastAsia="SimHei"/>
          <w:b/>
          <w:bCs/>
          <w:color w:val="1A4735"/>
          <w:sz w:val="24"/>
          <w:szCs w:val="24"/>
        </w:rPr>
        <w:t xml:space="preserve">6.1.2 单点登录</w:t>
      </w:r>
      <w:bookmarkEnd w:id="100073"/>
    </w:p>
    <w:p>
      <w:pPr>
        <w:spacing w:after="60" w:line="312"/>
        <w:ind w:firstLine="480"/>
        <w:jc w:val="both"/>
      </w:pPr>
      <w:r>
        <w:rPr>
          <w:rFonts w:ascii="Times New Roman" w:eastAsia="SimSun"/>
          <w:b w:val="false"/>
          <w:bCs w:val="false"/>
          <w:color w:val="000000"/>
          <w:sz w:val="24"/>
          <w:szCs w:val="24"/>
        </w:rPr>
        <w:t xml:space="preserve">管理后台与维修后台管理系统同域部署。用户已在维修后台登录时，回收后台前端读取维修后台令牌并调用单点登录接口：服务端携带该令牌请求维修后台用户信息接口校验有效性，校验通过后按用户名匹配回收账号；账号不存在时自动开通（默认管理员角色、随机密码，仅可经单点登录进入），实现一次登录、双系统免切换。</w:t>
      </w:r>
    </w:p>
    <w:p>
      <w:pPr>
        <w:pStyle w:val="Heading3"/>
        <w:spacing w:after="100" w:before="220" w:line="312"/>
      </w:pPr>
      <w:bookmarkStart w:id="100074" w:name="_Toc100074"/>
      <w:r>
        <w:rPr>
          <w:rFonts w:ascii="Times New Roman" w:eastAsia="SimHei"/>
          <w:b/>
          <w:bCs/>
          <w:color w:val="1A4735"/>
          <w:sz w:val="24"/>
          <w:szCs w:val="24"/>
        </w:rPr>
        <w:t xml:space="preserve">6.1.3 角色权限体系</w:t>
      </w:r>
      <w:bookmarkEnd w:id="100074"/>
    </w:p>
    <w:p>
      <w:pPr>
        <w:spacing w:after="60" w:line="312"/>
        <w:ind w:firstLine="480"/>
        <w:jc w:val="both"/>
      </w:pPr>
      <w:r>
        <w:rPr>
          <w:rFonts w:ascii="Times New Roman" w:eastAsia="SimSun"/>
          <w:b w:val="false"/>
          <w:bCs w:val="false"/>
          <w:color w:val="000000"/>
          <w:sz w:val="24"/>
          <w:szCs w:val="24"/>
        </w:rPr>
        <w:t xml:space="preserve">后台内置三级角色：超级管理员（super，全部权限，含管理员管理）、管理员（admin，全部业务权限）、只读账号（viewer，仅可查询与导出）。权限在服务端中间件层实施：认证中间件校验令牌并加载账号最新状态（禁用即时生效），写操作中间件拦截只读账号，超管中间件保护高危接口；前端同时按角色隐藏无权入口，形成双重防线。</w:t>
      </w:r>
    </w:p>
    <w:p>
      <w:pPr>
        <w:pStyle w:val="Heading2"/>
        <w:spacing w:after="140" w:before="280" w:line="312"/>
      </w:pPr>
      <w:bookmarkStart w:id="100075" w:name="_Toc100075"/>
      <w:r>
        <w:rPr>
          <w:rFonts w:ascii="Times New Roman" w:eastAsia="SimHei"/>
          <w:b/>
          <w:bCs/>
          <w:color w:val="1A4735"/>
          <w:sz w:val="28"/>
          <w:szCs w:val="28"/>
        </w:rPr>
        <w:t xml:space="preserve">6.2 数据看板</w:t>
      </w:r>
      <w:bookmarkEnd w:id="100075"/>
    </w:p>
    <w:p>
      <w:pPr>
        <w:spacing w:after="60" w:line="312"/>
        <w:ind w:firstLine="480"/>
        <w:jc w:val="both"/>
      </w:pPr>
      <w:r>
        <w:rPr>
          <w:rFonts w:ascii="Times New Roman" w:eastAsia="SimSun"/>
          <w:b w:val="false"/>
          <w:bCs w:val="false"/>
          <w:color w:val="000000"/>
          <w:sz w:val="24"/>
          <w:szCs w:val="24"/>
        </w:rPr>
        <w:t xml:space="preserve">数据看板为后台首页，自上而下分为四个区域：环保贡献区、经营指标卡区、图表区与最新订单区。环保贡献区以累计回收完成台数为基数，按系统设置中的换算系数折算展示减碳量（kg CO2e）、等效一年植树量（棵）与节省电能（kWh）四项绿色指标；指标卡区展示回收订单总量、待确认订单、本月订单数、累计回收成交额、在售配价机型数与平台链接跳转次数；图表区以折线图展示近三十天订单与成交额趋势、以饼图展示近一百八十天设备类型分布；最新订单区列出最近八笔回收订单，点击行可直接跳转订单管理并定位该订单。全部数据由统计概览接口一次返回。</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6-2 数据看板（可插入截图）</w:t>
      </w:r>
    </w:p>
    <w:p>
      <w:pPr>
        <w:pStyle w:val="Heading2"/>
        <w:spacing w:after="140" w:before="280" w:line="312"/>
      </w:pPr>
      <w:bookmarkStart w:id="100076" w:name="_Toc100076"/>
      <w:r>
        <w:rPr>
          <w:rFonts w:ascii="Times New Roman" w:eastAsia="SimHei"/>
          <w:b/>
          <w:bCs/>
          <w:color w:val="1A4735"/>
          <w:sz w:val="28"/>
          <w:szCs w:val="28"/>
        </w:rPr>
        <w:t xml:space="preserve">6.3 数据大屏</w:t>
      </w:r>
      <w:bookmarkEnd w:id="100076"/>
    </w:p>
    <w:p>
      <w:pPr>
        <w:spacing w:after="60" w:line="312"/>
        <w:ind w:firstLine="480"/>
        <w:jc w:val="both"/>
      </w:pPr>
      <w:r>
        <w:rPr>
          <w:rFonts w:ascii="Times New Roman" w:eastAsia="SimSun"/>
          <w:b w:val="false"/>
          <w:bCs w:val="false"/>
          <w:color w:val="000000"/>
          <w:sz w:val="24"/>
          <w:szCs w:val="24"/>
        </w:rPr>
        <w:t xml:space="preserve">数据大屏面向展厅、门店等展示场景，提供深色全屏可视化界面：顶部为标题栏与实时时钟，支持一键全屏；其下为 KPI 数字带、近三十天回收趋势图、设备类型分布玫瑰图、热门回收机型排行与绿色环保贡献面板，背景配以网格与光晕装饰并自动轮播刷新。大屏与看板共用统计接口，可直接投屏使用。</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6-3 数据大屏（可插入截图）</w:t>
      </w:r>
    </w:p>
    <w:p>
      <w:pPr>
        <w:pStyle w:val="Heading2"/>
        <w:spacing w:after="140" w:before="280" w:line="312"/>
      </w:pPr>
      <w:bookmarkStart w:id="100077" w:name="_Toc100077"/>
      <w:r>
        <w:rPr>
          <w:rFonts w:ascii="Times New Roman" w:eastAsia="SimHei"/>
          <w:b/>
          <w:bCs/>
          <w:color w:val="1A4735"/>
          <w:sz w:val="28"/>
          <w:szCs w:val="28"/>
        </w:rPr>
        <w:t xml:space="preserve">6.4 回收订单管理</w:t>
      </w:r>
      <w:bookmarkEnd w:id="100077"/>
    </w:p>
    <w:p>
      <w:pPr>
        <w:pStyle w:val="Heading3"/>
        <w:spacing w:after="100" w:before="220" w:line="312"/>
      </w:pPr>
      <w:bookmarkStart w:id="100078" w:name="_Toc100078"/>
      <w:r>
        <w:rPr>
          <w:rFonts w:ascii="Times New Roman" w:eastAsia="SimHei"/>
          <w:b/>
          <w:bCs/>
          <w:color w:val="1A4735"/>
          <w:sz w:val="24"/>
          <w:szCs w:val="24"/>
        </w:rPr>
        <w:t xml:space="preserve">6.4.1 订单列表与筛选</w:t>
      </w:r>
      <w:bookmarkEnd w:id="100078"/>
    </w:p>
    <w:p>
      <w:pPr>
        <w:spacing w:after="60" w:line="312"/>
        <w:ind w:firstLine="480"/>
        <w:jc w:val="both"/>
      </w:pPr>
      <w:r>
        <w:rPr>
          <w:rFonts w:ascii="Times New Roman" w:eastAsia="SimSun"/>
          <w:b w:val="false"/>
          <w:bCs w:val="false"/>
          <w:color w:val="000000"/>
          <w:sz w:val="24"/>
          <w:szCs w:val="24"/>
        </w:rPr>
        <w:t xml:space="preserve">订单列表页以表格展示订单号、设备型号、成色、预估价、成交价、状态、用户与创建时间等信息，支持按关键词（订单号/型号/用户昵称/姓名/手机号）、订单状态、设备成色与创建日期区间组合筛选，分页加载并同步显示筛选结果合计与已完成订单成交额汇总。列表支持一键导出当前筛选结果。</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6-4 回收订单列表（可插入截图）</w:t>
      </w:r>
    </w:p>
    <w:p>
      <w:pPr>
        <w:pStyle w:val="Heading3"/>
        <w:spacing w:after="100" w:before="220" w:line="312"/>
      </w:pPr>
      <w:bookmarkStart w:id="100079" w:name="_Toc100079"/>
      <w:r>
        <w:rPr>
          <w:rFonts w:ascii="Times New Roman" w:eastAsia="SimHei"/>
          <w:b/>
          <w:bCs/>
          <w:color w:val="1A4735"/>
          <w:sz w:val="24"/>
          <w:szCs w:val="24"/>
        </w:rPr>
        <w:t xml:space="preserve">6.4.2 订单详情</w:t>
      </w:r>
      <w:bookmarkEnd w:id="100079"/>
    </w:p>
    <w:p>
      <w:pPr>
        <w:spacing w:after="60" w:line="312"/>
        <w:ind w:firstLine="480"/>
        <w:jc w:val="both"/>
      </w:pPr>
      <w:r>
        <w:rPr>
          <w:rFonts w:ascii="Times New Roman" w:eastAsia="SimSun"/>
          <w:b w:val="false"/>
          <w:bCs w:val="false"/>
          <w:color w:val="000000"/>
          <w:sz w:val="24"/>
          <w:szCs w:val="24"/>
        </w:rPr>
        <w:t xml:space="preserve">点击订单打开详情视图，完整展示设备信息、成色评估明细、预估与成交价格、状态流转轨迹、订单图片以及用户联系信息与收货地址（省市区+详细地址自动拼接）。详情数据按业务表实际列动态组装，环境间结构差异被透明屏蔽。</w:t>
      </w:r>
    </w:p>
    <w:p>
      <w:pPr>
        <w:pStyle w:val="Heading3"/>
        <w:spacing w:after="100" w:before="220" w:line="312"/>
      </w:pPr>
      <w:bookmarkStart w:id="100080" w:name="_Toc100080"/>
      <w:r>
        <w:rPr>
          <w:rFonts w:ascii="Times New Roman" w:eastAsia="SimHei"/>
          <w:b/>
          <w:bCs/>
          <w:color w:val="1A4735"/>
          <w:sz w:val="24"/>
          <w:szCs w:val="24"/>
        </w:rPr>
        <w:t xml:space="preserve">6.4.3 报价处理</w:t>
      </w:r>
      <w:bookmarkEnd w:id="100080"/>
    </w:p>
    <w:p>
      <w:pPr>
        <w:spacing w:after="60" w:line="312"/>
        <w:ind w:firstLine="480"/>
        <w:jc w:val="both"/>
      </w:pPr>
      <w:r>
        <w:rPr>
          <w:rFonts w:ascii="Times New Roman" w:eastAsia="SimSun"/>
          <w:b w:val="false"/>
          <w:bCs w:val="false"/>
          <w:color w:val="000000"/>
          <w:sz w:val="24"/>
          <w:szCs w:val="24"/>
        </w:rPr>
        <w:t xml:space="preserve">运营人员在订单详情提交回收报价：录入报价金额与报价说明，系统校验金额为非负数字、订单未完结后写入成交价与报价字段，报价状态置为待确认，订单状态自动流转为已报价，用户端随即可见最新报价。报价动作记录操作日志。</w:t>
      </w:r>
    </w:p>
    <w:p>
      <w:pPr>
        <w:pStyle w:val="Heading3"/>
        <w:spacing w:after="100" w:before="220" w:line="312"/>
      </w:pPr>
      <w:bookmarkStart w:id="100081" w:name="_Toc100081"/>
      <w:r>
        <w:rPr>
          <w:rFonts w:ascii="Times New Roman" w:eastAsia="SimHei"/>
          <w:b/>
          <w:bCs/>
          <w:color w:val="1A4735"/>
          <w:sz w:val="24"/>
          <w:szCs w:val="24"/>
        </w:rPr>
        <w:t xml:space="preserve">6.4.4 状态流转</w:t>
      </w:r>
      <w:bookmarkEnd w:id="100081"/>
    </w:p>
    <w:p>
      <w:pPr>
        <w:spacing w:after="60" w:line="312"/>
        <w:ind w:firstLine="480"/>
        <w:jc w:val="both"/>
      </w:pPr>
      <w:r>
        <w:rPr>
          <w:rFonts w:ascii="Times New Roman" w:eastAsia="SimSun"/>
          <w:b w:val="false"/>
          <w:bCs w:val="false"/>
          <w:color w:val="000000"/>
          <w:sz w:val="24"/>
          <w:szCs w:val="24"/>
        </w:rPr>
        <w:t xml:space="preserve">订单状态在待确认、已报价、已确认、处理中、已完成、已取消之间按状态机流转：目标状态合法性、非完结态、状态不重复等前置校验全部通过后更新；转已完成时自动写入完成时间并将进度置满；转已取消时记录取消来源与原因。每次流转记录含前后状态的操作日志。</w:t>
      </w:r>
    </w:p>
    <w:p>
      <w:pPr>
        <w:pStyle w:val="Heading3"/>
        <w:spacing w:after="100" w:before="220" w:line="312"/>
      </w:pPr>
      <w:bookmarkStart w:id="100082" w:name="_Toc100082"/>
      <w:r>
        <w:rPr>
          <w:rFonts w:ascii="Times New Roman" w:eastAsia="SimHei"/>
          <w:b/>
          <w:bCs/>
          <w:color w:val="1A4735"/>
          <w:sz w:val="24"/>
          <w:szCs w:val="24"/>
        </w:rPr>
        <w:t xml:space="preserve">6.4.5 手动创建订单</w:t>
      </w:r>
      <w:bookmarkEnd w:id="100082"/>
    </w:p>
    <w:p>
      <w:pPr>
        <w:spacing w:after="60" w:line="312"/>
        <w:ind w:firstLine="480"/>
        <w:jc w:val="both"/>
      </w:pPr>
      <w:r>
        <w:rPr>
          <w:rFonts w:ascii="Times New Roman" w:eastAsia="SimSun"/>
          <w:b w:val="false"/>
          <w:bCs w:val="false"/>
          <w:color w:val="000000"/>
          <w:sz w:val="24"/>
          <w:szCs w:val="24"/>
        </w:rPr>
        <w:t xml:space="preserve">支持登记线下回收业务：检索并选择用户、填写设备型号、成色、预估价与服务方式后创建回收订单，系统生成 REC 前缀的唯一订单号并进入待确认状态。</w:t>
      </w:r>
    </w:p>
    <w:p>
      <w:pPr>
        <w:pStyle w:val="Heading3"/>
        <w:spacing w:after="100" w:before="220" w:line="312"/>
      </w:pPr>
      <w:bookmarkStart w:id="100083" w:name="_Toc100083"/>
      <w:r>
        <w:rPr>
          <w:rFonts w:ascii="Times New Roman" w:eastAsia="SimHei"/>
          <w:b/>
          <w:bCs/>
          <w:color w:val="1A4735"/>
          <w:sz w:val="24"/>
          <w:szCs w:val="24"/>
        </w:rPr>
        <w:t xml:space="preserve">6.4.6 订单导出</w:t>
      </w:r>
      <w:bookmarkEnd w:id="100083"/>
    </w:p>
    <w:p>
      <w:pPr>
        <w:spacing w:after="60" w:line="312"/>
        <w:ind w:firstLine="480"/>
        <w:jc w:val="both"/>
      </w:pPr>
      <w:r>
        <w:rPr>
          <w:rFonts w:ascii="Times New Roman" w:eastAsia="SimSun"/>
          <w:b w:val="false"/>
          <w:bCs w:val="false"/>
          <w:color w:val="000000"/>
          <w:sz w:val="24"/>
          <w:szCs w:val="24"/>
        </w:rPr>
        <w:t xml:space="preserve">按当前筛选条件导出订单 CSV 文件：输出订单号、型号、成色、预估价、成交价、状态、客户、联系电话、创建与完成时间等列，文件以 UTF-8 编码加 BOM 头写出，保证 Excel 直接打开中文不乱码，单次导出上限五千条，导出动作记录日志。</w:t>
      </w:r>
    </w:p>
    <w:p>
      <w:pPr>
        <w:pStyle w:val="Heading2"/>
        <w:spacing w:after="140" w:before="280" w:line="312"/>
      </w:pPr>
      <w:bookmarkStart w:id="100084" w:name="_Toc100084"/>
      <w:r>
        <w:rPr>
          <w:rFonts w:ascii="Times New Roman" w:eastAsia="SimHei"/>
          <w:b/>
          <w:bCs/>
          <w:color w:val="1A4735"/>
          <w:sz w:val="28"/>
          <w:szCs w:val="28"/>
        </w:rPr>
        <w:t xml:space="preserve">6.5 设备配价库</w:t>
      </w:r>
      <w:bookmarkEnd w:id="100084"/>
    </w:p>
    <w:p>
      <w:pPr>
        <w:pStyle w:val="Heading3"/>
        <w:spacing w:after="100" w:before="220" w:line="312"/>
      </w:pPr>
      <w:bookmarkStart w:id="100085" w:name="_Toc100085"/>
      <w:r>
        <w:rPr>
          <w:rFonts w:ascii="Times New Roman" w:eastAsia="SimHei"/>
          <w:b/>
          <w:bCs/>
          <w:color w:val="1A4735"/>
          <w:sz w:val="24"/>
          <w:szCs w:val="24"/>
        </w:rPr>
        <w:t xml:space="preserve">6.5.1 目录结构管理</w:t>
      </w:r>
      <w:bookmarkEnd w:id="100085"/>
    </w:p>
    <w:p>
      <w:pPr>
        <w:spacing w:after="60" w:line="312"/>
        <w:ind w:firstLine="480"/>
        <w:jc w:val="both"/>
      </w:pPr>
      <w:r>
        <w:rPr>
          <w:rFonts w:ascii="Times New Roman" w:eastAsia="SimSun"/>
          <w:b w:val="false"/>
          <w:bCs w:val="false"/>
          <w:color w:val="000000"/>
          <w:sz w:val="24"/>
          <w:szCs w:val="24"/>
        </w:rPr>
        <w:t xml:space="preserve">配价库以「分类—品牌—型号」三级树组织。分类维护编码、名称、图标、主题色、排序与上下架状态；品牌隶属分类，维护字标与品牌色；型号隶属品牌，维护名称、规格、回收基准价、市场参考价、热门标记与上下架状态。分类与品牌的删除操作前置引用校验（分类下有品牌、品牌下有型号时禁止删除），防止目录悬空。全部增删改操作记录操作日志。</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6-5 设备配价库（可插入截图）</w:t>
      </w:r>
    </w:p>
    <w:p>
      <w:pPr>
        <w:pStyle w:val="Heading3"/>
        <w:spacing w:after="100" w:before="220" w:line="312"/>
      </w:pPr>
      <w:bookmarkStart w:id="100086" w:name="_Toc100086"/>
      <w:r>
        <w:rPr>
          <w:rFonts w:ascii="Times New Roman" w:eastAsia="SimHei"/>
          <w:b/>
          <w:bCs/>
          <w:color w:val="1A4735"/>
          <w:sz w:val="24"/>
          <w:szCs w:val="24"/>
        </w:rPr>
        <w:t xml:space="preserve">6.5.2 型号查询与导出</w:t>
      </w:r>
      <w:bookmarkEnd w:id="100086"/>
    </w:p>
    <w:p>
      <w:pPr>
        <w:spacing w:after="60" w:line="312"/>
        <w:ind w:firstLine="480"/>
        <w:jc w:val="both"/>
      </w:pPr>
      <w:r>
        <w:rPr>
          <w:rFonts w:ascii="Times New Roman" w:eastAsia="SimSun"/>
          <w:b w:val="false"/>
          <w:bCs w:val="false"/>
          <w:color w:val="000000"/>
          <w:sz w:val="24"/>
          <w:szCs w:val="24"/>
        </w:rPr>
        <w:t xml:space="preserve">调价工作台支持按分类、品牌、关键词（型号名/规格）、状态、热门标记分页检索型号；配价库支持全量 CSV 导出，输出分类、品牌、型号、规格、基准价、市场参考价、热门、状态与更新时间列。</w:t>
      </w:r>
    </w:p>
    <w:p>
      <w:pPr>
        <w:pStyle w:val="Heading3"/>
        <w:spacing w:after="100" w:before="220" w:line="312"/>
      </w:pPr>
      <w:bookmarkStart w:id="100087" w:name="_Toc100087"/>
      <w:r>
        <w:rPr>
          <w:rFonts w:ascii="Times New Roman" w:eastAsia="SimHei"/>
          <w:b/>
          <w:bCs/>
          <w:color w:val="1A4735"/>
          <w:sz w:val="24"/>
          <w:szCs w:val="24"/>
        </w:rPr>
        <w:t xml:space="preserve">6.5.3 调价管理</w:t>
      </w:r>
      <w:bookmarkEnd w:id="100087"/>
    </w:p>
    <w:p>
      <w:pPr>
        <w:pStyle w:val="Heading4"/>
        <w:spacing w:after="80" w:before="180" w:line="312"/>
      </w:pPr>
      <w:bookmarkStart w:id="100088" w:name="_Toc100088"/>
      <w:r>
        <w:rPr>
          <w:rFonts w:ascii="Times New Roman" w:eastAsia="SimHei"/>
          <w:b/>
          <w:bCs/>
          <w:color w:val="2F2F2F"/>
          <w:sz w:val="24"/>
          <w:szCs w:val="24"/>
        </w:rPr>
        <w:t xml:space="preserve">6.5.3.1 单型号调价</w:t>
      </w:r>
      <w:bookmarkEnd w:id="100088"/>
    </w:p>
    <w:p>
      <w:pPr>
        <w:spacing w:after="60" w:line="312"/>
        <w:ind w:firstLine="480"/>
        <w:jc w:val="both"/>
      </w:pPr>
      <w:r>
        <w:rPr>
          <w:rFonts w:ascii="Times New Roman" w:eastAsia="SimSun"/>
          <w:b w:val="false"/>
          <w:bCs w:val="false"/>
          <w:color w:val="000000"/>
          <w:sz w:val="24"/>
          <w:szCs w:val="24"/>
        </w:rPr>
        <w:t xml:space="preserve">在型号行内直接录入新基准价与调价原因提交；新增型号的首次定价同样计入调价记录。</w:t>
      </w:r>
    </w:p>
    <w:p>
      <w:pPr>
        <w:pStyle w:val="Heading4"/>
        <w:spacing w:after="80" w:before="180" w:line="312"/>
      </w:pPr>
      <w:bookmarkStart w:id="100089" w:name="_Toc100089"/>
      <w:r>
        <w:rPr>
          <w:rFonts w:ascii="Times New Roman" w:eastAsia="SimHei"/>
          <w:b/>
          <w:bCs/>
          <w:color w:val="2F2F2F"/>
          <w:sz w:val="24"/>
          <w:szCs w:val="24"/>
        </w:rPr>
        <w:t xml:space="preserve">6.5.3.2 调价幅度保护</w:t>
      </w:r>
      <w:bookmarkEnd w:id="100089"/>
    </w:p>
    <w:p>
      <w:pPr>
        <w:spacing w:after="60" w:line="312"/>
        <w:ind w:firstLine="480"/>
        <w:jc w:val="both"/>
      </w:pPr>
      <w:r>
        <w:rPr>
          <w:rFonts w:ascii="Times New Roman" w:eastAsia="SimSun"/>
          <w:b w:val="false"/>
          <w:bCs w:val="false"/>
          <w:color w:val="000000"/>
          <w:sz w:val="24"/>
          <w:szCs w:val="24"/>
        </w:rPr>
        <w:t xml:space="preserve">调价请求先与现价比较计算幅度百分比，超过系统参数设定的上限（默认 20%）时拒绝执行并返回需二次确认标记；运营人员在确认弹窗中明确感知前后价格差异后方可强制调价，有效防止误输入与异常调价。</w:t>
      </w:r>
    </w:p>
    <w:p>
      <w:pPr>
        <w:pStyle w:val="Heading4"/>
        <w:spacing w:after="80" w:before="180" w:line="312"/>
      </w:pPr>
      <w:bookmarkStart w:id="100090" w:name="_Toc100090"/>
      <w:r>
        <w:rPr>
          <w:rFonts w:ascii="Times New Roman" w:eastAsia="SimHei"/>
          <w:b/>
          <w:bCs/>
          <w:color w:val="2F2F2F"/>
          <w:sz w:val="24"/>
          <w:szCs w:val="24"/>
        </w:rPr>
        <w:t xml:space="preserve">6.5.3.3 批量调价</w:t>
      </w:r>
      <w:bookmarkEnd w:id="100090"/>
    </w:p>
    <w:p>
      <w:pPr>
        <w:spacing w:after="60" w:line="312"/>
        <w:ind w:firstLine="480"/>
        <w:jc w:val="both"/>
      </w:pPr>
      <w:r>
        <w:rPr>
          <w:rFonts w:ascii="Times New Roman" w:eastAsia="SimSun"/>
          <w:b w:val="false"/>
          <w:bCs w:val="false"/>
          <w:color w:val="000000"/>
          <w:sz w:val="24"/>
          <w:szCs w:val="24"/>
        </w:rPr>
        <w:t xml:space="preserve">勾选多个型号后发起批量调价，支持两种模式：百分比模式在现价基础上按指定百分比上浮或下调（支持负值）；固定值模式将所选型号统一设置为指定价格。批量结果按型号逐一写入调价记录并汇总记录操作日志。</w:t>
      </w:r>
    </w:p>
    <w:p>
      <w:pPr>
        <w:pStyle w:val="Heading4"/>
        <w:spacing w:after="80" w:before="180" w:line="312"/>
      </w:pPr>
      <w:bookmarkStart w:id="100091" w:name="_Toc100091"/>
      <w:r>
        <w:rPr>
          <w:rFonts w:ascii="Times New Roman" w:eastAsia="SimHei"/>
          <w:b/>
          <w:bCs/>
          <w:color w:val="2F2F2F"/>
          <w:sz w:val="24"/>
          <w:szCs w:val="24"/>
        </w:rPr>
        <w:t xml:space="preserve">6.5.3.4 调价审计</w:t>
      </w:r>
      <w:bookmarkEnd w:id="100091"/>
    </w:p>
    <w:p>
      <w:pPr>
        <w:spacing w:after="60" w:line="312"/>
        <w:ind w:firstLine="480"/>
        <w:jc w:val="both"/>
      </w:pPr>
      <w:r>
        <w:rPr>
          <w:rFonts w:ascii="Times New Roman" w:eastAsia="SimSun"/>
          <w:b w:val="false"/>
          <w:bCs w:val="false"/>
          <w:color w:val="000000"/>
          <w:sz w:val="24"/>
          <w:szCs w:val="24"/>
        </w:rPr>
        <w:t xml:space="preserve">调价记录页分页展示全部调价历史，包含型号、调价前后价格、原因、操作人与时间；支持按型号过滤并按时间正序查看单一型号的价格走势，为争议订单与审计提供依据。</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6-6 调价与调价记录（可插入截图）</w:t>
      </w:r>
    </w:p>
    <w:p>
      <w:pPr>
        <w:pStyle w:val="Heading2"/>
        <w:spacing w:after="140" w:before="280" w:line="312"/>
      </w:pPr>
      <w:bookmarkStart w:id="100092" w:name="_Toc100092"/>
      <w:r>
        <w:rPr>
          <w:rFonts w:ascii="Times New Roman" w:eastAsia="SimHei"/>
          <w:b/>
          <w:bCs/>
          <w:color w:val="1A4735"/>
          <w:sz w:val="28"/>
          <w:szCs w:val="28"/>
        </w:rPr>
        <w:t xml:space="preserve">6.6 回收平台管理</w:t>
      </w:r>
      <w:bookmarkEnd w:id="100092"/>
    </w:p>
    <w:p>
      <w:pPr>
        <w:spacing w:after="60" w:line="312"/>
        <w:ind w:firstLine="480"/>
        <w:jc w:val="both"/>
      </w:pPr>
      <w:r>
        <w:rPr>
          <w:rFonts w:ascii="Times New Roman" w:eastAsia="SimSun"/>
          <w:b w:val="false"/>
          <w:bCs w:val="false"/>
          <w:color w:val="000000"/>
          <w:sz w:val="24"/>
          <w:szCs w:val="24"/>
        </w:rPr>
        <w:t xml:space="preserve">维护外部回收平台档案：平台名称、网址、类型（回收平台/采购渠道/比价参考）、字标与品牌色、平台说明、服务方式、结算方式、佣金说明、联系方式、排序与状态。网址强制 http/https 协议校验。列表支持按类型与关键词筛选；点击「前往」时服务端累计该平台点击量、写入跳转日志（来源为后台）并返回真实地址供前端新窗口打开。预置爱回收、转转回收、闲鱼、回收宝四个示例平台，可编辑或删除。</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6-7 回收平台管理（可插入截图）</w:t>
      </w:r>
    </w:p>
    <w:p>
      <w:pPr>
        <w:pStyle w:val="Heading2"/>
        <w:spacing w:after="140" w:before="280" w:line="312"/>
      </w:pPr>
      <w:bookmarkStart w:id="100093" w:name="_Toc100093"/>
      <w:r>
        <w:rPr>
          <w:rFonts w:ascii="Times New Roman" w:eastAsia="SimHei"/>
          <w:b/>
          <w:bCs/>
          <w:color w:val="1A4735"/>
          <w:sz w:val="28"/>
          <w:szCs w:val="28"/>
        </w:rPr>
        <w:t xml:space="preserve">6.7 采购链接管理</w:t>
      </w:r>
      <w:bookmarkEnd w:id="100093"/>
    </w:p>
    <w:p>
      <w:pPr>
        <w:spacing w:after="60" w:line="312"/>
        <w:ind w:firstLine="480"/>
        <w:jc w:val="both"/>
      </w:pPr>
      <w:r>
        <w:rPr>
          <w:rFonts w:ascii="Times New Roman" w:eastAsia="SimSun"/>
          <w:b w:val="false"/>
          <w:bCs w:val="false"/>
          <w:color w:val="000000"/>
          <w:sz w:val="24"/>
          <w:szCs w:val="24"/>
        </w:rPr>
        <w:t xml:space="preserve">维护外部采购与比价链接库：每条链接包含名称、地址、适用设备分类（可选，空为通用）、关联平台、适用型号关键词、参考价格区间与备注，支持排序与启停。列表联表展示所属分类与平台名称，支持按分类、关键词、状态筛选。点击跳转同样累计点击量与最近点击时间并写入日志。统计视图提供近三十天跳转趋势曲线与点击量前十的目标排行，帮助运营评估各渠道价值。</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6-8 采购链接管理（可插入截图）</w:t>
      </w:r>
    </w:p>
    <w:p>
      <w:pPr>
        <w:pStyle w:val="Heading2"/>
        <w:spacing w:after="140" w:before="280" w:line="312"/>
      </w:pPr>
      <w:bookmarkStart w:id="100094" w:name="_Toc100094"/>
      <w:r>
        <w:rPr>
          <w:rFonts w:ascii="Times New Roman" w:eastAsia="SimHei"/>
          <w:b/>
          <w:bCs/>
          <w:color w:val="1A4735"/>
          <w:sz w:val="28"/>
          <w:szCs w:val="28"/>
        </w:rPr>
        <w:t xml:space="preserve">6.8 估价配置</w:t>
      </w:r>
      <w:bookmarkEnd w:id="100094"/>
    </w:p>
    <w:p>
      <w:pPr>
        <w:pStyle w:val="Heading3"/>
        <w:spacing w:after="100" w:before="220" w:line="312"/>
      </w:pPr>
      <w:bookmarkStart w:id="100095" w:name="_Toc100095"/>
      <w:r>
        <w:rPr>
          <w:rFonts w:ascii="Times New Roman" w:eastAsia="SimHei"/>
          <w:b/>
          <w:bCs/>
          <w:color w:val="1A4735"/>
          <w:sz w:val="24"/>
          <w:szCs w:val="24"/>
        </w:rPr>
        <w:t xml:space="preserve">6.8.1 核心参数</w:t>
      </w:r>
      <w:bookmarkEnd w:id="100095"/>
    </w:p>
    <w:p>
      <w:pPr>
        <w:spacing w:after="60" w:line="312"/>
        <w:ind w:firstLine="480"/>
        <w:jc w:val="both"/>
      </w:pPr>
      <w:r>
        <w:rPr>
          <w:rFonts w:ascii="Times New Roman" w:eastAsia="SimSun"/>
          <w:b w:val="false"/>
          <w:bCs w:val="false"/>
          <w:color w:val="000000"/>
          <w:sz w:val="24"/>
          <w:szCs w:val="24"/>
        </w:rPr>
        <w:t xml:space="preserve">以参数卡片形式维护三个核心开关：二手基准系数（取值 0.1~1，步进 0.05，是全部估价的兜底折扣）、配价有效期（天，超期后小程序端需重新询价）与小程序 AI 估价开关。参数保存即时生效并写入操作日志。</w:t>
      </w:r>
    </w:p>
    <w:p>
      <w:pPr>
        <w:pStyle w:val="Heading3"/>
        <w:spacing w:after="100" w:before="220" w:line="312"/>
      </w:pPr>
      <w:bookmarkStart w:id="100096" w:name="_Toc100096"/>
      <w:r>
        <w:rPr>
          <w:rFonts w:ascii="Times New Roman" w:eastAsia="SimHei"/>
          <w:b/>
          <w:bCs/>
          <w:color w:val="1A4735"/>
          <w:sz w:val="24"/>
          <w:szCs w:val="24"/>
        </w:rPr>
        <w:t xml:space="preserve">6.8.2 品类估价系数</w:t>
      </w:r>
      <w:bookmarkEnd w:id="100096"/>
    </w:p>
    <w:p>
      <w:pPr>
        <w:spacing w:after="60" w:line="312"/>
        <w:ind w:firstLine="480"/>
        <w:jc w:val="both"/>
      </w:pPr>
      <w:r>
        <w:rPr>
          <w:rFonts w:ascii="Times New Roman" w:eastAsia="SimSun"/>
          <w:b w:val="false"/>
          <w:bCs w:val="false"/>
          <w:color w:val="000000"/>
          <w:sz w:val="24"/>
          <w:szCs w:val="24"/>
        </w:rPr>
        <w:t xml:space="preserve">为每个回收品类单独设定整体折算系数（0.1~2），卡片同时展示该品类型号数量与均价，系数参与估价公式：最终价 = 基准价 × 二手基准系数 × 品类系数 × 各因子系数，用于按品类调节估价水平。</w:t>
      </w:r>
    </w:p>
    <w:p>
      <w:pPr>
        <w:pStyle w:val="Heading3"/>
        <w:spacing w:after="100" w:before="220" w:line="312"/>
      </w:pPr>
      <w:bookmarkStart w:id="100097" w:name="_Toc100097"/>
      <w:r>
        <w:rPr>
          <w:rFonts w:ascii="Times New Roman" w:eastAsia="SimHei"/>
          <w:b/>
          <w:bCs/>
          <w:color w:val="1A4735"/>
          <w:sz w:val="24"/>
          <w:szCs w:val="24"/>
        </w:rPr>
        <w:t xml:space="preserve">6.8.3 因子系数维护</w:t>
      </w:r>
      <w:bookmarkEnd w:id="100097"/>
    </w:p>
    <w:p>
      <w:pPr>
        <w:spacing w:after="60" w:line="312"/>
        <w:ind w:firstLine="480"/>
        <w:jc w:val="both"/>
      </w:pPr>
      <w:r>
        <w:rPr>
          <w:rFonts w:ascii="Times New Roman" w:eastAsia="SimSun"/>
          <w:b w:val="false"/>
          <w:bCs w:val="false"/>
          <w:color w:val="000000"/>
          <w:sz w:val="24"/>
          <w:szCs w:val="24"/>
        </w:rPr>
        <w:t xml:space="preserve">按六大评估因子分组维护选项与系数：可修改选项文案与系数（0~2），可新增自定义档位（系统生成唯一匹配编码）与删除冗余档位（每因子至少保留两项）。修改后小程序端估价流程即时采用新系数。</w:t>
      </w:r>
    </w:p>
    <w:p>
      <w:pPr>
        <w:pStyle w:val="Heading3"/>
        <w:spacing w:after="100" w:before="220" w:line="312"/>
      </w:pPr>
      <w:bookmarkStart w:id="100098" w:name="_Toc100098"/>
      <w:r>
        <w:rPr>
          <w:rFonts w:ascii="Times New Roman" w:eastAsia="SimHei"/>
          <w:b/>
          <w:bCs/>
          <w:color w:val="1A4735"/>
          <w:sz w:val="24"/>
          <w:szCs w:val="24"/>
        </w:rPr>
        <w:t xml:space="preserve">6.8.4 估价模拟器</w:t>
      </w:r>
      <w:bookmarkEnd w:id="100098"/>
    </w:p>
    <w:p>
      <w:pPr>
        <w:spacing w:after="60" w:line="312"/>
        <w:ind w:firstLine="480"/>
        <w:jc w:val="both"/>
      </w:pPr>
      <w:r>
        <w:rPr>
          <w:rFonts w:ascii="Times New Roman" w:eastAsia="SimSun"/>
          <w:b w:val="false"/>
          <w:bCs w:val="false"/>
          <w:color w:val="000000"/>
          <w:sz w:val="24"/>
          <w:szCs w:val="24"/>
        </w:rPr>
        <w:t xml:space="preserve">配置页内置实时估价模拟器：选择品类与基准价、调整各因子系数后即时演算最终回收价，帮助运营在调整参数前预判对报价的影响，避免盲目调参。</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6-9 估价配置与模拟器（可插入截图）</w:t>
      </w:r>
    </w:p>
    <w:p>
      <w:pPr>
        <w:pStyle w:val="Heading2"/>
        <w:spacing w:after="140" w:before="280" w:line="312"/>
      </w:pPr>
      <w:bookmarkStart w:id="100099" w:name="_Toc100099"/>
      <w:r>
        <w:rPr>
          <w:rFonts w:ascii="Times New Roman" w:eastAsia="SimHei"/>
          <w:b/>
          <w:bCs/>
          <w:color w:val="1A4735"/>
          <w:sz w:val="28"/>
          <w:szCs w:val="28"/>
        </w:rPr>
        <w:t xml:space="preserve">6.9 操作日志</w:t>
      </w:r>
      <w:bookmarkEnd w:id="100099"/>
    </w:p>
    <w:p>
      <w:pPr>
        <w:spacing w:after="60" w:line="312"/>
        <w:ind w:firstLine="480"/>
        <w:jc w:val="both"/>
      </w:pPr>
      <w:r>
        <w:rPr>
          <w:rFonts w:ascii="Times New Roman" w:eastAsia="SimSun"/>
          <w:b w:val="false"/>
          <w:bCs w:val="false"/>
          <w:color w:val="000000"/>
          <w:sz w:val="24"/>
          <w:szCs w:val="24"/>
        </w:rPr>
        <w:t xml:space="preserve">操作日志页汇总后台全部写操作记录，支持按模块（订单/配价/平台/链接/设置/认证）、关键词（操作人/动作/明细）与日期区间检索，分页展示操作人、模块、动作、明细、来源 IP 与时间。日志由各业务接口自动写入，覆盖登录与单点登录、报价、状态流转、建单、导出、配价与系数调整、平台与链接维护、参数保存、管理员管理等全部写操作，为安全审计与责任追溯提供完整依据。</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6-10 操作日志（可插入截图）</w:t>
      </w:r>
    </w:p>
    <w:p>
      <w:pPr>
        <w:pStyle w:val="Heading2"/>
        <w:spacing w:after="140" w:before="280" w:line="312"/>
      </w:pPr>
      <w:bookmarkStart w:id="100100" w:name="_Toc100100"/>
      <w:r>
        <w:rPr>
          <w:rFonts w:ascii="Times New Roman" w:eastAsia="SimHei"/>
          <w:b/>
          <w:bCs/>
          <w:color w:val="1A4735"/>
          <w:sz w:val="28"/>
          <w:szCs w:val="28"/>
        </w:rPr>
        <w:t xml:space="preserve">6.10 系统设置</w:t>
      </w:r>
      <w:bookmarkEnd w:id="100100"/>
    </w:p>
    <w:p>
      <w:pPr>
        <w:pStyle w:val="Heading3"/>
        <w:spacing w:after="100" w:before="220" w:line="312"/>
      </w:pPr>
      <w:bookmarkStart w:id="100101" w:name="_Toc100101"/>
      <w:r>
        <w:rPr>
          <w:rFonts w:ascii="Times New Roman" w:eastAsia="SimHei"/>
          <w:b/>
          <w:bCs/>
          <w:color w:val="1A4735"/>
          <w:sz w:val="24"/>
          <w:szCs w:val="24"/>
        </w:rPr>
        <w:t xml:space="preserve">6.10.1 系统参数</w:t>
      </w:r>
      <w:bookmarkEnd w:id="100101"/>
    </w:p>
    <w:p>
      <w:pPr>
        <w:spacing w:after="60" w:line="312"/>
        <w:ind w:firstLine="480"/>
        <w:jc w:val="both"/>
      </w:pPr>
      <w:r>
        <w:rPr>
          <w:rFonts w:ascii="Times New Roman" w:eastAsia="SimSun"/>
          <w:b w:val="false"/>
          <w:bCs w:val="false"/>
          <w:color w:val="000000"/>
          <w:sz w:val="24"/>
          <w:szCs w:val="24"/>
        </w:rPr>
        <w:t xml:space="preserve">以列表形式展示并编辑全部系统参数（含各预置参数与环保换算系数），支持批量保存；每项参数附说明与最近更新时间，保存记录更新人。</w:t>
      </w:r>
    </w:p>
    <w:p>
      <w:pPr>
        <w:pStyle w:val="Heading3"/>
        <w:spacing w:after="100" w:before="220" w:line="312"/>
      </w:pPr>
      <w:bookmarkStart w:id="100102" w:name="_Toc100102"/>
      <w:r>
        <w:rPr>
          <w:rFonts w:ascii="Times New Roman" w:eastAsia="SimHei"/>
          <w:b/>
          <w:bCs/>
          <w:color w:val="1A4735"/>
          <w:sz w:val="24"/>
          <w:szCs w:val="24"/>
        </w:rPr>
        <w:t xml:space="preserve">6.10.2 管理员管理</w:t>
      </w:r>
      <w:bookmarkEnd w:id="100102"/>
    </w:p>
    <w:p>
      <w:pPr>
        <w:spacing w:after="60" w:line="312"/>
        <w:ind w:firstLine="480"/>
        <w:jc w:val="both"/>
      </w:pPr>
      <w:r>
        <w:rPr>
          <w:rFonts w:ascii="Times New Roman" w:eastAsia="SimSun"/>
          <w:b w:val="false"/>
          <w:bCs w:val="false"/>
          <w:color w:val="000000"/>
          <w:sz w:val="24"/>
          <w:szCs w:val="24"/>
        </w:rPr>
        <w:t xml:space="preserve">超级管理员专属功能：新增管理员（账号唯一、密码不少于六位、指定三级角色）、编辑账号（姓名、角色、状态、重置密码）、禁用与删除账号。系统内置多重保护：不可禁用或删除自己的账号、删除最后一个超级管理员被拒绝、账号重名时提示。全部管理动作记录操作日志。</w:t>
      </w:r>
    </w:p>
    <w:p>
      <w:pPr>
        <w:pStyle w:val="Heading3"/>
        <w:spacing w:after="100" w:before="220" w:line="312"/>
      </w:pPr>
      <w:bookmarkStart w:id="100103" w:name="_Toc100103"/>
      <w:r>
        <w:rPr>
          <w:rFonts w:ascii="Times New Roman" w:eastAsia="SimHei"/>
          <w:b/>
          <w:bCs/>
          <w:color w:val="1A4735"/>
          <w:sz w:val="24"/>
          <w:szCs w:val="24"/>
        </w:rPr>
        <w:t xml:space="preserve">6.10.3 修改密码</w:t>
      </w:r>
      <w:bookmarkEnd w:id="100103"/>
    </w:p>
    <w:p>
      <w:pPr>
        <w:spacing w:after="60" w:line="312"/>
        <w:ind w:firstLine="480"/>
        <w:jc w:val="both"/>
      </w:pPr>
      <w:r>
        <w:rPr>
          <w:rFonts w:ascii="Times New Roman" w:eastAsia="SimSun"/>
          <w:b w:val="false"/>
          <w:bCs w:val="false"/>
          <w:color w:val="000000"/>
          <w:sz w:val="24"/>
          <w:szCs w:val="24"/>
        </w:rPr>
        <w:t xml:space="preserve">任意管理员可在右上角个人菜单修改自身密码：需验证原密码，新密码不少于六位，修改成功后记录日志，下次登录使用新密码。</w:t>
      </w:r>
    </w:p>
    <w:p>
      <w:pPr>
        <w:pBdr>
          <w:top w:val="dashed" w:color="8FAFA4" w:sz="4" w:space="10"/>
          <w:bottom w:val="dashed" w:color="8FAFA4" w:sz="4" w:space="10"/>
          <w:left w:val="dashed" w:color="8FAFA4" w:sz="4" w:space="30"/>
          <w:right w:val="dashed" w:color="8FAFA4" w:sz="4" w:space="30"/>
        </w:pBdr>
        <w:spacing w:after="0" w:before="160" w:line="312"/>
        <w:jc w:val="center"/>
      </w:pPr>
      <w:r>
        <w:rPr>
          <w:rFonts w:ascii="Times New Roman" w:eastAsia="SimSun"/>
          <w:i/>
          <w:iCs/>
          <w:color w:val="8A8A8A"/>
          <w:sz w:val="21"/>
          <w:szCs w:val="21"/>
        </w:rPr>
        <w:t xml:space="preserve">（此处插入界面截图，图片宽度建议 14~15cm）</w:t>
      </w:r>
    </w:p>
    <w:p>
      <w:pPr>
        <w:spacing w:after="160" w:before="80" w:line="312"/>
        <w:jc w:val="center"/>
      </w:pPr>
      <w:r>
        <w:rPr>
          <w:rFonts w:ascii="Times New Roman" w:eastAsia="SimSun"/>
          <w:b/>
          <w:bCs/>
          <w:color w:val="333333"/>
          <w:sz w:val="21"/>
          <w:szCs w:val="21"/>
        </w:rPr>
        <w:t xml:space="preserve">图 6-11 系统设置（可插入截图）</w:t>
      </w:r>
    </w:p>
    <w:p>
      <w:pPr>
        <w:pStyle w:val="Heading1"/>
        <w:pageBreakBefore/>
        <w:spacing w:after="200" w:before="360" w:line="312"/>
      </w:pPr>
      <w:bookmarkStart w:id="100104" w:name="_Toc100104"/>
      <w:r>
        <w:rPr>
          <w:rFonts w:ascii="Times New Roman" w:eastAsia="SimHei"/>
          <w:b/>
          <w:bCs/>
          <w:color w:val="1A4735"/>
          <w:sz w:val="32"/>
          <w:szCs w:val="32"/>
        </w:rPr>
        <w:t xml:space="preserve">第七章 安全设计</w:t>
      </w:r>
      <w:bookmarkEnd w:id="100104"/>
    </w:p>
    <w:p>
      <w:pPr>
        <w:pStyle w:val="Heading2"/>
        <w:spacing w:after="140" w:before="280" w:line="312"/>
      </w:pPr>
      <w:bookmarkStart w:id="100105" w:name="_Toc100105"/>
      <w:r>
        <w:rPr>
          <w:rFonts w:ascii="Times New Roman" w:eastAsia="SimHei"/>
          <w:b/>
          <w:bCs/>
          <w:color w:val="1A4735"/>
          <w:sz w:val="28"/>
          <w:szCs w:val="28"/>
        </w:rPr>
        <w:t xml:space="preserve">7.1 身份认证安全</w:t>
      </w:r>
      <w:bookmarkEnd w:id="100105"/>
    </w:p>
    <w:p>
      <w:pPr>
        <w:spacing w:after="60" w:line="312"/>
        <w:ind w:firstLine="480"/>
        <w:jc w:val="both"/>
      </w:pPr>
      <w:r>
        <w:rPr>
          <w:rFonts w:ascii="Times New Roman" w:eastAsia="SimSun"/>
          <w:b w:val="false"/>
          <w:bCs w:val="false"/>
          <w:color w:val="000000"/>
          <w:sz w:val="24"/>
          <w:szCs w:val="24"/>
        </w:rPr>
        <w:t xml:space="preserve">管理后台采用 JWT 无状态会话，令牌默认十二小时过期，签名密钥经环境变量注入并可轮换。密码以 bcrypt 算法加盐哈希存储，杜绝明文落库；登录失败统一返回模糊提示。每次请求鉴权时实时回查账号状态与角色，账号被禁用后已签发令牌即刻失效，无需等待过期。单点登录不信任前端传入的用户信息，而是由服务端持维修后台令牌向主系统实名校验后放行。</w:t>
      </w:r>
    </w:p>
    <w:p>
      <w:pPr>
        <w:pStyle w:val="Heading2"/>
        <w:spacing w:after="140" w:before="280" w:line="312"/>
      </w:pPr>
      <w:bookmarkStart w:id="100106" w:name="_Toc100106"/>
      <w:r>
        <w:rPr>
          <w:rFonts w:ascii="Times New Roman" w:eastAsia="SimHei"/>
          <w:b/>
          <w:bCs/>
          <w:color w:val="1A4735"/>
          <w:sz w:val="28"/>
          <w:szCs w:val="28"/>
        </w:rPr>
        <w:t xml:space="preserve">7.2 权限控制</w:t>
      </w:r>
      <w:bookmarkEnd w:id="100106"/>
    </w:p>
    <w:p>
      <w:pPr>
        <w:spacing w:after="60" w:line="312"/>
        <w:ind w:firstLine="480"/>
        <w:jc w:val="both"/>
      </w:pPr>
      <w:r>
        <w:rPr>
          <w:rFonts w:ascii="Times New Roman" w:eastAsia="SimSun"/>
          <w:b w:val="false"/>
          <w:bCs w:val="false"/>
          <w:color w:val="000000"/>
          <w:sz w:val="24"/>
          <w:szCs w:val="24"/>
        </w:rPr>
        <w:t xml:space="preserve">权限模型遵循最小授权原则：只读账号仅开放查询与导出；管理员开放全部业务操作；管理员管理等高危操作仅超级管理员可用。权限校验在服务端中间件统一实施，前端菜单隐藏仅作为体验优化而非安全依赖，直接调用受保护接口仍会被服务端拦截。</w:t>
      </w:r>
    </w:p>
    <w:p>
      <w:pPr>
        <w:pStyle w:val="Heading2"/>
        <w:spacing w:after="140" w:before="280" w:line="312"/>
      </w:pPr>
      <w:bookmarkStart w:id="100107" w:name="_Toc100107"/>
      <w:r>
        <w:rPr>
          <w:rFonts w:ascii="Times New Roman" w:eastAsia="SimHei"/>
          <w:b/>
          <w:bCs/>
          <w:color w:val="1A4735"/>
          <w:sz w:val="28"/>
          <w:szCs w:val="28"/>
        </w:rPr>
        <w:t xml:space="preserve">7.3 数据安全</w:t>
      </w:r>
      <w:bookmarkEnd w:id="100107"/>
    </w:p>
    <w:p>
      <w:pPr>
        <w:spacing w:after="60" w:line="312"/>
        <w:ind w:firstLine="480"/>
        <w:jc w:val="both"/>
      </w:pPr>
      <w:r>
        <w:rPr>
          <w:rFonts w:ascii="Times New Roman" w:eastAsia="SimSun"/>
          <w:b w:val="false"/>
          <w:bCs w:val="false"/>
          <w:color w:val="000000"/>
          <w:sz w:val="24"/>
          <w:szCs w:val="24"/>
        </w:rPr>
        <w:t xml:space="preserve">全部 SQL 均使用参数化查询，杜绝拼接注入；列表分页上限强制收敛（订单一百条、日志一百条），导出上限五千条，防止恶意拉全量。业务表结构差异通过元数据探测适配，不执行任何动态拼接的表结构变更。密码哈希、密钥等敏感配置一律经环境变量注入，不打入镜像与代码仓库。</w:t>
      </w:r>
    </w:p>
    <w:p>
      <w:pPr>
        <w:pStyle w:val="Heading2"/>
        <w:spacing w:after="140" w:before="280" w:line="312"/>
      </w:pPr>
      <w:bookmarkStart w:id="100108" w:name="_Toc100108"/>
      <w:r>
        <w:rPr>
          <w:rFonts w:ascii="Times New Roman" w:eastAsia="SimHei"/>
          <w:b/>
          <w:bCs/>
          <w:color w:val="1A4735"/>
          <w:sz w:val="28"/>
          <w:szCs w:val="28"/>
        </w:rPr>
        <w:t xml:space="preserve">7.4 操作审计</w:t>
      </w:r>
      <w:bookmarkEnd w:id="100108"/>
    </w:p>
    <w:p>
      <w:pPr>
        <w:spacing w:after="60" w:line="312"/>
        <w:ind w:firstLine="480"/>
        <w:jc w:val="both"/>
      </w:pPr>
      <w:r>
        <w:rPr>
          <w:rFonts w:ascii="Times New Roman" w:eastAsia="SimSun"/>
          <w:b w:val="false"/>
          <w:bCs w:val="false"/>
          <w:color w:val="000000"/>
          <w:sz w:val="24"/>
          <w:szCs w:val="24"/>
        </w:rPr>
        <w:t xml:space="preserve">后台全部写操作（含登录行为）统一写入操作日志表，记录操作人、模块、动作、明细与来源 IP，明细超长自动截断；配价变动另记专用调价记录。日志写入失败不影响业务主流程，但会在服务端告警。</w:t>
      </w:r>
    </w:p>
    <w:p>
      <w:pPr>
        <w:pStyle w:val="Heading2"/>
        <w:spacing w:after="140" w:before="280" w:line="312"/>
      </w:pPr>
      <w:bookmarkStart w:id="100109" w:name="_Toc100109"/>
      <w:r>
        <w:rPr>
          <w:rFonts w:ascii="Times New Roman" w:eastAsia="SimHei"/>
          <w:b/>
          <w:bCs/>
          <w:color w:val="1A4735"/>
          <w:sz w:val="28"/>
          <w:szCs w:val="28"/>
        </w:rPr>
        <w:t xml:space="preserve">7.5 传输与部署安全</w:t>
      </w:r>
      <w:bookmarkEnd w:id="100109"/>
    </w:p>
    <w:p>
      <w:pPr>
        <w:spacing w:after="60" w:line="312"/>
        <w:ind w:firstLine="480"/>
        <w:jc w:val="both"/>
      </w:pPr>
      <w:r>
        <w:rPr>
          <w:rFonts w:ascii="Times New Roman" w:eastAsia="SimSun"/>
          <w:b w:val="false"/>
          <w:bCs w:val="false"/>
          <w:color w:val="000000"/>
          <w:sz w:val="24"/>
          <w:szCs w:val="24"/>
        </w:rPr>
        <w:t xml:space="preserve">生产环境全部外部流量经 HTTPS 网关进出，SSL 证书配置于网关层；各业务容器端口仅绑定本机回环地址，容器间通信走内部网络；数据库、缓存不直接暴露公网。平台以容器化编排交付，升级与回滚以镜像为单元，环境差异通过环境变量与配置文件注入，避免人工改动带来的安全漂移。</w:t>
      </w:r>
    </w:p>
    <w:p>
      <w:pPr>
        <w:pStyle w:val="Heading1"/>
        <w:pageBreakBefore/>
        <w:spacing w:after="200" w:before="360" w:line="312"/>
      </w:pPr>
      <w:bookmarkStart w:id="100110" w:name="_Toc100110"/>
      <w:r>
        <w:rPr>
          <w:rFonts w:ascii="Times New Roman" w:eastAsia="SimHei"/>
          <w:b/>
          <w:bCs/>
          <w:color w:val="1A4735"/>
          <w:sz w:val="32"/>
          <w:szCs w:val="32"/>
        </w:rPr>
        <w:t xml:space="preserve">第八章 运行与维护</w:t>
      </w:r>
      <w:bookmarkEnd w:id="100110"/>
    </w:p>
    <w:p>
      <w:pPr>
        <w:pStyle w:val="Heading2"/>
        <w:spacing w:after="140" w:before="280" w:line="312"/>
      </w:pPr>
      <w:bookmarkStart w:id="100111" w:name="_Toc100111"/>
      <w:r>
        <w:rPr>
          <w:rFonts w:ascii="Times New Roman" w:eastAsia="SimHei"/>
          <w:b/>
          <w:bCs/>
          <w:color w:val="1A4735"/>
          <w:sz w:val="28"/>
          <w:szCs w:val="28"/>
        </w:rPr>
        <w:t xml:space="preserve">8.1 部署方式</w:t>
      </w:r>
      <w:bookmarkEnd w:id="100111"/>
    </w:p>
    <w:p>
      <w:pPr>
        <w:spacing w:after="60" w:line="312"/>
        <w:ind w:firstLine="480"/>
        <w:jc w:val="both"/>
      </w:pPr>
      <w:r>
        <w:rPr>
          <w:rFonts w:ascii="Times New Roman" w:eastAsia="SimSun"/>
          <w:b w:val="false"/>
          <w:bCs w:val="false"/>
          <w:color w:val="000000"/>
          <w:sz w:val="24"/>
          <w:szCs w:val="24"/>
        </w:rPr>
        <w:t xml:space="preserve">平台随统一容器编排部署：回收管理后台以独立容器运行（默认端口 3005），前端构建产物在镜像构建阶段注入子路径基座参数并由服务端托管；小程序服务端同样容器化运行（默认端口 3001）。外部访问经网关 HTTPS 四四三端口按子路径转发。首次部署时系统自动完成建表与种子数据初始化，包括默认管理员账号、配价示例目录、估价系数、系统参数默认值与示例平台档案。</w:t>
      </w:r>
    </w:p>
    <w:p>
      <w:pPr>
        <w:pStyle w:val="Heading2"/>
        <w:spacing w:after="140" w:before="280" w:line="312"/>
      </w:pPr>
      <w:bookmarkStart w:id="100112" w:name="_Toc100112"/>
      <w:r>
        <w:rPr>
          <w:rFonts w:ascii="Times New Roman" w:eastAsia="SimHei"/>
          <w:b/>
          <w:bCs/>
          <w:color w:val="1A4735"/>
          <w:sz w:val="28"/>
          <w:szCs w:val="28"/>
        </w:rPr>
        <w:t xml:space="preserve">8.2 初始化与种子数据</w:t>
      </w:r>
      <w:bookmarkEnd w:id="100112"/>
    </w:p>
    <w:p>
      <w:pPr>
        <w:spacing w:after="60" w:line="312"/>
        <w:ind w:firstLine="480"/>
        <w:jc w:val="both"/>
      </w:pPr>
      <w:r>
        <w:rPr>
          <w:rFonts w:ascii="Times New Roman" w:eastAsia="SimSun"/>
          <w:b w:val="false"/>
          <w:bCs w:val="false"/>
          <w:color w:val="000000"/>
          <w:sz w:val="24"/>
          <w:szCs w:val="24"/>
        </w:rPr>
        <w:t xml:space="preserve">初始化流程幂等可重复执行：管理员表为空时创建默认超级管理员（账号 admin，初始密码经环境变量可覆盖，首次登录后应立即修改）；配价分类为空时导入内置配价目录；估价系数为空时按内置题目选项灌入；系统参数以忽略重复方式写入默认值；平台表为空时写入示例平台。二次启动不会产生重复数据。</w:t>
      </w:r>
    </w:p>
    <w:p>
      <w:pPr>
        <w:pStyle w:val="Heading2"/>
        <w:spacing w:after="140" w:before="280" w:line="312"/>
      </w:pPr>
      <w:bookmarkStart w:id="100113" w:name="_Toc100113"/>
      <w:r>
        <w:rPr>
          <w:rFonts w:ascii="Times New Roman" w:eastAsia="SimHei"/>
          <w:b/>
          <w:bCs/>
          <w:color w:val="1A4735"/>
          <w:sz w:val="28"/>
          <w:szCs w:val="28"/>
        </w:rPr>
        <w:t xml:space="preserve">8.3 健康检查与监控</w:t>
      </w:r>
      <w:bookmarkEnd w:id="100113"/>
    </w:p>
    <w:p>
      <w:pPr>
        <w:spacing w:after="60" w:line="312"/>
        <w:ind w:firstLine="480"/>
        <w:jc w:val="both"/>
      </w:pPr>
      <w:r>
        <w:rPr>
          <w:rFonts w:ascii="Times New Roman" w:eastAsia="SimSun"/>
          <w:b w:val="false"/>
          <w:bCs w:val="false"/>
          <w:color w:val="000000"/>
          <w:sz w:val="24"/>
          <w:szCs w:val="24"/>
        </w:rPr>
        <w:t xml:space="preserve">管理后台服务提供 /health 健康检查接口，对数据库执行连通性探测并返回服务状态与时间戳；容器编排层以此为依据进行健康监测与自动重启。服务端同时输出简要请求日志与统一错误处理日志，便于运行期问题定位。</w:t>
      </w:r>
    </w:p>
    <w:p>
      <w:pPr>
        <w:pStyle w:val="Heading2"/>
        <w:spacing w:after="140" w:before="280" w:line="312"/>
      </w:pPr>
      <w:bookmarkStart w:id="100114" w:name="_Toc100114"/>
      <w:r>
        <w:rPr>
          <w:rFonts w:ascii="Times New Roman" w:eastAsia="SimHei"/>
          <w:b/>
          <w:bCs/>
          <w:color w:val="1A4735"/>
          <w:sz w:val="28"/>
          <w:szCs w:val="28"/>
        </w:rPr>
        <w:t xml:space="preserve">8.4 常见问题与处理</w:t>
      </w:r>
      <w:bookmarkEnd w:id="100114"/>
    </w:p>
    <w:p>
      <w:pPr>
        <w:keepNext/>
        <w:spacing w:after="80" w:before="160" w:line="312"/>
        <w:jc w:val="center"/>
      </w:pPr>
      <w:r>
        <w:rPr>
          <w:rFonts w:ascii="Times New Roman" w:eastAsia="SimSun"/>
          <w:b/>
          <w:bCs/>
          <w:color w:val="333333"/>
          <w:sz w:val="21"/>
          <w:szCs w:val="21"/>
        </w:rPr>
        <w:t xml:space="preserve">表 8-1 常见问题与处理方式</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Pr>
      <w:tblGrid>
        <w:gridCol w:w="100"/>
        <w:gridCol w:w="100"/>
      </w:tblGrid>
      <w:tr>
        <w:trPr>
          <w:cantSplit/>
          <w:tblHeader/>
        </w:trPr>
        <w:tc>
          <w:tcPr>
            <w:tcW w:type="pct" w:w="30%"/>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现象</w:t>
            </w:r>
          </w:p>
        </w:tc>
        <w:tc>
          <w:tcPr>
            <w:tcW w:type="pct" w:w="70%"/>
            <w:shd w:fill="2A7A65"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原因与处理</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小程序配价与后台不一致</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配价缓存有效期为十分钟，等待过期后下拉重进；确认相关型号处于上架状态</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登录提示登录已过期</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令牌超过十二小时有效期，重新登录即可；若持续出现检查服务器时间</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报价提交被拒绝</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确认订单未处于已完成或已取消状态；金额需为非负数字</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调价被提示幅度超限</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系统默认单次调价幅度上限 20%，确认后在二次确认弹窗中选择强制调价</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导出 CSV 中文乱码</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导出文件自带 BOM 头，请使用 Excel 或支持 UTF-8 的工具打开</w:t>
            </w:r>
          </w:p>
        </w:tc>
      </w:tr>
      <w:tr>
        <w:trPr>
          <w:cantSplit/>
        </w:trPr>
        <w:tc>
          <w:tcPr>
            <w:tcW w:type="pct" w:w="3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单点登录失败</w:t>
            </w:r>
          </w:p>
        </w:tc>
        <w:tc>
          <w:tcPr>
            <w:tcW w:type="pct" w:w="7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先登录维修后台获取有效会话；仍失败时联系管理员检查回收账号是否被禁用</w:t>
            </w:r>
          </w:p>
        </w:tc>
      </w:tr>
    </w:tbl>
    <w:p>
      <w:pPr>
        <w:spacing w:after="0" w:line="312"/>
        <w:ind w:firstLine="480"/>
        <w:jc w:val="both"/>
      </w:pPr>
      <w:r>
        <w:rPr>
          <w:rFonts w:ascii="Times New Roman" w:eastAsia="SimSun"/>
          <w:b w:val="false"/>
          <w:bCs w:val="false"/>
          <w:color w:val="000000"/>
          <w:sz w:val="24"/>
          <w:szCs w:val="24"/>
        </w:rPr>
        <w:t xml:space="preserve"> </w:t>
      </w:r>
    </w:p>
    <w:p>
      <w:pPr>
        <w:spacing w:after="0" w:line="312"/>
        <w:ind w:firstLine="480"/>
        <w:jc w:val="both"/>
      </w:pPr>
      <w:r>
        <w:rPr>
          <w:rFonts w:ascii="Times New Roman" w:eastAsia="SimSun"/>
          <w:b w:val="false"/>
          <w:bCs w:val="false"/>
          <w:color w:val="000000"/>
          <w:sz w:val="24"/>
          <w:szCs w:val="24"/>
        </w:rPr>
        <w:t xml:space="preserve">本说明书所述功能与实现以众云信息科技回收综合服务平台 V1.0 实际软件为准。</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66666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66666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65" w:sz="4" w:space="4"/>
      </w:pBdr>
      <w:spacing w:after="0" w:line="240"/>
      <w:jc w:val="center"/>
    </w:pPr>
    <w:r>
      <w:rPr>
        <w:rFonts w:ascii="Times New Roman" w:eastAsia="SimSun"/>
        <w:color w:val="666666"/>
        <w:sz w:val="18"/>
        <w:szCs w:val="18"/>
      </w:rPr>
      <w:t xml:space="preserve">众云信息科技回收综合服务平台V1.0 软件说明书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65" w:sz="4" w:space="4"/>
      </w:pBdr>
      <w:spacing w:after="0" w:line="240"/>
      <w:jc w:val="center"/>
    </w:pPr>
    <w:r>
      <w:rPr>
        <w:rFonts w:ascii="Times New Roman" w:eastAsia="SimSun"/>
        <w:color w:val="666666"/>
        <w:sz w:val="18"/>
        <w:szCs w:val="18"/>
      </w:rPr>
      <w:t xml:space="preserve">众云信息科技回收综合服务平台V1.0 软件说明书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Times New Roman" w:eastAsia="SimHei"/>
      <w:b/>
      <w:bCs/>
      <w:color w:val="1A4735"/>
      <w:sz w:val="32"/>
      <w:szCs w:val="32"/>
    </w:rPr>
  </w:style>
  <w:style w:type="paragraph" w:styleId="Heading2">
    <w:name w:val="Heading 2"/>
    <w:basedOn w:val="Normal"/>
    <w:next w:val="Normal"/>
    <w:qFormat/>
    <w:pPr>
      <w:spacing w:after="140" w:before="280" w:line="312"/>
      <w:outlineLvl w:val="1"/>
    </w:pPr>
    <w:rPr>
      <w:rFonts w:ascii="Times New Roman" w:eastAsia="SimHei"/>
      <w:b/>
      <w:bCs/>
      <w:color w:val="1A4735"/>
      <w:sz w:val="28"/>
      <w:szCs w:val="28"/>
    </w:rPr>
  </w:style>
  <w:style w:type="paragraph" w:styleId="Heading3">
    <w:name w:val="Heading 3"/>
    <w:basedOn w:val="Normal"/>
    <w:next w:val="Normal"/>
    <w:qFormat/>
    <w:pPr>
      <w:spacing w:after="100" w:before="220" w:line="312"/>
      <w:outlineLvl w:val="2"/>
    </w:pPr>
    <w:rPr>
      <w:rFonts w:ascii="Times New Roman" w:eastAsia="SimHei"/>
      <w:b/>
      <w:bCs/>
      <w:color w:val="1A4735"/>
      <w:sz w:val="24"/>
      <w:szCs w:val="24"/>
    </w:rPr>
  </w:style>
  <w:style w:type="paragraph" w:styleId="Heading4">
    <w:name w:val="Heading 4"/>
    <w:basedOn w:val="Normal"/>
    <w:next w:val="Normal"/>
    <w:qFormat/>
    <w:pPr>
      <w:spacing w:after="80" w:before="180" w:line="312"/>
      <w:outlineLvl w:val="3"/>
    </w:pPr>
    <w:rPr>
      <w:rFonts w:ascii="Times New Roman" w:eastAsia="SimHei"/>
      <w:b/>
      <w:bCs/>
      <w:color w:val="2F2F2F"/>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众云信息科技回收综合服务平台V1.0 软件说明书</dc:title>
  <dc:creator>众云信息科技</dc:creator>
  <cp:lastModifiedBy>Un-named</cp:lastModifiedBy>
  <cp:revision>1</cp:revision>
  <dcterms:created xsi:type="dcterms:W3CDTF">2026-09-17T01:34:03.283Z</dcterms:created>
  <dcterms:modified xsi:type="dcterms:W3CDTF">2026-09-17T01:34:03.295Z</dcterms:modified>
</cp:coreProperties>
</file>

<file path=docProps/custom.xml><?xml version="1.0" encoding="utf-8"?>
<Properties xmlns="http://schemas.openxmlformats.org/officeDocument/2006/custom-properties" xmlns:vt="http://schemas.openxmlformats.org/officeDocument/2006/docPropsVTypes"/>
</file>