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395"/>
            </w:pPr>
          </w:p>
          <w:p>
            <w:pPr>
              <w:spacing w:after="120" w:line="690" w:lineRule="atLeast"/>
              <w:jc w:val="center"/>
            </w:pPr>
            <w:r>
              <w:rPr>
                <w:rFonts w:ascii="Times New Roman" w:eastAsia="SimHei"/>
                <w:b/>
                <w:bCs/>
                <w:color w:val="000000"/>
                <w:sz w:val="60"/>
                <w:szCs w:val="60"/>
              </w:rPr>
              <w:t xml:space="preserve">众云信息科技</w:t>
            </w:r>
          </w:p>
          <w:p>
            <w:pPr>
              <w:spacing w:after="300" w:line="690" w:lineRule="atLeast"/>
              <w:jc w:val="center"/>
            </w:pPr>
            <w:r>
              <w:rPr>
                <w:rFonts w:ascii="Times New Roman" w:eastAsia="SimHei"/>
                <w:b/>
                <w:bCs/>
                <w:color w:val="000000"/>
                <w:sz w:val="60"/>
                <w:szCs w:val="60"/>
              </w:rPr>
              <w:t xml:space="preserve">电子产品回收综合服务平台</w:t>
            </w:r>
          </w:p>
          <w:p>
            <w:pPr>
              <w:spacing w:after="200" w:line="414" w:lineRule="atLeast"/>
              <w:jc w:val="center"/>
            </w:pPr>
            <w:r>
              <w:rPr>
                <w:rFonts w:ascii="Times New Roman" w:eastAsia="SimHei"/>
                <w:b/>
                <w:bCs/>
                <w:color w:val="000000"/>
                <w:sz w:val="32"/>
                <w:szCs w:val="32"/>
              </w:rPr>
              <w:t xml:space="preserve">V1.0</w:t>
            </w:r>
          </w:p>
          <w:p>
            <w:pPr>
              <w:spacing w:after="200" w:line="598" w:lineRule="atLeast"/>
              <w:jc w:val="center"/>
            </w:pPr>
            <w:r>
              <w:rPr>
                <w:rFonts w:ascii="Times New Roman" w:eastAsia="SimHei"/>
                <w:b/>
                <w:bCs/>
                <w:color w:val="000000"/>
                <w:spacing w:val="60"/>
                <w:sz w:val="52"/>
                <w:szCs w:val="52"/>
              </w:rPr>
              <w:t xml:space="preserve">软 件 说 明 书</w:t>
            </w:r>
          </w:p>
          <w:p>
            <w:pPr>
              <w:spacing w:before="1195"/>
            </w:pPr>
          </w:p>
          <w:tbl>
            <w:tblPr>
              <w:tblW w:type="pct" w:w="55%"/>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pct" w:w="2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color w:val="000000"/>
                      <w:sz w:val="24"/>
                      <w:szCs w:val="24"/>
                    </w:rPr>
                    <w:t xml:space="preserve">软件名称：</w:t>
                  </w:r>
                </w:p>
              </w:tc>
              <w:tc>
                <w:tcPr>
                  <w:tcW w:type="pct" w:w="7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color w:val="000000"/>
                      <w:sz w:val="24"/>
                      <w:szCs w:val="24"/>
                    </w:rPr>
                    <w:t xml:space="preserve">众云信息科技电子产品回收综合服务平台</w:t>
                  </w:r>
                </w:p>
              </w:tc>
            </w:tr>
            <w:tr>
              <w:tc>
                <w:tcPr>
                  <w:tcW w:type="pct" w:w="2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color w:val="000000"/>
                      <w:sz w:val="24"/>
                      <w:szCs w:val="24"/>
                    </w:rPr>
                    <w:t xml:space="preserve">版本号：</w:t>
                  </w:r>
                </w:p>
              </w:tc>
              <w:tc>
                <w:tcPr>
                  <w:tcW w:type="pct" w:w="7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color w:val="000000"/>
                      <w:sz w:val="24"/>
                      <w:szCs w:val="24"/>
                    </w:rPr>
                    <w:t xml:space="preserve">V1.0</w:t>
                  </w:r>
                </w:p>
              </w:tc>
            </w:tr>
            <w:tr>
              <w:tc>
                <w:tcPr>
                  <w:tcW w:type="pct" w:w="2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color w:val="000000"/>
                      <w:sz w:val="24"/>
                      <w:szCs w:val="24"/>
                    </w:rPr>
                    <w:t xml:space="preserve">编制单位：</w:t>
                  </w:r>
                </w:p>
              </w:tc>
              <w:tc>
                <w:tcPr>
                  <w:tcW w:type="pct" w:w="7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color w:val="000000"/>
                      <w:sz w:val="24"/>
                      <w:szCs w:val="24"/>
                    </w:rPr>
                    <w:t xml:space="preserve">【填写编制单位全称】</w:t>
                  </w:r>
                </w:p>
              </w:tc>
            </w:tr>
            <w:tr>
              <w:tc>
                <w:tcPr>
                  <w:tcW w:type="pct" w:w="2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color w:val="000000"/>
                      <w:sz w:val="24"/>
                      <w:szCs w:val="24"/>
                    </w:rPr>
                    <w:t xml:space="preserve">编制日期：</w:t>
                  </w:r>
                </w:p>
              </w:tc>
              <w:tc>
                <w:tcPr>
                  <w:tcW w:type="pct" w:w="7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color w:val="000000"/>
                      <w:sz w:val="24"/>
                      <w:szCs w:val="24"/>
                    </w:rPr>
                    <w:t xml:space="preserve">2026 年 9 月</w:t>
                  </w:r>
                </w:p>
              </w:tc>
            </w:tr>
          </w:tbl>
          <w:p>
            <w:pPr>
              <w:spacing w:before="4450"/>
            </w:pPr>
          </w:p>
          <w:p>
            <w:pPr>
              <w:jc w:val="center"/>
            </w:pPr>
            <w:r>
              <w:rPr>
                <w:rFonts w:ascii="Times New Roman" w:eastAsia="SimSun"/>
                <w:color w:val="404040"/>
                <w:sz w:val="24"/>
                <w:szCs w:val="24"/>
              </w:rPr>
              <w:t xml:space="preserve">软件著作权登记申请材料</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000000"/>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第一章 概述</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软件简介</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开发背景与目的</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主要特点</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运行环境</w:t>
            </w:r>
            <w:r>
              <w:tab/>
            </w:r>
            <w:r>
              <w:fldChar w:fldCharType="begin"/>
            </w:r>
            <w:r>
              <w:instrText xml:space="preserve"> PAGEREF _Toc100004 \h </w:instrText>
            </w:r>
            <w:r>
              <w:fldChar w:fldCharType="separate"/>
            </w:r>
            <w:r>
              <w:t>3</w:t>
            </w:r>
            <w:r>
              <w:fldChar w:fldCharType="end"/>
            </w:r>
          </w:hyperlink>
        </w:p>
        <w:p>
          <w:pPr>
            <w:pStyle w:val="12"/>
            <w:ind w:left="720"/>
            <w:tabs>
              <w:tab w:val="right" w:leader="dot" w:pos="9026"/>
            </w:tabs>
            <w:spacing w:before="120" w:after="60"/>
          </w:pPr>
          <w:hyperlink w:anchor="_Toc100005" w:history="1">
            <w:r>
              <w:rPr>
                <w:rStyle w:val="Hyperlink"/>
              </w:rPr>
              <w:t>1.4.1 硬件环境</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1.4.2 软件环境</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1.4.3 网络环境</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1.5 术语与缩略语</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1.6 用户角色与使用场景</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第二章 系统总体结构</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2.1 总体架构</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2.2 技术架构</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2.3 部署架构</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2.4 功能模块划分</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2.5 业务流程设计</w:t>
            </w:r>
            <w:r>
              <w:tab/>
            </w:r>
            <w:r>
              <w:fldChar w:fldCharType="begin"/>
            </w:r>
            <w:r>
              <w:instrText xml:space="preserve"> PAGEREF _Toc100015 \h </w:instrText>
            </w:r>
            <w:r>
              <w:fldChar w:fldCharType="separate"/>
            </w:r>
            <w:r>
              <w:t>7</w:t>
            </w:r>
            <w:r>
              <w:fldChar w:fldCharType="end"/>
            </w:r>
          </w:hyperlink>
        </w:p>
        <w:p>
          <w:pPr>
            <w:pStyle w:val="12"/>
            <w:ind w:left="720"/>
            <w:tabs>
              <w:tab w:val="right" w:leader="dot" w:pos="9026"/>
            </w:tabs>
            <w:spacing w:before="120" w:after="60"/>
          </w:pPr>
          <w:hyperlink w:anchor="_Toc100016" w:history="1">
            <w:r>
              <w:rPr>
                <w:rStyle w:val="Hyperlink"/>
              </w:rPr>
              <w:t>2.5.1 用户回收下单流程</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20" w:history="1">
            <w:r>
              <w:rPr>
                <w:rStyle w:val="Hyperlink"/>
              </w:rPr>
              <w:t>2.5.2 估价计算流程</w:t>
            </w:r>
            <w:r>
              <w:tab/>
            </w:r>
            <w:r>
              <w:fldChar w:fldCharType="begin"/>
            </w:r>
            <w:r>
              <w:instrText xml:space="preserve"> PAGEREF _Toc100020 \h </w:instrText>
            </w:r>
            <w:r>
              <w:fldChar w:fldCharType="separate"/>
            </w:r>
            <w:r>
              <w:t>8</w:t>
            </w:r>
            <w:r>
              <w:fldChar w:fldCharType="end"/>
            </w:r>
          </w:hyperlink>
        </w:p>
        <w:p>
          <w:pPr>
            <w:pStyle w:val="12"/>
            <w:ind w:left="720"/>
            <w:tabs>
              <w:tab w:val="right" w:leader="dot" w:pos="9026"/>
            </w:tabs>
            <w:spacing w:before="120" w:after="60"/>
          </w:pPr>
          <w:hyperlink w:anchor="_Toc100021" w:history="1">
            <w:r>
              <w:rPr>
                <w:rStyle w:val="Hyperlink"/>
              </w:rPr>
              <w:t>2.5.3 后台订单处理流程</w:t>
            </w:r>
            <w:r>
              <w:tab/>
            </w:r>
            <w:r>
              <w:fldChar w:fldCharType="begin"/>
            </w:r>
            <w:r>
              <w:instrText xml:space="preserve"> PAGEREF _Toc100021 \h </w:instrText>
            </w:r>
            <w:r>
              <w:fldChar w:fldCharType="separate"/>
            </w:r>
            <w:r>
              <w:t>8</w:t>
            </w:r>
            <w:r>
              <w:fldChar w:fldCharType="end"/>
            </w:r>
          </w:hyperlink>
        </w:p>
        <w:p>
          <w:pPr>
            <w:pStyle w:val="12"/>
            <w:ind w:left="720"/>
            <w:tabs>
              <w:tab w:val="right" w:leader="dot" w:pos="9026"/>
            </w:tabs>
            <w:spacing w:before="120" w:after="60"/>
          </w:pPr>
          <w:hyperlink w:anchor="_Toc100022" w:history="1">
            <w:r>
              <w:rPr>
                <w:rStyle w:val="Hyperlink"/>
              </w:rPr>
              <w:t>2.5.4 配价管理流程</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2.6 关键技术设计与实现</w:t>
            </w:r>
            <w:r>
              <w:tab/>
            </w:r>
            <w:r>
              <w:fldChar w:fldCharType="begin"/>
            </w:r>
            <w:r>
              <w:instrText xml:space="preserve"> PAGEREF _Toc100026 \h </w:instrText>
            </w:r>
            <w:r>
              <w:fldChar w:fldCharType="separate"/>
            </w:r>
            <w:r>
              <w:t>9</w:t>
            </w:r>
            <w:r>
              <w:fldChar w:fldCharType="end"/>
            </w:r>
          </w:hyperlink>
        </w:p>
        <w:p>
          <w:pPr>
            <w:pStyle w:val="12"/>
            <w:ind w:left="720"/>
            <w:tabs>
              <w:tab w:val="right" w:leader="dot" w:pos="9026"/>
            </w:tabs>
            <w:spacing w:before="120" w:after="60"/>
          </w:pPr>
          <w:hyperlink w:anchor="_Toc100027" w:history="1">
            <w:r>
              <w:rPr>
                <w:rStyle w:val="Hyperlink"/>
              </w:rPr>
              <w:t>2.6.1 管理后台前端实现</w:t>
            </w:r>
            <w:r>
              <w:tab/>
            </w:r>
            <w:r>
              <w:fldChar w:fldCharType="begin"/>
            </w:r>
            <w:r>
              <w:instrText xml:space="preserve"> PAGEREF _Toc100027 \h </w:instrText>
            </w:r>
            <w:r>
              <w:fldChar w:fldCharType="separate"/>
            </w:r>
            <w:r>
              <w:t>9</w:t>
            </w:r>
            <w:r>
              <w:fldChar w:fldCharType="end"/>
            </w:r>
          </w:hyperlink>
        </w:p>
        <w:p>
          <w:pPr>
            <w:pStyle w:val="12"/>
            <w:ind w:left="720"/>
            <w:tabs>
              <w:tab w:val="right" w:leader="dot" w:pos="9026"/>
            </w:tabs>
            <w:spacing w:before="120" w:after="60"/>
          </w:pPr>
          <w:hyperlink w:anchor="_Toc100032" w:history="1">
            <w:r>
              <w:rPr>
                <w:rStyle w:val="Hyperlink"/>
              </w:rPr>
              <w:t>2.6.2 管理后台服务端实现</w:t>
            </w:r>
            <w:r>
              <w:tab/>
            </w:r>
            <w:r>
              <w:fldChar w:fldCharType="begin"/>
            </w:r>
            <w:r>
              <w:instrText xml:space="preserve"> PAGEREF _Toc100032 \h </w:instrText>
            </w:r>
            <w:r>
              <w:fldChar w:fldCharType="separate"/>
            </w:r>
            <w:r>
              <w:t>11</w:t>
            </w:r>
            <w:r>
              <w:fldChar w:fldCharType="end"/>
            </w:r>
          </w:hyperlink>
        </w:p>
        <w:p>
          <w:pPr>
            <w:pStyle w:val="12"/>
            <w:ind w:left="720"/>
            <w:tabs>
              <w:tab w:val="right" w:leader="dot" w:pos="9026"/>
            </w:tabs>
            <w:spacing w:before="120" w:after="60"/>
          </w:pPr>
          <w:hyperlink w:anchor="_Toc100037" w:history="1">
            <w:r>
              <w:rPr>
                <w:rStyle w:val="Hyperlink"/>
              </w:rPr>
              <w:t>2.6.3 小程序端实现</w:t>
            </w:r>
            <w:r>
              <w:tab/>
            </w:r>
            <w:r>
              <w:fldChar w:fldCharType="begin"/>
            </w:r>
            <w:r>
              <w:instrText xml:space="preserve"> PAGEREF _Toc100037 \h </w:instrText>
            </w:r>
            <w:r>
              <w:fldChar w:fldCharType="separate"/>
            </w:r>
            <w:r>
              <w:t>12</w:t>
            </w:r>
            <w:r>
              <w:fldChar w:fldCharType="end"/>
            </w:r>
          </w:hyperlink>
        </w:p>
        <w:p>
          <w:pPr>
            <w:pStyle w:val="12"/>
            <w:ind w:left="720"/>
            <w:tabs>
              <w:tab w:val="right" w:leader="dot" w:pos="9026"/>
            </w:tabs>
            <w:spacing w:before="120" w:after="60"/>
          </w:pPr>
          <w:hyperlink w:anchor="_Toc100041" w:history="1">
            <w:r>
              <w:rPr>
                <w:rStyle w:val="Hyperlink"/>
              </w:rPr>
              <w:t>2.6.4 AI 估价链路实现</w:t>
            </w:r>
            <w:r>
              <w:tab/>
            </w:r>
            <w:r>
              <w:fldChar w:fldCharType="begin"/>
            </w:r>
            <w:r>
              <w:instrText xml:space="preserve"> PAGEREF _Toc100041 \h </w:instrText>
            </w:r>
            <w:r>
              <w:fldChar w:fldCharType="separate"/>
            </w:r>
            <w:r>
              <w:t>13</w:t>
            </w:r>
            <w:r>
              <w:fldChar w:fldCharType="end"/>
            </w:r>
          </w:hyperlink>
        </w:p>
        <w:p>
          <w:pPr>
            <w:pStyle w:val="9"/>
            <w:tabs>
              <w:tab w:val="right" w:leader="dot" w:pos="9026"/>
            </w:tabs>
            <w:spacing w:before="120" w:after="60"/>
          </w:pPr>
          <w:hyperlink w:anchor="_Toc100042" w:history="1">
            <w:r>
              <w:rPr>
                <w:rStyle w:val="Hyperlink"/>
              </w:rPr>
              <w:t>第三章 数据库设计</w:t>
            </w:r>
            <w:r>
              <w:tab/>
            </w:r>
            <w:r>
              <w:fldChar w:fldCharType="begin"/>
            </w:r>
            <w:r>
              <w:instrText xml:space="preserve"> PAGEREF _Toc100042 \h </w:instrText>
            </w:r>
            <w:r>
              <w:fldChar w:fldCharType="separate"/>
            </w:r>
            <w:r>
              <w:t>13</w:t>
            </w:r>
            <w:r>
              <w:fldChar w:fldCharType="end"/>
            </w:r>
          </w:hyperlink>
        </w:p>
        <w:p>
          <w:pPr>
            <w:pStyle w:val="11"/>
            <w:ind w:left="360"/>
            <w:tabs>
              <w:tab w:val="right" w:leader="dot" w:pos="9026"/>
            </w:tabs>
            <w:spacing w:before="120" w:after="60"/>
          </w:pPr>
          <w:hyperlink w:anchor="_Toc100043" w:history="1">
            <w:r>
              <w:rPr>
                <w:rStyle w:val="Hyperlink"/>
              </w:rPr>
              <w:t>3.1 设计概述</w:t>
            </w:r>
            <w:r>
              <w:tab/>
            </w:r>
            <w:r>
              <w:fldChar w:fldCharType="begin"/>
            </w:r>
            <w:r>
              <w:instrText xml:space="preserve"> PAGEREF _Toc100043 \h </w:instrText>
            </w:r>
            <w:r>
              <w:fldChar w:fldCharType="separate"/>
            </w:r>
            <w:r>
              <w:t>13</w:t>
            </w:r>
            <w:r>
              <w:fldChar w:fldCharType="end"/>
            </w:r>
          </w:hyperlink>
        </w:p>
        <w:p>
          <w:pPr>
            <w:pStyle w:val="11"/>
            <w:ind w:left="360"/>
            <w:tabs>
              <w:tab w:val="right" w:leader="dot" w:pos="9026"/>
            </w:tabs>
            <w:spacing w:before="120" w:after="60"/>
          </w:pPr>
          <w:hyperlink w:anchor="_Toc100044" w:history="1">
            <w:r>
              <w:rPr>
                <w:rStyle w:val="Hyperlink"/>
              </w:rPr>
              <w:t>3.2 数据表清单</w:t>
            </w:r>
            <w:r>
              <w:tab/>
            </w:r>
            <w:r>
              <w:fldChar w:fldCharType="begin"/>
            </w:r>
            <w:r>
              <w:instrText xml:space="preserve"> PAGEREF _Toc100044 \h </w:instrText>
            </w:r>
            <w:r>
              <w:fldChar w:fldCharType="separate"/>
            </w:r>
            <w:r>
              <w:t>13</w:t>
            </w:r>
            <w:r>
              <w:fldChar w:fldCharType="end"/>
            </w:r>
          </w:hyperlink>
        </w:p>
        <w:p>
          <w:pPr>
            <w:pStyle w:val="11"/>
            <w:ind w:left="360"/>
            <w:tabs>
              <w:tab w:val="right" w:leader="dot" w:pos="9026"/>
            </w:tabs>
            <w:spacing w:before="120" w:after="60"/>
          </w:pPr>
          <w:hyperlink w:anchor="_Toc100045" w:history="1">
            <w:r>
              <w:rPr>
                <w:rStyle w:val="Hyperlink"/>
              </w:rPr>
              <w:t>3.3 核心表结构说明</w:t>
            </w:r>
            <w:r>
              <w:tab/>
            </w:r>
            <w:r>
              <w:fldChar w:fldCharType="begin"/>
            </w:r>
            <w:r>
              <w:instrText xml:space="preserve"> PAGEREF _Toc100045 \h </w:instrText>
            </w:r>
            <w:r>
              <w:fldChar w:fldCharType="separate"/>
            </w:r>
            <w:r>
              <w:t>13</w:t>
            </w:r>
            <w:r>
              <w:fldChar w:fldCharType="end"/>
            </w:r>
          </w:hyperlink>
        </w:p>
        <w:p>
          <w:pPr>
            <w:pStyle w:val="12"/>
            <w:ind w:left="720"/>
            <w:tabs>
              <w:tab w:val="right" w:leader="dot" w:pos="9026"/>
            </w:tabs>
            <w:spacing w:before="120" w:after="60"/>
          </w:pPr>
          <w:hyperlink w:anchor="_Toc100046" w:history="1">
            <w:r>
              <w:rPr>
                <w:rStyle w:val="Hyperlink"/>
              </w:rPr>
              <w:t>3.3.1 管理员表 recycle_admins</w:t>
            </w:r>
            <w:r>
              <w:tab/>
            </w:r>
            <w:r>
              <w:fldChar w:fldCharType="begin"/>
            </w:r>
            <w:r>
              <w:instrText xml:space="preserve"> PAGEREF _Toc100046 \h </w:instrText>
            </w:r>
            <w:r>
              <w:fldChar w:fldCharType="separate"/>
            </w:r>
            <w:r>
              <w:t>14</w:t>
            </w:r>
            <w:r>
              <w:fldChar w:fldCharType="end"/>
            </w:r>
          </w:hyperlink>
        </w:p>
        <w:p>
          <w:pPr>
            <w:pStyle w:val="12"/>
            <w:ind w:left="720"/>
            <w:tabs>
              <w:tab w:val="right" w:leader="dot" w:pos="9026"/>
            </w:tabs>
            <w:spacing w:before="120" w:after="60"/>
          </w:pPr>
          <w:hyperlink w:anchor="_Toc100047" w:history="1">
            <w:r>
              <w:rPr>
                <w:rStyle w:val="Hyperlink"/>
              </w:rPr>
              <w:t>3.3.2 设备分类表 recycle_categories 与品牌表 recycle_brands</w:t>
            </w:r>
            <w:r>
              <w:tab/>
            </w:r>
            <w:r>
              <w:fldChar w:fldCharType="begin"/>
            </w:r>
            <w:r>
              <w:instrText xml:space="preserve"> PAGEREF _Toc100047 \h </w:instrText>
            </w:r>
            <w:r>
              <w:fldChar w:fldCharType="separate"/>
            </w:r>
            <w:r>
              <w:t>14</w:t>
            </w:r>
            <w:r>
              <w:fldChar w:fldCharType="end"/>
            </w:r>
          </w:hyperlink>
        </w:p>
        <w:p>
          <w:pPr>
            <w:pStyle w:val="12"/>
            <w:ind w:left="720"/>
            <w:tabs>
              <w:tab w:val="right" w:leader="dot" w:pos="9026"/>
            </w:tabs>
            <w:spacing w:before="120" w:after="60"/>
          </w:pPr>
          <w:hyperlink w:anchor="_Toc100048" w:history="1">
            <w:r>
              <w:rPr>
                <w:rStyle w:val="Hyperlink"/>
              </w:rPr>
              <w:t>3.3.3 型号配价表 recycle_models</w:t>
            </w:r>
            <w:r>
              <w:tab/>
            </w:r>
            <w:r>
              <w:fldChar w:fldCharType="begin"/>
            </w:r>
            <w:r>
              <w:instrText xml:space="preserve"> PAGEREF _Toc100048 \h </w:instrText>
            </w:r>
            <w:r>
              <w:fldChar w:fldCharType="separate"/>
            </w:r>
            <w:r>
              <w:t>14</w:t>
            </w:r>
            <w:r>
              <w:fldChar w:fldCharType="end"/>
            </w:r>
          </w:hyperlink>
        </w:p>
        <w:p>
          <w:pPr>
            <w:pStyle w:val="12"/>
            <w:ind w:left="720"/>
            <w:tabs>
              <w:tab w:val="right" w:leader="dot" w:pos="9026"/>
            </w:tabs>
            <w:spacing w:before="120" w:after="60"/>
          </w:pPr>
          <w:hyperlink w:anchor="_Toc100049" w:history="1">
            <w:r>
              <w:rPr>
                <w:rStyle w:val="Hyperlink"/>
              </w:rPr>
              <w:t>3.3.4 调价记录表 recycle_price_logs</w:t>
            </w:r>
            <w:r>
              <w:tab/>
            </w:r>
            <w:r>
              <w:fldChar w:fldCharType="begin"/>
            </w:r>
            <w:r>
              <w:instrText xml:space="preserve"> PAGEREF _Toc100049 \h </w:instrText>
            </w:r>
            <w:r>
              <w:fldChar w:fldCharType="separate"/>
            </w:r>
            <w:r>
              <w:t>15</w:t>
            </w:r>
            <w:r>
              <w:fldChar w:fldCharType="end"/>
            </w:r>
          </w:hyperlink>
        </w:p>
        <w:p>
          <w:pPr>
            <w:pStyle w:val="12"/>
            <w:ind w:left="720"/>
            <w:tabs>
              <w:tab w:val="right" w:leader="dot" w:pos="9026"/>
            </w:tabs>
            <w:spacing w:before="120" w:after="60"/>
          </w:pPr>
          <w:hyperlink w:anchor="_Toc100050" w:history="1">
            <w:r>
              <w:rPr>
                <w:rStyle w:val="Hyperlink"/>
              </w:rPr>
              <w:t>3.3.5 平台档案表 recycle_platforms 与采购链接表 recycle_procurement_links</w:t>
            </w:r>
            <w:r>
              <w:tab/>
            </w:r>
            <w:r>
              <w:fldChar w:fldCharType="begin"/>
            </w:r>
            <w:r>
              <w:instrText xml:space="preserve"> PAGEREF _Toc100050 \h </w:instrText>
            </w:r>
            <w:r>
              <w:fldChar w:fldCharType="separate"/>
            </w:r>
            <w:r>
              <w:t>15</w:t>
            </w:r>
            <w:r>
              <w:fldChar w:fldCharType="end"/>
            </w:r>
          </w:hyperlink>
        </w:p>
        <w:p>
          <w:pPr>
            <w:pStyle w:val="12"/>
            <w:ind w:left="720"/>
            <w:tabs>
              <w:tab w:val="right" w:leader="dot" w:pos="9026"/>
            </w:tabs>
            <w:spacing w:before="120" w:after="60"/>
          </w:pPr>
          <w:hyperlink w:anchor="_Toc100051" w:history="1">
            <w:r>
              <w:rPr>
                <w:rStyle w:val="Hyperlink"/>
              </w:rPr>
              <w:t>3.3.6 估价系数表 recycle_condition_rates</w:t>
            </w:r>
            <w:r>
              <w:tab/>
            </w:r>
            <w:r>
              <w:fldChar w:fldCharType="begin"/>
            </w:r>
            <w:r>
              <w:instrText xml:space="preserve"> PAGEREF _Toc100051 \h </w:instrText>
            </w:r>
            <w:r>
              <w:fldChar w:fldCharType="separate"/>
            </w:r>
            <w:r>
              <w:t>15</w:t>
            </w:r>
            <w:r>
              <w:fldChar w:fldCharType="end"/>
            </w:r>
          </w:hyperlink>
        </w:p>
        <w:p>
          <w:pPr>
            <w:pStyle w:val="12"/>
            <w:ind w:left="720"/>
            <w:tabs>
              <w:tab w:val="right" w:leader="dot" w:pos="9026"/>
            </w:tabs>
            <w:spacing w:before="120" w:after="60"/>
          </w:pPr>
          <w:hyperlink w:anchor="_Toc100052" w:history="1">
            <w:r>
              <w:rPr>
                <w:rStyle w:val="Hyperlink"/>
              </w:rPr>
              <w:t>3.3.7 系统参数表 recycle_settings</w:t>
            </w:r>
            <w:r>
              <w:tab/>
            </w:r>
            <w:r>
              <w:fldChar w:fldCharType="begin"/>
            </w:r>
            <w:r>
              <w:instrText xml:space="preserve"> PAGEREF _Toc100052 \h </w:instrText>
            </w:r>
            <w:r>
              <w:fldChar w:fldCharType="separate"/>
            </w:r>
            <w:r>
              <w:t>15</w:t>
            </w:r>
            <w:r>
              <w:fldChar w:fldCharType="end"/>
            </w:r>
          </w:hyperlink>
        </w:p>
        <w:p>
          <w:pPr>
            <w:pStyle w:val="12"/>
            <w:ind w:left="720"/>
            <w:tabs>
              <w:tab w:val="right" w:leader="dot" w:pos="9026"/>
            </w:tabs>
            <w:spacing w:before="120" w:after="60"/>
          </w:pPr>
          <w:hyperlink w:anchor="_Toc100053" w:history="1">
            <w:r>
              <w:rPr>
                <w:rStyle w:val="Hyperlink"/>
              </w:rPr>
              <w:t>3.3.8 操作日志表 recycle_operation_logs</w:t>
            </w:r>
            <w:r>
              <w:tab/>
            </w:r>
            <w:r>
              <w:fldChar w:fldCharType="begin"/>
            </w:r>
            <w:r>
              <w:instrText xml:space="preserve"> PAGEREF _Toc100053 \h </w:instrText>
            </w:r>
            <w:r>
              <w:fldChar w:fldCharType="separate"/>
            </w:r>
            <w:r>
              <w:t>16</w:t>
            </w:r>
            <w:r>
              <w:fldChar w:fldCharType="end"/>
            </w:r>
          </w:hyperlink>
        </w:p>
        <w:p>
          <w:pPr>
            <w:pStyle w:val="12"/>
            <w:ind w:left="720"/>
            <w:tabs>
              <w:tab w:val="right" w:leader="dot" w:pos="9026"/>
            </w:tabs>
            <w:spacing w:before="120" w:after="60"/>
          </w:pPr>
          <w:hyperlink w:anchor="_Toc100054" w:history="1">
            <w:r>
              <w:rPr>
                <w:rStyle w:val="Hyperlink"/>
              </w:rPr>
              <w:t>3.3.9 业务订单表 orders（共享）</w:t>
            </w:r>
            <w:r>
              <w:tab/>
            </w:r>
            <w:r>
              <w:fldChar w:fldCharType="begin"/>
            </w:r>
            <w:r>
              <w:instrText xml:space="preserve"> PAGEREF _Toc100054 \h </w:instrText>
            </w:r>
            <w:r>
              <w:fldChar w:fldCharType="separate"/>
            </w:r>
            <w:r>
              <w:t>16</w:t>
            </w:r>
            <w:r>
              <w:fldChar w:fldCharType="end"/>
            </w:r>
          </w:hyperlink>
        </w:p>
        <w:p>
          <w:pPr>
            <w:pStyle w:val="11"/>
            <w:ind w:left="360"/>
            <w:tabs>
              <w:tab w:val="right" w:leader="dot" w:pos="9026"/>
            </w:tabs>
            <w:spacing w:before="120" w:after="60"/>
          </w:pPr>
          <w:hyperlink w:anchor="_Toc100055" w:history="1">
            <w:r>
              <w:rPr>
                <w:rStyle w:val="Hyperlink"/>
              </w:rPr>
              <w:t>3.4 数据一致性设计</w:t>
            </w:r>
            <w:r>
              <w:tab/>
            </w:r>
            <w:r>
              <w:fldChar w:fldCharType="begin"/>
            </w:r>
            <w:r>
              <w:instrText xml:space="preserve"> PAGEREF _Toc100055 \h </w:instrText>
            </w:r>
            <w:r>
              <w:fldChar w:fldCharType="separate"/>
            </w:r>
            <w:r>
              <w:t>16</w:t>
            </w:r>
            <w:r>
              <w:fldChar w:fldCharType="end"/>
            </w:r>
          </w:hyperlink>
        </w:p>
        <w:p>
          <w:pPr>
            <w:pStyle w:val="12"/>
            <w:ind w:left="720"/>
            <w:tabs>
              <w:tab w:val="right" w:leader="dot" w:pos="9026"/>
            </w:tabs>
            <w:spacing w:before="120" w:after="60"/>
          </w:pPr>
          <w:hyperlink w:anchor="_Toc100056" w:history="1">
            <w:r>
              <w:rPr>
                <w:rStyle w:val="Hyperlink"/>
              </w:rPr>
              <w:t>3.4.1 幂等初始化</w:t>
            </w:r>
            <w:r>
              <w:tab/>
            </w:r>
            <w:r>
              <w:fldChar w:fldCharType="begin"/>
            </w:r>
            <w:r>
              <w:instrText xml:space="preserve"> PAGEREF _Toc100056 \h </w:instrText>
            </w:r>
            <w:r>
              <w:fldChar w:fldCharType="separate"/>
            </w:r>
            <w:r>
              <w:t>16</w:t>
            </w:r>
            <w:r>
              <w:fldChar w:fldCharType="end"/>
            </w:r>
          </w:hyperlink>
        </w:p>
        <w:p>
          <w:pPr>
            <w:pStyle w:val="12"/>
            <w:ind w:left="720"/>
            <w:tabs>
              <w:tab w:val="right" w:leader="dot" w:pos="9026"/>
            </w:tabs>
            <w:spacing w:before="120" w:after="60"/>
          </w:pPr>
          <w:hyperlink w:anchor="_Toc100057" w:history="1">
            <w:r>
              <w:rPr>
                <w:rStyle w:val="Hyperlink"/>
              </w:rPr>
              <w:t>3.4.2 引用完整性校验</w:t>
            </w:r>
            <w:r>
              <w:tab/>
            </w:r>
            <w:r>
              <w:fldChar w:fldCharType="begin"/>
            </w:r>
            <w:r>
              <w:instrText xml:space="preserve"> PAGEREF _Toc100057 \h </w:instrText>
            </w:r>
            <w:r>
              <w:fldChar w:fldCharType="separate"/>
            </w:r>
            <w:r>
              <w:t>17</w:t>
            </w:r>
            <w:r>
              <w:fldChar w:fldCharType="end"/>
            </w:r>
          </w:hyperlink>
        </w:p>
        <w:p>
          <w:pPr>
            <w:pStyle w:val="12"/>
            <w:ind w:left="720"/>
            <w:tabs>
              <w:tab w:val="right" w:leader="dot" w:pos="9026"/>
            </w:tabs>
            <w:spacing w:before="120" w:after="60"/>
          </w:pPr>
          <w:hyperlink w:anchor="_Toc100058" w:history="1">
            <w:r>
              <w:rPr>
                <w:rStyle w:val="Hyperlink"/>
              </w:rPr>
              <w:t>3.4.3 业务保护规则</w:t>
            </w:r>
            <w:r>
              <w:tab/>
            </w:r>
            <w:r>
              <w:fldChar w:fldCharType="begin"/>
            </w:r>
            <w:r>
              <w:instrText xml:space="preserve"> PAGEREF _Toc100058 \h </w:instrText>
            </w:r>
            <w:r>
              <w:fldChar w:fldCharType="separate"/>
            </w:r>
            <w:r>
              <w:t>17</w:t>
            </w:r>
            <w:r>
              <w:fldChar w:fldCharType="end"/>
            </w:r>
          </w:hyperlink>
        </w:p>
        <w:p>
          <w:pPr>
            <w:pStyle w:val="12"/>
            <w:ind w:left="720"/>
            <w:tabs>
              <w:tab w:val="right" w:leader="dot" w:pos="9026"/>
            </w:tabs>
            <w:spacing w:before="120" w:after="60"/>
          </w:pPr>
          <w:hyperlink w:anchor="_Toc100059" w:history="1">
            <w:r>
              <w:rPr>
                <w:rStyle w:val="Hyperlink"/>
              </w:rPr>
              <w:t>3.5 索引与查询性能设计</w:t>
            </w:r>
            <w:r>
              <w:tab/>
            </w:r>
            <w:r>
              <w:fldChar w:fldCharType="begin"/>
            </w:r>
            <w:r>
              <w:instrText xml:space="preserve"> PAGEREF _Toc100059 \h </w:instrText>
            </w:r>
            <w:r>
              <w:fldChar w:fldCharType="separate"/>
            </w:r>
            <w:r>
              <w:t>17</w:t>
            </w:r>
            <w:r>
              <w:fldChar w:fldCharType="end"/>
            </w:r>
          </w:hyperlink>
        </w:p>
        <w:p>
          <w:pPr>
            <w:pStyle w:val="9"/>
            <w:tabs>
              <w:tab w:val="right" w:leader="dot" w:pos="9026"/>
            </w:tabs>
            <w:spacing w:before="120" w:after="60"/>
          </w:pPr>
          <w:hyperlink w:anchor="_Toc100063" w:history="1">
            <w:r>
              <w:rPr>
                <w:rStyle w:val="Hyperlink"/>
              </w:rPr>
              <w:t>第四章 接口设计</w:t>
            </w:r>
            <w:r>
              <w:tab/>
            </w:r>
            <w:r>
              <w:fldChar w:fldCharType="begin"/>
            </w:r>
            <w:r>
              <w:instrText xml:space="preserve"> PAGEREF _Toc100063 \h </w:instrText>
            </w:r>
            <w:r>
              <w:fldChar w:fldCharType="separate"/>
            </w:r>
            <w:r>
              <w:t>18</w:t>
            </w:r>
            <w:r>
              <w:fldChar w:fldCharType="end"/>
            </w:r>
          </w:hyperlink>
        </w:p>
        <w:p>
          <w:pPr>
            <w:pStyle w:val="11"/>
            <w:ind w:left="360"/>
            <w:tabs>
              <w:tab w:val="right" w:leader="dot" w:pos="9026"/>
            </w:tabs>
            <w:spacing w:before="120" w:after="60"/>
          </w:pPr>
          <w:hyperlink w:anchor="_Toc100064" w:history="1">
            <w:r>
              <w:rPr>
                <w:rStyle w:val="Hyperlink"/>
              </w:rPr>
              <w:t>4.1 接口规范</w:t>
            </w:r>
            <w:r>
              <w:tab/>
            </w:r>
            <w:r>
              <w:fldChar w:fldCharType="begin"/>
            </w:r>
            <w:r>
              <w:instrText xml:space="preserve"> PAGEREF _Toc100064 \h </w:instrText>
            </w:r>
            <w:r>
              <w:fldChar w:fldCharType="separate"/>
            </w:r>
            <w:r>
              <w:t>18</w:t>
            </w:r>
            <w:r>
              <w:fldChar w:fldCharType="end"/>
            </w:r>
          </w:hyperlink>
        </w:p>
        <w:p>
          <w:pPr>
            <w:pStyle w:val="12"/>
            <w:ind w:left="720"/>
            <w:tabs>
              <w:tab w:val="right" w:leader="dot" w:pos="9026"/>
            </w:tabs>
            <w:spacing w:before="120" w:after="60"/>
          </w:pPr>
          <w:hyperlink w:anchor="_Toc100065" w:history="1">
            <w:r>
              <w:rPr>
                <w:rStyle w:val="Hyperlink"/>
              </w:rPr>
              <w:t>4.1.1 请求规范</w:t>
            </w:r>
            <w:r>
              <w:tab/>
            </w:r>
            <w:r>
              <w:fldChar w:fldCharType="begin"/>
            </w:r>
            <w:r>
              <w:instrText xml:space="preserve"> PAGEREF _Toc100065 \h </w:instrText>
            </w:r>
            <w:r>
              <w:fldChar w:fldCharType="separate"/>
            </w:r>
            <w:r>
              <w:t>18</w:t>
            </w:r>
            <w:r>
              <w:fldChar w:fldCharType="end"/>
            </w:r>
          </w:hyperlink>
        </w:p>
        <w:p>
          <w:pPr>
            <w:pStyle w:val="12"/>
            <w:ind w:left="720"/>
            <w:tabs>
              <w:tab w:val="right" w:leader="dot" w:pos="9026"/>
            </w:tabs>
            <w:spacing w:before="120" w:after="60"/>
          </w:pPr>
          <w:hyperlink w:anchor="_Toc100066" w:history="1">
            <w:r>
              <w:rPr>
                <w:rStyle w:val="Hyperlink"/>
              </w:rPr>
              <w:t>4.1.2 响应规范</w:t>
            </w:r>
            <w:r>
              <w:tab/>
            </w:r>
            <w:r>
              <w:fldChar w:fldCharType="begin"/>
            </w:r>
            <w:r>
              <w:instrText xml:space="preserve"> PAGEREF _Toc100066 \h </w:instrText>
            </w:r>
            <w:r>
              <w:fldChar w:fldCharType="separate"/>
            </w:r>
            <w:r>
              <w:t>19</w:t>
            </w:r>
            <w:r>
              <w:fldChar w:fldCharType="end"/>
            </w:r>
          </w:hyperlink>
        </w:p>
        <w:p>
          <w:pPr>
            <w:pStyle w:val="12"/>
            <w:ind w:left="720"/>
            <w:tabs>
              <w:tab w:val="right" w:leader="dot" w:pos="9026"/>
            </w:tabs>
            <w:spacing w:before="120" w:after="60"/>
          </w:pPr>
          <w:hyperlink w:anchor="_Toc100067" w:history="1">
            <w:r>
              <w:rPr>
                <w:rStyle w:val="Hyperlink"/>
              </w:rPr>
              <w:t>4.1.3 鉴权机制</w:t>
            </w:r>
            <w:r>
              <w:tab/>
            </w:r>
            <w:r>
              <w:fldChar w:fldCharType="begin"/>
            </w:r>
            <w:r>
              <w:instrText xml:space="preserve"> PAGEREF _Toc100067 \h </w:instrText>
            </w:r>
            <w:r>
              <w:fldChar w:fldCharType="separate"/>
            </w:r>
            <w:r>
              <w:t>19</w:t>
            </w:r>
            <w:r>
              <w:fldChar w:fldCharType="end"/>
            </w:r>
          </w:hyperlink>
        </w:p>
        <w:p>
          <w:pPr>
            <w:pStyle w:val="12"/>
            <w:ind w:left="720"/>
            <w:tabs>
              <w:tab w:val="right" w:leader="dot" w:pos="9026"/>
            </w:tabs>
            <w:spacing w:before="120" w:after="60"/>
          </w:pPr>
          <w:hyperlink w:anchor="_Toc100068" w:history="1">
            <w:r>
              <w:rPr>
                <w:rStyle w:val="Hyperlink"/>
              </w:rPr>
              <w:t>4.1.4 通用错误响应</w:t>
            </w:r>
            <w:r>
              <w:tab/>
            </w:r>
            <w:r>
              <w:fldChar w:fldCharType="begin"/>
            </w:r>
            <w:r>
              <w:instrText xml:space="preserve"> PAGEREF _Toc100068 \h </w:instrText>
            </w:r>
            <w:r>
              <w:fldChar w:fldCharType="separate"/>
            </w:r>
            <w:r>
              <w:t>19</w:t>
            </w:r>
            <w:r>
              <w:fldChar w:fldCharType="end"/>
            </w:r>
          </w:hyperlink>
        </w:p>
        <w:p>
          <w:pPr>
            <w:pStyle w:val="11"/>
            <w:ind w:left="360"/>
            <w:tabs>
              <w:tab w:val="right" w:leader="dot" w:pos="9026"/>
            </w:tabs>
            <w:spacing w:before="120" w:after="60"/>
          </w:pPr>
          <w:hyperlink w:anchor="_Toc100069" w:history="1">
            <w:r>
              <w:rPr>
                <w:rStyle w:val="Hyperlink"/>
              </w:rPr>
              <w:t>4.2 认证与账号接口</w:t>
            </w:r>
            <w:r>
              <w:tab/>
            </w:r>
            <w:r>
              <w:fldChar w:fldCharType="begin"/>
            </w:r>
            <w:r>
              <w:instrText xml:space="preserve"> PAGEREF _Toc100069 \h </w:instrText>
            </w:r>
            <w:r>
              <w:fldChar w:fldCharType="separate"/>
            </w:r>
            <w:r>
              <w:t>20</w:t>
            </w:r>
            <w:r>
              <w:fldChar w:fldCharType="end"/>
            </w:r>
          </w:hyperlink>
        </w:p>
        <w:p>
          <w:pPr>
            <w:pStyle w:val="11"/>
            <w:ind w:left="360"/>
            <w:tabs>
              <w:tab w:val="right" w:leader="dot" w:pos="9026"/>
            </w:tabs>
            <w:spacing w:before="120" w:after="60"/>
          </w:pPr>
          <w:hyperlink w:anchor="_Toc100070" w:history="1">
            <w:r>
              <w:rPr>
                <w:rStyle w:val="Hyperlink"/>
              </w:rPr>
              <w:t>4.3 回收订单接口</w:t>
            </w:r>
            <w:r>
              <w:tab/>
            </w:r>
            <w:r>
              <w:fldChar w:fldCharType="begin"/>
            </w:r>
            <w:r>
              <w:instrText xml:space="preserve"> PAGEREF _Toc100070 \h </w:instrText>
            </w:r>
            <w:r>
              <w:fldChar w:fldCharType="separate"/>
            </w:r>
            <w:r>
              <w:t>20</w:t>
            </w:r>
            <w:r>
              <w:fldChar w:fldCharType="end"/>
            </w:r>
          </w:hyperlink>
        </w:p>
        <w:p>
          <w:pPr>
            <w:pStyle w:val="11"/>
            <w:ind w:left="360"/>
            <w:tabs>
              <w:tab w:val="right" w:leader="dot" w:pos="9026"/>
            </w:tabs>
            <w:spacing w:before="120" w:after="60"/>
          </w:pPr>
          <w:hyperlink w:anchor="_Toc100071" w:history="1">
            <w:r>
              <w:rPr>
                <w:rStyle w:val="Hyperlink"/>
              </w:rPr>
              <w:t>4.4 配价库接口</w:t>
            </w:r>
            <w:r>
              <w:tab/>
            </w:r>
            <w:r>
              <w:fldChar w:fldCharType="begin"/>
            </w:r>
            <w:r>
              <w:instrText xml:space="preserve"> PAGEREF _Toc100071 \h </w:instrText>
            </w:r>
            <w:r>
              <w:fldChar w:fldCharType="separate"/>
            </w:r>
            <w:r>
              <w:t>20</w:t>
            </w:r>
            <w:r>
              <w:fldChar w:fldCharType="end"/>
            </w:r>
          </w:hyperlink>
        </w:p>
        <w:p>
          <w:pPr>
            <w:pStyle w:val="11"/>
            <w:ind w:left="360"/>
            <w:tabs>
              <w:tab w:val="right" w:leader="dot" w:pos="9026"/>
            </w:tabs>
            <w:spacing w:before="120" w:after="60"/>
          </w:pPr>
          <w:hyperlink w:anchor="_Toc100072" w:history="1">
            <w:r>
              <w:rPr>
                <w:rStyle w:val="Hyperlink"/>
              </w:rPr>
              <w:t>4.5 平台与链接接口</w:t>
            </w:r>
            <w:r>
              <w:tab/>
            </w:r>
            <w:r>
              <w:fldChar w:fldCharType="begin"/>
            </w:r>
            <w:r>
              <w:instrText xml:space="preserve"> PAGEREF _Toc100072 \h </w:instrText>
            </w:r>
            <w:r>
              <w:fldChar w:fldCharType="separate"/>
            </w:r>
            <w:r>
              <w:t>20</w:t>
            </w:r>
            <w:r>
              <w:fldChar w:fldCharType="end"/>
            </w:r>
          </w:hyperlink>
        </w:p>
        <w:p>
          <w:pPr>
            <w:pStyle w:val="11"/>
            <w:ind w:left="360"/>
            <w:tabs>
              <w:tab w:val="right" w:leader="dot" w:pos="9026"/>
            </w:tabs>
            <w:spacing w:before="120" w:after="60"/>
          </w:pPr>
          <w:hyperlink w:anchor="_Toc100073" w:history="1">
            <w:r>
              <w:rPr>
                <w:rStyle w:val="Hyperlink"/>
              </w:rPr>
              <w:t>4.6 统计接口</w:t>
            </w:r>
            <w:r>
              <w:tab/>
            </w:r>
            <w:r>
              <w:fldChar w:fldCharType="begin"/>
            </w:r>
            <w:r>
              <w:instrText xml:space="preserve"> PAGEREF _Toc100073 \h </w:instrText>
            </w:r>
            <w:r>
              <w:fldChar w:fldCharType="separate"/>
            </w:r>
            <w:r>
              <w:t>21</w:t>
            </w:r>
            <w:r>
              <w:fldChar w:fldCharType="end"/>
            </w:r>
          </w:hyperlink>
        </w:p>
        <w:p>
          <w:pPr>
            <w:pStyle w:val="11"/>
            <w:ind w:left="360"/>
            <w:tabs>
              <w:tab w:val="right" w:leader="dot" w:pos="9026"/>
            </w:tabs>
            <w:spacing w:before="120" w:after="60"/>
          </w:pPr>
          <w:hyperlink w:anchor="_Toc100074" w:history="1">
            <w:r>
              <w:rPr>
                <w:rStyle w:val="Hyperlink"/>
              </w:rPr>
              <w:t>4.7 系统设置与日志接口</w:t>
            </w:r>
            <w:r>
              <w:tab/>
            </w:r>
            <w:r>
              <w:fldChar w:fldCharType="begin"/>
            </w:r>
            <w:r>
              <w:instrText xml:space="preserve"> PAGEREF _Toc100074 \h </w:instrText>
            </w:r>
            <w:r>
              <w:fldChar w:fldCharType="separate"/>
            </w:r>
            <w:r>
              <w:t>21</w:t>
            </w:r>
            <w:r>
              <w:fldChar w:fldCharType="end"/>
            </w:r>
          </w:hyperlink>
        </w:p>
        <w:p>
          <w:pPr>
            <w:pStyle w:val="11"/>
            <w:ind w:left="360"/>
            <w:tabs>
              <w:tab w:val="right" w:leader="dot" w:pos="9026"/>
            </w:tabs>
            <w:spacing w:before="120" w:after="60"/>
          </w:pPr>
          <w:hyperlink w:anchor="_Toc100075" w:history="1">
            <w:r>
              <w:rPr>
                <w:rStyle w:val="Hyperlink"/>
              </w:rPr>
              <w:t>4.8 小程序端公开接口</w:t>
            </w:r>
            <w:r>
              <w:tab/>
            </w:r>
            <w:r>
              <w:fldChar w:fldCharType="begin"/>
            </w:r>
            <w:r>
              <w:instrText xml:space="preserve"> PAGEREF _Toc100075 \h </w:instrText>
            </w:r>
            <w:r>
              <w:fldChar w:fldCharType="separate"/>
            </w:r>
            <w:r>
              <w:t>21</w:t>
            </w:r>
            <w:r>
              <w:fldChar w:fldCharType="end"/>
            </w:r>
          </w:hyperlink>
        </w:p>
        <w:p>
          <w:pPr>
            <w:pStyle w:val="9"/>
            <w:tabs>
              <w:tab w:val="right" w:leader="dot" w:pos="9026"/>
            </w:tabs>
            <w:spacing w:before="120" w:after="60"/>
          </w:pPr>
          <w:hyperlink w:anchor="_Toc100076" w:history="1">
            <w:r>
              <w:rPr>
                <w:rStyle w:val="Hyperlink"/>
              </w:rPr>
              <w:t>第五章 小程序端功能设计与说明</w:t>
            </w:r>
            <w:r>
              <w:tab/>
            </w:r>
            <w:r>
              <w:fldChar w:fldCharType="begin"/>
            </w:r>
            <w:r>
              <w:instrText xml:space="preserve"> PAGEREF _Toc100076 \h </w:instrText>
            </w:r>
            <w:r>
              <w:fldChar w:fldCharType="separate"/>
            </w:r>
            <w:r>
              <w:t>21</w:t>
            </w:r>
            <w:r>
              <w:fldChar w:fldCharType="end"/>
            </w:r>
          </w:hyperlink>
        </w:p>
        <w:p>
          <w:pPr>
            <w:pStyle w:val="11"/>
            <w:ind w:left="360"/>
            <w:tabs>
              <w:tab w:val="right" w:leader="dot" w:pos="9026"/>
            </w:tabs>
            <w:spacing w:before="120" w:after="60"/>
          </w:pPr>
          <w:hyperlink w:anchor="_Toc100077" w:history="1">
            <w:r>
              <w:rPr>
                <w:rStyle w:val="Hyperlink"/>
              </w:rPr>
              <w:t>5.1 回收主页</w:t>
            </w:r>
            <w:r>
              <w:tab/>
            </w:r>
            <w:r>
              <w:fldChar w:fldCharType="begin"/>
            </w:r>
            <w:r>
              <w:instrText xml:space="preserve"> PAGEREF _Toc100077 \h </w:instrText>
            </w:r>
            <w:r>
              <w:fldChar w:fldCharType="separate"/>
            </w:r>
            <w:r>
              <w:t>22</w:t>
            </w:r>
            <w:r>
              <w:fldChar w:fldCharType="end"/>
            </w:r>
          </w:hyperlink>
        </w:p>
        <w:p>
          <w:pPr>
            <w:pStyle w:val="12"/>
            <w:ind w:left="720"/>
            <w:tabs>
              <w:tab w:val="right" w:leader="dot" w:pos="9026"/>
            </w:tabs>
            <w:spacing w:before="120" w:after="60"/>
          </w:pPr>
          <w:hyperlink w:anchor="_Toc100078" w:history="1">
            <w:r>
              <w:rPr>
                <w:rStyle w:val="Hyperlink"/>
              </w:rPr>
              <w:t>5.1.1 页面布局与视觉设计</w:t>
            </w:r>
            <w:r>
              <w:tab/>
            </w:r>
            <w:r>
              <w:fldChar w:fldCharType="begin"/>
            </w:r>
            <w:r>
              <w:instrText xml:space="preserve"> PAGEREF _Toc100078 \h </w:instrText>
            </w:r>
            <w:r>
              <w:fldChar w:fldCharType="separate"/>
            </w:r>
            <w:r>
              <w:t>22</w:t>
            </w:r>
            <w:r>
              <w:fldChar w:fldCharType="end"/>
            </w:r>
          </w:hyperlink>
        </w:p>
        <w:p>
          <w:pPr>
            <w:pStyle w:val="12"/>
            <w:ind w:left="720"/>
            <w:tabs>
              <w:tab w:val="right" w:leader="dot" w:pos="9026"/>
            </w:tabs>
            <w:spacing w:before="120" w:after="60"/>
          </w:pPr>
          <w:hyperlink w:anchor="_Toc100082" w:history="1">
            <w:r>
              <w:rPr>
                <w:rStyle w:val="Hyperlink"/>
              </w:rPr>
              <w:t>5.1.2 分类浏览</w:t>
            </w:r>
            <w:r>
              <w:tab/>
            </w:r>
            <w:r>
              <w:fldChar w:fldCharType="begin"/>
            </w:r>
            <w:r>
              <w:instrText xml:space="preserve"> PAGEREF _Toc100082 \h </w:instrText>
            </w:r>
            <w:r>
              <w:fldChar w:fldCharType="separate"/>
            </w:r>
            <w:r>
              <w:t>23</w:t>
            </w:r>
            <w:r>
              <w:fldChar w:fldCharType="end"/>
            </w:r>
          </w:hyperlink>
        </w:p>
        <w:p>
          <w:pPr>
            <w:pStyle w:val="12"/>
            <w:ind w:left="720"/>
            <w:tabs>
              <w:tab w:val="right" w:leader="dot" w:pos="9026"/>
            </w:tabs>
            <w:spacing w:before="120" w:after="60"/>
          </w:pPr>
          <w:hyperlink w:anchor="_Toc100085" w:history="1">
            <w:r>
              <w:rPr>
                <w:rStyle w:val="Hyperlink"/>
              </w:rPr>
              <w:t>5.1.3 型号选择与估价入口</w:t>
            </w:r>
            <w:r>
              <w:tab/>
            </w:r>
            <w:r>
              <w:fldChar w:fldCharType="begin"/>
            </w:r>
            <w:r>
              <w:instrText xml:space="preserve"> PAGEREF _Toc100085 \h </w:instrText>
            </w:r>
            <w:r>
              <w:fldChar w:fldCharType="separate"/>
            </w:r>
            <w:r>
              <w:t>23</w:t>
            </w:r>
            <w:r>
              <w:fldChar w:fldCharType="end"/>
            </w:r>
          </w:hyperlink>
        </w:p>
        <w:p>
          <w:pPr>
            <w:pStyle w:val="12"/>
            <w:ind w:left="720"/>
            <w:tabs>
              <w:tab w:val="right" w:leader="dot" w:pos="9026"/>
            </w:tabs>
            <w:spacing w:before="120" w:after="60"/>
          </w:pPr>
          <w:hyperlink w:anchor="_Toc100088" w:history="1">
            <w:r>
              <w:rPr>
                <w:rStyle w:val="Hyperlink"/>
              </w:rPr>
              <w:t>5.1.4 全局型号搜索</w:t>
            </w:r>
            <w:r>
              <w:tab/>
            </w:r>
            <w:r>
              <w:fldChar w:fldCharType="begin"/>
            </w:r>
            <w:r>
              <w:instrText xml:space="preserve"> PAGEREF _Toc100088 \h </w:instrText>
            </w:r>
            <w:r>
              <w:fldChar w:fldCharType="separate"/>
            </w:r>
            <w:r>
              <w:t>24</w:t>
            </w:r>
            <w:r>
              <w:fldChar w:fldCharType="end"/>
            </w:r>
          </w:hyperlink>
        </w:p>
        <w:p>
          <w:pPr>
            <w:pStyle w:val="12"/>
            <w:ind w:left="720"/>
            <w:tabs>
              <w:tab w:val="right" w:leader="dot" w:pos="9026"/>
            </w:tabs>
            <w:spacing w:before="120" w:after="60"/>
          </w:pPr>
          <w:hyperlink w:anchor="_Toc100094" w:history="1">
            <w:r>
              <w:rPr>
                <w:rStyle w:val="Hyperlink"/>
              </w:rPr>
              <w:t>5.1.5 平台比价</w:t>
            </w:r>
            <w:r>
              <w:tab/>
            </w:r>
            <w:r>
              <w:fldChar w:fldCharType="begin"/>
            </w:r>
            <w:r>
              <w:instrText xml:space="preserve"> PAGEREF _Toc100094 \h </w:instrText>
            </w:r>
            <w:r>
              <w:fldChar w:fldCharType="separate"/>
            </w:r>
            <w:r>
              <w:t>26</w:t>
            </w:r>
            <w:r>
              <w:fldChar w:fldCharType="end"/>
            </w:r>
          </w:hyperlink>
        </w:p>
        <w:p>
          <w:pPr>
            <w:pStyle w:val="12"/>
            <w:ind w:left="720"/>
            <w:tabs>
              <w:tab w:val="right" w:leader="dot" w:pos="9026"/>
            </w:tabs>
            <w:spacing w:before="120" w:after="60"/>
          </w:pPr>
          <w:hyperlink w:anchor="_Toc100098" w:history="1">
            <w:r>
              <w:rPr>
                <w:rStyle w:val="Hyperlink"/>
              </w:rPr>
              <w:t>5.1.6 云端配价加载机制</w:t>
            </w:r>
            <w:r>
              <w:tab/>
            </w:r>
            <w:r>
              <w:fldChar w:fldCharType="begin"/>
            </w:r>
            <w:r>
              <w:instrText xml:space="preserve"> PAGEREF _Toc100098 \h </w:instrText>
            </w:r>
            <w:r>
              <w:fldChar w:fldCharType="separate"/>
            </w:r>
            <w:r>
              <w:t>26</w:t>
            </w:r>
            <w:r>
              <w:fldChar w:fldCharType="end"/>
            </w:r>
          </w:hyperlink>
        </w:p>
        <w:p>
          <w:pPr>
            <w:pStyle w:val="11"/>
            <w:ind w:left="360"/>
            <w:tabs>
              <w:tab w:val="right" w:leader="dot" w:pos="9026"/>
            </w:tabs>
            <w:spacing w:before="120" w:after="60"/>
          </w:pPr>
          <w:hyperlink w:anchor="_Toc100103" w:history="1">
            <w:r>
              <w:rPr>
                <w:rStyle w:val="Hyperlink"/>
              </w:rPr>
              <w:t>5.2 估价引导</w:t>
            </w:r>
            <w:r>
              <w:tab/>
            </w:r>
            <w:r>
              <w:fldChar w:fldCharType="begin"/>
            </w:r>
            <w:r>
              <w:instrText xml:space="preserve"> PAGEREF _Toc100103 \h </w:instrText>
            </w:r>
            <w:r>
              <w:fldChar w:fldCharType="separate"/>
            </w:r>
            <w:r>
              <w:t>28</w:t>
            </w:r>
            <w:r>
              <w:fldChar w:fldCharType="end"/>
            </w:r>
          </w:hyperlink>
        </w:p>
        <w:p>
          <w:pPr>
            <w:pStyle w:val="12"/>
            <w:ind w:left="720"/>
            <w:tabs>
              <w:tab w:val="right" w:leader="dot" w:pos="9026"/>
            </w:tabs>
            <w:spacing w:before="120" w:after="60"/>
          </w:pPr>
          <w:hyperlink w:anchor="_Toc100104" w:history="1">
            <w:r>
              <w:rPr>
                <w:rStyle w:val="Hyperlink"/>
              </w:rPr>
              <w:t>5.2.1 评估流程设计</w:t>
            </w:r>
            <w:r>
              <w:tab/>
            </w:r>
            <w:r>
              <w:fldChar w:fldCharType="begin"/>
            </w:r>
            <w:r>
              <w:instrText xml:space="preserve"> PAGEREF _Toc100104 \h </w:instrText>
            </w:r>
            <w:r>
              <w:fldChar w:fldCharType="separate"/>
            </w:r>
            <w:r>
              <w:t>28</w:t>
            </w:r>
            <w:r>
              <w:fldChar w:fldCharType="end"/>
            </w:r>
          </w:hyperlink>
        </w:p>
        <w:p>
          <w:pPr>
            <w:pStyle w:val="12"/>
            <w:ind w:left="720"/>
            <w:tabs>
              <w:tab w:val="right" w:leader="dot" w:pos="9026"/>
            </w:tabs>
            <w:spacing w:before="120" w:after="60"/>
          </w:pPr>
          <w:hyperlink w:anchor="_Toc100108" w:history="1">
            <w:r>
              <w:rPr>
                <w:rStyle w:val="Hyperlink"/>
              </w:rPr>
              <w:t>5.2.2 评估因子设计</w:t>
            </w:r>
            <w:r>
              <w:tab/>
            </w:r>
            <w:r>
              <w:fldChar w:fldCharType="begin"/>
            </w:r>
            <w:r>
              <w:instrText xml:space="preserve"> PAGEREF _Toc100108 \h </w:instrText>
            </w:r>
            <w:r>
              <w:fldChar w:fldCharType="separate"/>
            </w:r>
            <w:r>
              <w:t>29</w:t>
            </w:r>
            <w:r>
              <w:fldChar w:fldCharType="end"/>
            </w:r>
          </w:hyperlink>
        </w:p>
        <w:p>
          <w:pPr>
            <w:pStyle w:val="12"/>
            <w:ind w:left="720"/>
            <w:tabs>
              <w:tab w:val="right" w:leader="dot" w:pos="9026"/>
            </w:tabs>
            <w:spacing w:before="120" w:after="60"/>
          </w:pPr>
          <w:hyperlink w:anchor="_Toc100109" w:history="1">
            <w:r>
              <w:rPr>
                <w:rStyle w:val="Hyperlink"/>
              </w:rPr>
              <w:t>5.2.3 本地估价算法</w:t>
            </w:r>
            <w:r>
              <w:tab/>
            </w:r>
            <w:r>
              <w:fldChar w:fldCharType="begin"/>
            </w:r>
            <w:r>
              <w:instrText xml:space="preserve"> PAGEREF _Toc100109 \h </w:instrText>
            </w:r>
            <w:r>
              <w:fldChar w:fldCharType="separate"/>
            </w:r>
            <w:r>
              <w:t>29</w:t>
            </w:r>
            <w:r>
              <w:fldChar w:fldCharType="end"/>
            </w:r>
          </w:hyperlink>
        </w:p>
        <w:p>
          <w:pPr>
            <w:pStyle w:val="12"/>
            <w:ind w:left="720"/>
            <w:tabs>
              <w:tab w:val="right" w:leader="dot" w:pos="9026"/>
            </w:tabs>
            <w:spacing w:before="120" w:after="60"/>
          </w:pPr>
          <w:hyperlink w:anchor="_Toc100113" w:history="1">
            <w:r>
              <w:rPr>
                <w:rStyle w:val="Hyperlink"/>
              </w:rPr>
              <w:t>5.2.4 AI 大模型辅助估价</w:t>
            </w:r>
            <w:r>
              <w:tab/>
            </w:r>
            <w:r>
              <w:fldChar w:fldCharType="begin"/>
            </w:r>
            <w:r>
              <w:instrText xml:space="preserve"> PAGEREF _Toc100113 \h </w:instrText>
            </w:r>
            <w:r>
              <w:fldChar w:fldCharType="separate"/>
            </w:r>
            <w:r>
              <w:t>30</w:t>
            </w:r>
            <w:r>
              <w:fldChar w:fldCharType="end"/>
            </w:r>
          </w:hyperlink>
        </w:p>
        <w:p>
          <w:pPr>
            <w:pStyle w:val="12"/>
            <w:ind w:left="720"/>
            <w:tabs>
              <w:tab w:val="right" w:leader="dot" w:pos="9026"/>
            </w:tabs>
            <w:spacing w:before="120" w:after="60"/>
          </w:pPr>
          <w:hyperlink w:anchor="_Toc100118" w:history="1">
            <w:r>
              <w:rPr>
                <w:rStyle w:val="Hyperlink"/>
              </w:rPr>
              <w:t>5.2.5 估价配置热更新</w:t>
            </w:r>
            <w:r>
              <w:tab/>
            </w:r>
            <w:r>
              <w:fldChar w:fldCharType="begin"/>
            </w:r>
            <w:r>
              <w:instrText xml:space="preserve"> PAGEREF _Toc100118 \h </w:instrText>
            </w:r>
            <w:r>
              <w:fldChar w:fldCharType="separate"/>
            </w:r>
            <w:r>
              <w:t>31</w:t>
            </w:r>
            <w:r>
              <w:fldChar w:fldCharType="end"/>
            </w:r>
          </w:hyperlink>
        </w:p>
        <w:p>
          <w:pPr>
            <w:pStyle w:val="12"/>
            <w:ind w:left="720"/>
            <w:tabs>
              <w:tab w:val="right" w:leader="dot" w:pos="9026"/>
            </w:tabs>
            <w:spacing w:before="120" w:after="60"/>
          </w:pPr>
          <w:hyperlink w:anchor="_Toc100119" w:history="1">
            <w:r>
              <w:rPr>
                <w:rStyle w:val="Hyperlink"/>
              </w:rPr>
              <w:t>5.2.6 回收地址选择</w:t>
            </w:r>
            <w:r>
              <w:tab/>
            </w:r>
            <w:r>
              <w:fldChar w:fldCharType="begin"/>
            </w:r>
            <w:r>
              <w:instrText xml:space="preserve"> PAGEREF _Toc100119 \h </w:instrText>
            </w:r>
            <w:r>
              <w:fldChar w:fldCharType="separate"/>
            </w:r>
            <w:r>
              <w:t>32</w:t>
            </w:r>
            <w:r>
              <w:fldChar w:fldCharType="end"/>
            </w:r>
          </w:hyperlink>
        </w:p>
        <w:p>
          <w:pPr>
            <w:pStyle w:val="12"/>
            <w:ind w:left="720"/>
            <w:tabs>
              <w:tab w:val="right" w:leader="dot" w:pos="9026"/>
            </w:tabs>
            <w:spacing w:before="120" w:after="60"/>
          </w:pPr>
          <w:hyperlink w:anchor="_Toc100123" w:history="1">
            <w:r>
              <w:rPr>
                <w:rStyle w:val="Hyperlink"/>
              </w:rPr>
              <w:t>5.2.7 订单提交与确认</w:t>
            </w:r>
            <w:r>
              <w:tab/>
            </w:r>
            <w:r>
              <w:fldChar w:fldCharType="begin"/>
            </w:r>
            <w:r>
              <w:instrText xml:space="preserve"> PAGEREF _Toc100123 \h </w:instrText>
            </w:r>
            <w:r>
              <w:fldChar w:fldCharType="separate"/>
            </w:r>
            <w:r>
              <w:t>33</w:t>
            </w:r>
            <w:r>
              <w:fldChar w:fldCharType="end"/>
            </w:r>
          </w:hyperlink>
        </w:p>
        <w:p>
          <w:pPr>
            <w:pStyle w:val="11"/>
            <w:ind w:left="360"/>
            <w:tabs>
              <w:tab w:val="right" w:leader="dot" w:pos="9026"/>
            </w:tabs>
            <w:spacing w:before="120" w:after="60"/>
          </w:pPr>
          <w:hyperlink w:anchor="_Toc100128" w:history="1">
            <w:r>
              <w:rPr>
                <w:rStyle w:val="Hyperlink"/>
              </w:rPr>
              <w:t>5.3 小程序端关键实现机制</w:t>
            </w:r>
            <w:r>
              <w:tab/>
            </w:r>
            <w:r>
              <w:fldChar w:fldCharType="begin"/>
            </w:r>
            <w:r>
              <w:instrText xml:space="preserve"> PAGEREF _Toc100128 \h </w:instrText>
            </w:r>
            <w:r>
              <w:fldChar w:fldCharType="separate"/>
            </w:r>
            <w:r>
              <w:t>34</w:t>
            </w:r>
            <w:r>
              <w:fldChar w:fldCharType="end"/>
            </w:r>
          </w:hyperlink>
        </w:p>
        <w:p>
          <w:pPr>
            <w:pStyle w:val="12"/>
            <w:ind w:left="720"/>
            <w:tabs>
              <w:tab w:val="right" w:leader="dot" w:pos="9026"/>
            </w:tabs>
            <w:spacing w:before="120" w:after="60"/>
          </w:pPr>
          <w:hyperlink w:anchor="_Toc100129" w:history="1">
            <w:r>
              <w:rPr>
                <w:rStyle w:val="Hyperlink"/>
              </w:rPr>
              <w:t>5.3.1 目录渲染管线实现</w:t>
            </w:r>
            <w:r>
              <w:tab/>
            </w:r>
            <w:r>
              <w:fldChar w:fldCharType="begin"/>
            </w:r>
            <w:r>
              <w:instrText xml:space="preserve"> PAGEREF _Toc100129 \h </w:instrText>
            </w:r>
            <w:r>
              <w:fldChar w:fldCharType="separate"/>
            </w:r>
            <w:r>
              <w:t>34</w:t>
            </w:r>
            <w:r>
              <w:fldChar w:fldCharType="end"/>
            </w:r>
          </w:hyperlink>
        </w:p>
        <w:p>
          <w:pPr>
            <w:pStyle w:val="12"/>
            <w:ind w:left="720"/>
            <w:tabs>
              <w:tab w:val="right" w:leader="dot" w:pos="9026"/>
            </w:tabs>
            <w:spacing w:before="120" w:after="60"/>
          </w:pPr>
          <w:hyperlink w:anchor="_Toc100130" w:history="1">
            <w:r>
              <w:rPr>
                <w:rStyle w:val="Hyperlink"/>
              </w:rPr>
              <w:t>5.3.2 搜索匹配算法实现</w:t>
            </w:r>
            <w:r>
              <w:tab/>
            </w:r>
            <w:r>
              <w:fldChar w:fldCharType="begin"/>
            </w:r>
            <w:r>
              <w:instrText xml:space="preserve"> PAGEREF _Toc100130 \h </w:instrText>
            </w:r>
            <w:r>
              <w:fldChar w:fldCharType="separate"/>
            </w:r>
            <w:r>
              <w:t>34</w:t>
            </w:r>
            <w:r>
              <w:fldChar w:fldCharType="end"/>
            </w:r>
          </w:hyperlink>
        </w:p>
        <w:p>
          <w:pPr>
            <w:pStyle w:val="12"/>
            <w:ind w:left="720"/>
            <w:tabs>
              <w:tab w:val="right" w:leader="dot" w:pos="9026"/>
            </w:tabs>
            <w:spacing w:before="120" w:after="60"/>
          </w:pPr>
          <w:hyperlink w:anchor="_Toc100131" w:history="1">
            <w:r>
              <w:rPr>
                <w:rStyle w:val="Hyperlink"/>
              </w:rPr>
              <w:t>5.3.3 估价引擎实现</w:t>
            </w:r>
            <w:r>
              <w:tab/>
            </w:r>
            <w:r>
              <w:fldChar w:fldCharType="begin"/>
            </w:r>
            <w:r>
              <w:instrText xml:space="preserve"> PAGEREF _Toc100131 \h </w:instrText>
            </w:r>
            <w:r>
              <w:fldChar w:fldCharType="separate"/>
            </w:r>
            <w:r>
              <w:t>35</w:t>
            </w:r>
            <w:r>
              <w:fldChar w:fldCharType="end"/>
            </w:r>
          </w:hyperlink>
        </w:p>
        <w:p>
          <w:pPr>
            <w:pStyle w:val="12"/>
            <w:ind w:left="720"/>
            <w:tabs>
              <w:tab w:val="right" w:leader="dot" w:pos="9026"/>
            </w:tabs>
            <w:spacing w:before="120" w:after="60"/>
          </w:pPr>
          <w:hyperlink w:anchor="_Toc100132" w:history="1">
            <w:r>
              <w:rPr>
                <w:rStyle w:val="Hyperlink"/>
              </w:rPr>
              <w:t>5.3.4 云端目录加载实现</w:t>
            </w:r>
            <w:r>
              <w:tab/>
            </w:r>
            <w:r>
              <w:fldChar w:fldCharType="begin"/>
            </w:r>
            <w:r>
              <w:instrText xml:space="preserve"> PAGEREF _Toc100132 \h </w:instrText>
            </w:r>
            <w:r>
              <w:fldChar w:fldCharType="separate"/>
            </w:r>
            <w:r>
              <w:t>35</w:t>
            </w:r>
            <w:r>
              <w:fldChar w:fldCharType="end"/>
            </w:r>
          </w:hyperlink>
        </w:p>
        <w:p>
          <w:pPr>
            <w:pStyle w:val="12"/>
            <w:ind w:left="720"/>
            <w:tabs>
              <w:tab w:val="right" w:leader="dot" w:pos="9026"/>
            </w:tabs>
            <w:spacing w:before="120" w:after="60"/>
          </w:pPr>
          <w:hyperlink w:anchor="_Toc100133" w:history="1">
            <w:r>
              <w:rPr>
                <w:rStyle w:val="Hyperlink"/>
              </w:rPr>
              <w:t>5.3.5 订单提交链路实现</w:t>
            </w:r>
            <w:r>
              <w:tab/>
            </w:r>
            <w:r>
              <w:fldChar w:fldCharType="begin"/>
            </w:r>
            <w:r>
              <w:instrText xml:space="preserve"> PAGEREF _Toc100133 \h </w:instrText>
            </w:r>
            <w:r>
              <w:fldChar w:fldCharType="separate"/>
            </w:r>
            <w:r>
              <w:t>35</w:t>
            </w:r>
            <w:r>
              <w:fldChar w:fldCharType="end"/>
            </w:r>
          </w:hyperlink>
        </w:p>
        <w:p>
          <w:pPr>
            <w:pStyle w:val="9"/>
            <w:tabs>
              <w:tab w:val="right" w:leader="dot" w:pos="9026"/>
            </w:tabs>
            <w:spacing w:before="120" w:after="60"/>
          </w:pPr>
          <w:hyperlink w:anchor="_Toc100134" w:history="1">
            <w:r>
              <w:rPr>
                <w:rStyle w:val="Hyperlink"/>
              </w:rPr>
              <w:t>第六章 管理后台功能设计与说明</w:t>
            </w:r>
            <w:r>
              <w:tab/>
            </w:r>
            <w:r>
              <w:fldChar w:fldCharType="begin"/>
            </w:r>
            <w:r>
              <w:instrText xml:space="preserve"> PAGEREF _Toc100134 \h </w:instrText>
            </w:r>
            <w:r>
              <w:fldChar w:fldCharType="separate"/>
            </w:r>
            <w:r>
              <w:t>35</w:t>
            </w:r>
            <w:r>
              <w:fldChar w:fldCharType="end"/>
            </w:r>
          </w:hyperlink>
        </w:p>
        <w:p>
          <w:pPr>
            <w:pStyle w:val="11"/>
            <w:ind w:left="360"/>
            <w:tabs>
              <w:tab w:val="right" w:leader="dot" w:pos="9026"/>
            </w:tabs>
            <w:spacing w:before="120" w:after="60"/>
          </w:pPr>
          <w:hyperlink w:anchor="_Toc100135" w:history="1">
            <w:r>
              <w:rPr>
                <w:rStyle w:val="Hyperlink"/>
              </w:rPr>
              <w:t>6.1 登录与认证</w:t>
            </w:r>
            <w:r>
              <w:tab/>
            </w:r>
            <w:r>
              <w:fldChar w:fldCharType="begin"/>
            </w:r>
            <w:r>
              <w:instrText xml:space="preserve"> PAGEREF _Toc100135 \h </w:instrText>
            </w:r>
            <w:r>
              <w:fldChar w:fldCharType="separate"/>
            </w:r>
            <w:r>
              <w:t>36</w:t>
            </w:r>
            <w:r>
              <w:fldChar w:fldCharType="end"/>
            </w:r>
          </w:hyperlink>
        </w:p>
        <w:p>
          <w:pPr>
            <w:pStyle w:val="12"/>
            <w:ind w:left="720"/>
            <w:tabs>
              <w:tab w:val="right" w:leader="dot" w:pos="9026"/>
            </w:tabs>
            <w:spacing w:before="120" w:after="60"/>
          </w:pPr>
          <w:hyperlink w:anchor="_Toc100136" w:history="1">
            <w:r>
              <w:rPr>
                <w:rStyle w:val="Hyperlink"/>
              </w:rPr>
              <w:t>6.1.1 账号密码登录</w:t>
            </w:r>
            <w:r>
              <w:tab/>
            </w:r>
            <w:r>
              <w:fldChar w:fldCharType="begin"/>
            </w:r>
            <w:r>
              <w:instrText xml:space="preserve"> PAGEREF _Toc100136 \h </w:instrText>
            </w:r>
            <w:r>
              <w:fldChar w:fldCharType="separate"/>
            </w:r>
            <w:r>
              <w:t>36</w:t>
            </w:r>
            <w:r>
              <w:fldChar w:fldCharType="end"/>
            </w:r>
          </w:hyperlink>
        </w:p>
        <w:p>
          <w:pPr>
            <w:pStyle w:val="12"/>
            <w:ind w:left="720"/>
            <w:tabs>
              <w:tab w:val="right" w:leader="dot" w:pos="9026"/>
            </w:tabs>
            <w:spacing w:before="120" w:after="60"/>
          </w:pPr>
          <w:hyperlink w:anchor="_Toc100139" w:history="1">
            <w:r>
              <w:rPr>
                <w:rStyle w:val="Hyperlink"/>
              </w:rPr>
              <w:t>6.1.2 单点登录</w:t>
            </w:r>
            <w:r>
              <w:tab/>
            </w:r>
            <w:r>
              <w:fldChar w:fldCharType="begin"/>
            </w:r>
            <w:r>
              <w:instrText xml:space="preserve"> PAGEREF _Toc100139 \h </w:instrText>
            </w:r>
            <w:r>
              <w:fldChar w:fldCharType="separate"/>
            </w:r>
            <w:r>
              <w:t>37</w:t>
            </w:r>
            <w:r>
              <w:fldChar w:fldCharType="end"/>
            </w:r>
          </w:hyperlink>
        </w:p>
        <w:p>
          <w:pPr>
            <w:pStyle w:val="12"/>
            <w:ind w:left="720"/>
            <w:tabs>
              <w:tab w:val="right" w:leader="dot" w:pos="9026"/>
            </w:tabs>
            <w:spacing w:before="120" w:after="60"/>
          </w:pPr>
          <w:hyperlink w:anchor="_Toc100142" w:history="1">
            <w:r>
              <w:rPr>
                <w:rStyle w:val="Hyperlink"/>
              </w:rPr>
              <w:t>6.1.3 角色权限体系</w:t>
            </w:r>
            <w:r>
              <w:tab/>
            </w:r>
            <w:r>
              <w:fldChar w:fldCharType="begin"/>
            </w:r>
            <w:r>
              <w:instrText xml:space="preserve"> PAGEREF _Toc100142 \h </w:instrText>
            </w:r>
            <w:r>
              <w:fldChar w:fldCharType="separate"/>
            </w:r>
            <w:r>
              <w:t>37</w:t>
            </w:r>
            <w:r>
              <w:fldChar w:fldCharType="end"/>
            </w:r>
          </w:hyperlink>
        </w:p>
        <w:p>
          <w:pPr>
            <w:pStyle w:val="12"/>
            <w:ind w:left="720"/>
            <w:tabs>
              <w:tab w:val="right" w:leader="dot" w:pos="9026"/>
            </w:tabs>
            <w:spacing w:before="120" w:after="60"/>
          </w:pPr>
          <w:hyperlink w:anchor="_Toc100146" w:history="1">
            <w:r>
              <w:rPr>
                <w:rStyle w:val="Hyperlink"/>
              </w:rPr>
              <w:t>6.1.4 修改密码</w:t>
            </w:r>
            <w:r>
              <w:tab/>
            </w:r>
            <w:r>
              <w:fldChar w:fldCharType="begin"/>
            </w:r>
            <w:r>
              <w:instrText xml:space="preserve"> PAGEREF _Toc100146 \h </w:instrText>
            </w:r>
            <w:r>
              <w:fldChar w:fldCharType="separate"/>
            </w:r>
            <w:r>
              <w:t>38</w:t>
            </w:r>
            <w:r>
              <w:fldChar w:fldCharType="end"/>
            </w:r>
          </w:hyperlink>
        </w:p>
        <w:p>
          <w:pPr>
            <w:pStyle w:val="11"/>
            <w:ind w:left="360"/>
            <w:tabs>
              <w:tab w:val="right" w:leader="dot" w:pos="9026"/>
            </w:tabs>
            <w:spacing w:before="120" w:after="60"/>
          </w:pPr>
          <w:hyperlink w:anchor="_Toc100147" w:history="1">
            <w:r>
              <w:rPr>
                <w:rStyle w:val="Hyperlink"/>
              </w:rPr>
              <w:t>6.2 数据看板</w:t>
            </w:r>
            <w:r>
              <w:tab/>
            </w:r>
            <w:r>
              <w:fldChar w:fldCharType="begin"/>
            </w:r>
            <w:r>
              <w:instrText xml:space="preserve"> PAGEREF _Toc100147 \h </w:instrText>
            </w:r>
            <w:r>
              <w:fldChar w:fldCharType="separate"/>
            </w:r>
            <w:r>
              <w:t>38</w:t>
            </w:r>
            <w:r>
              <w:fldChar w:fldCharType="end"/>
            </w:r>
          </w:hyperlink>
        </w:p>
        <w:p>
          <w:pPr>
            <w:pStyle w:val="12"/>
            <w:ind w:left="720"/>
            <w:tabs>
              <w:tab w:val="right" w:leader="dot" w:pos="9026"/>
            </w:tabs>
            <w:spacing w:before="120" w:after="60"/>
          </w:pPr>
          <w:hyperlink w:anchor="_Toc100148" w:history="1">
            <w:r>
              <w:rPr>
                <w:rStyle w:val="Hyperlink"/>
              </w:rPr>
              <w:t>6.2.1 环保贡献区</w:t>
            </w:r>
            <w:r>
              <w:tab/>
            </w:r>
            <w:r>
              <w:fldChar w:fldCharType="begin"/>
            </w:r>
            <w:r>
              <w:instrText xml:space="preserve"> PAGEREF _Toc100148 \h </w:instrText>
            </w:r>
            <w:r>
              <w:fldChar w:fldCharType="separate"/>
            </w:r>
            <w:r>
              <w:t>39</w:t>
            </w:r>
            <w:r>
              <w:fldChar w:fldCharType="end"/>
            </w:r>
          </w:hyperlink>
        </w:p>
        <w:p>
          <w:pPr>
            <w:pStyle w:val="12"/>
            <w:ind w:left="720"/>
            <w:tabs>
              <w:tab w:val="right" w:leader="dot" w:pos="9026"/>
            </w:tabs>
            <w:spacing w:before="120" w:after="60"/>
          </w:pPr>
          <w:hyperlink w:anchor="_Toc100152" w:history="1">
            <w:r>
              <w:rPr>
                <w:rStyle w:val="Hyperlink"/>
              </w:rPr>
              <w:t>6.2.2 经营指标卡区</w:t>
            </w:r>
            <w:r>
              <w:tab/>
            </w:r>
            <w:r>
              <w:fldChar w:fldCharType="begin"/>
            </w:r>
            <w:r>
              <w:instrText xml:space="preserve"> PAGEREF _Toc100152 \h </w:instrText>
            </w:r>
            <w:r>
              <w:fldChar w:fldCharType="separate"/>
            </w:r>
            <w:r>
              <w:t>39</w:t>
            </w:r>
            <w:r>
              <w:fldChar w:fldCharType="end"/>
            </w:r>
          </w:hyperlink>
        </w:p>
        <w:p>
          <w:pPr>
            <w:pStyle w:val="12"/>
            <w:ind w:left="720"/>
            <w:tabs>
              <w:tab w:val="right" w:leader="dot" w:pos="9026"/>
            </w:tabs>
            <w:spacing w:before="120" w:after="60"/>
          </w:pPr>
          <w:hyperlink w:anchor="_Toc100155" w:history="1">
            <w:r>
              <w:rPr>
                <w:rStyle w:val="Hyperlink"/>
              </w:rPr>
              <w:t>6.2.3 订单趋势图</w:t>
            </w:r>
            <w:r>
              <w:tab/>
            </w:r>
            <w:r>
              <w:fldChar w:fldCharType="begin"/>
            </w:r>
            <w:r>
              <w:instrText xml:space="preserve"> PAGEREF _Toc100155 \h </w:instrText>
            </w:r>
            <w:r>
              <w:fldChar w:fldCharType="separate"/>
            </w:r>
            <w:r>
              <w:t>40</w:t>
            </w:r>
            <w:r>
              <w:fldChar w:fldCharType="end"/>
            </w:r>
          </w:hyperlink>
        </w:p>
        <w:p>
          <w:pPr>
            <w:pStyle w:val="12"/>
            <w:ind w:left="720"/>
            <w:tabs>
              <w:tab w:val="right" w:leader="dot" w:pos="9026"/>
            </w:tabs>
            <w:spacing w:before="120" w:after="60"/>
          </w:pPr>
          <w:hyperlink w:anchor="_Toc100156" w:history="1">
            <w:r>
              <w:rPr>
                <w:rStyle w:val="Hyperlink"/>
              </w:rPr>
              <w:t>6.2.4 设备类型分布</w:t>
            </w:r>
            <w:r>
              <w:tab/>
            </w:r>
            <w:r>
              <w:fldChar w:fldCharType="begin"/>
            </w:r>
            <w:r>
              <w:instrText xml:space="preserve"> PAGEREF _Toc100156 \h </w:instrText>
            </w:r>
            <w:r>
              <w:fldChar w:fldCharType="separate"/>
            </w:r>
            <w:r>
              <w:t>40</w:t>
            </w:r>
            <w:r>
              <w:fldChar w:fldCharType="end"/>
            </w:r>
          </w:hyperlink>
        </w:p>
        <w:p>
          <w:pPr>
            <w:pStyle w:val="12"/>
            <w:ind w:left="720"/>
            <w:tabs>
              <w:tab w:val="right" w:leader="dot" w:pos="9026"/>
            </w:tabs>
            <w:spacing w:before="120" w:after="60"/>
          </w:pPr>
          <w:hyperlink w:anchor="_Toc100157" w:history="1">
            <w:r>
              <w:rPr>
                <w:rStyle w:val="Hyperlink"/>
              </w:rPr>
              <w:t>6.2.5 最新订单与配价概况</w:t>
            </w:r>
            <w:r>
              <w:tab/>
            </w:r>
            <w:r>
              <w:fldChar w:fldCharType="begin"/>
            </w:r>
            <w:r>
              <w:instrText xml:space="preserve"> PAGEREF _Toc100157 \h </w:instrText>
            </w:r>
            <w:r>
              <w:fldChar w:fldCharType="separate"/>
            </w:r>
            <w:r>
              <w:t>41</w:t>
            </w:r>
            <w:r>
              <w:fldChar w:fldCharType="end"/>
            </w:r>
          </w:hyperlink>
        </w:p>
        <w:p>
          <w:pPr>
            <w:pStyle w:val="12"/>
            <w:ind w:left="720"/>
            <w:tabs>
              <w:tab w:val="right" w:leader="dot" w:pos="9026"/>
            </w:tabs>
            <w:spacing w:before="120" w:after="60"/>
          </w:pPr>
          <w:hyperlink w:anchor="_Toc100158" w:history="1">
            <w:r>
              <w:rPr>
                <w:rStyle w:val="Hyperlink"/>
              </w:rPr>
              <w:t>6.2.6 数据组织与刷新</w:t>
            </w:r>
            <w:r>
              <w:tab/>
            </w:r>
            <w:r>
              <w:fldChar w:fldCharType="begin"/>
            </w:r>
            <w:r>
              <w:instrText xml:space="preserve"> PAGEREF _Toc100158 \h </w:instrText>
            </w:r>
            <w:r>
              <w:fldChar w:fldCharType="separate"/>
            </w:r>
            <w:r>
              <w:t>41</w:t>
            </w:r>
            <w:r>
              <w:fldChar w:fldCharType="end"/>
            </w:r>
          </w:hyperlink>
        </w:p>
        <w:p>
          <w:pPr>
            <w:pStyle w:val="11"/>
            <w:ind w:left="360"/>
            <w:tabs>
              <w:tab w:val="right" w:leader="dot" w:pos="9026"/>
            </w:tabs>
            <w:spacing w:before="120" w:after="60"/>
          </w:pPr>
          <w:hyperlink w:anchor="_Toc100159" w:history="1">
            <w:r>
              <w:rPr>
                <w:rStyle w:val="Hyperlink"/>
              </w:rPr>
              <w:t>6.3 数据大屏</w:t>
            </w:r>
            <w:r>
              <w:tab/>
            </w:r>
            <w:r>
              <w:fldChar w:fldCharType="begin"/>
            </w:r>
            <w:r>
              <w:instrText xml:space="preserve"> PAGEREF _Toc100159 \h </w:instrText>
            </w:r>
            <w:r>
              <w:fldChar w:fldCharType="separate"/>
            </w:r>
            <w:r>
              <w:t>42</w:t>
            </w:r>
            <w:r>
              <w:fldChar w:fldCharType="end"/>
            </w:r>
          </w:hyperlink>
        </w:p>
        <w:p>
          <w:pPr>
            <w:pStyle w:val="12"/>
            <w:ind w:left="720"/>
            <w:tabs>
              <w:tab w:val="right" w:leader="dot" w:pos="9026"/>
            </w:tabs>
            <w:spacing w:before="120" w:after="60"/>
          </w:pPr>
          <w:hyperlink w:anchor="_Toc100160" w:history="1">
            <w:r>
              <w:rPr>
                <w:rStyle w:val="Hyperlink"/>
              </w:rPr>
              <w:t>6.3.1 布局与视觉设计</w:t>
            </w:r>
            <w:r>
              <w:tab/>
            </w:r>
            <w:r>
              <w:fldChar w:fldCharType="begin"/>
            </w:r>
            <w:r>
              <w:instrText xml:space="preserve"> PAGEREF _Toc100160 \h </w:instrText>
            </w:r>
            <w:r>
              <w:fldChar w:fldCharType="separate"/>
            </w:r>
            <w:r>
              <w:t>42</w:t>
            </w:r>
            <w:r>
              <w:fldChar w:fldCharType="end"/>
            </w:r>
          </w:hyperlink>
        </w:p>
        <w:p>
          <w:pPr>
            <w:pStyle w:val="12"/>
            <w:ind w:left="720"/>
            <w:tabs>
              <w:tab w:val="right" w:leader="dot" w:pos="9026"/>
            </w:tabs>
            <w:spacing w:before="120" w:after="60"/>
          </w:pPr>
          <w:hyperlink w:anchor="_Toc100161" w:history="1">
            <w:r>
              <w:rPr>
                <w:rStyle w:val="Hyperlink"/>
              </w:rPr>
              <w:t>6.3.2 顶部标题栏与时钟</w:t>
            </w:r>
            <w:r>
              <w:tab/>
            </w:r>
            <w:r>
              <w:fldChar w:fldCharType="begin"/>
            </w:r>
            <w:r>
              <w:instrText xml:space="preserve"> PAGEREF _Toc100161 \h </w:instrText>
            </w:r>
            <w:r>
              <w:fldChar w:fldCharType="separate"/>
            </w:r>
            <w:r>
              <w:t>42</w:t>
            </w:r>
            <w:r>
              <w:fldChar w:fldCharType="end"/>
            </w:r>
          </w:hyperlink>
        </w:p>
        <w:p>
          <w:pPr>
            <w:pStyle w:val="12"/>
            <w:ind w:left="720"/>
            <w:tabs>
              <w:tab w:val="right" w:leader="dot" w:pos="9026"/>
            </w:tabs>
            <w:spacing w:before="120" w:after="60"/>
          </w:pPr>
          <w:hyperlink w:anchor="_Toc100162" w:history="1">
            <w:r>
              <w:rPr>
                <w:rStyle w:val="Hyperlink"/>
              </w:rPr>
              <w:t>6.3.3 KPI 数字带</w:t>
            </w:r>
            <w:r>
              <w:tab/>
            </w:r>
            <w:r>
              <w:fldChar w:fldCharType="begin"/>
            </w:r>
            <w:r>
              <w:instrText xml:space="preserve"> PAGEREF _Toc100162 \h </w:instrText>
            </w:r>
            <w:r>
              <w:fldChar w:fldCharType="separate"/>
            </w:r>
            <w:r>
              <w:t>42</w:t>
            </w:r>
            <w:r>
              <w:fldChar w:fldCharType="end"/>
            </w:r>
          </w:hyperlink>
        </w:p>
        <w:p>
          <w:pPr>
            <w:pStyle w:val="12"/>
            <w:ind w:left="720"/>
            <w:tabs>
              <w:tab w:val="right" w:leader="dot" w:pos="9026"/>
            </w:tabs>
            <w:spacing w:before="120" w:after="60"/>
          </w:pPr>
          <w:hyperlink w:anchor="_Toc100163" w:history="1">
            <w:r>
              <w:rPr>
                <w:rStyle w:val="Hyperlink"/>
              </w:rPr>
              <w:t>6.3.4 趋势与排行面板</w:t>
            </w:r>
            <w:r>
              <w:tab/>
            </w:r>
            <w:r>
              <w:fldChar w:fldCharType="begin"/>
            </w:r>
            <w:r>
              <w:instrText xml:space="preserve"> PAGEREF _Toc100163 \h </w:instrText>
            </w:r>
            <w:r>
              <w:fldChar w:fldCharType="separate"/>
            </w:r>
            <w:r>
              <w:t>43</w:t>
            </w:r>
            <w:r>
              <w:fldChar w:fldCharType="end"/>
            </w:r>
          </w:hyperlink>
        </w:p>
        <w:p>
          <w:pPr>
            <w:pStyle w:val="12"/>
            <w:ind w:left="720"/>
            <w:tabs>
              <w:tab w:val="right" w:leader="dot" w:pos="9026"/>
            </w:tabs>
            <w:spacing w:before="120" w:after="60"/>
          </w:pPr>
          <w:hyperlink w:anchor="_Toc100164" w:history="1">
            <w:r>
              <w:rPr>
                <w:rStyle w:val="Hyperlink"/>
              </w:rPr>
              <w:t>6.3.5 绿色环保贡献面板</w:t>
            </w:r>
            <w:r>
              <w:tab/>
            </w:r>
            <w:r>
              <w:fldChar w:fldCharType="begin"/>
            </w:r>
            <w:r>
              <w:instrText xml:space="preserve"> PAGEREF _Toc100164 \h </w:instrText>
            </w:r>
            <w:r>
              <w:fldChar w:fldCharType="separate"/>
            </w:r>
            <w:r>
              <w:t>43</w:t>
            </w:r>
            <w:r>
              <w:fldChar w:fldCharType="end"/>
            </w:r>
          </w:hyperlink>
        </w:p>
        <w:p>
          <w:pPr>
            <w:pStyle w:val="12"/>
            <w:ind w:left="720"/>
            <w:tabs>
              <w:tab w:val="right" w:leader="dot" w:pos="9026"/>
            </w:tabs>
            <w:spacing w:before="120" w:after="60"/>
          </w:pPr>
          <w:hyperlink w:anchor="_Toc100165" w:history="1">
            <w:r>
              <w:rPr>
                <w:rStyle w:val="Hyperlink"/>
              </w:rPr>
              <w:t>6.3.6 全屏与投放</w:t>
            </w:r>
            <w:r>
              <w:tab/>
            </w:r>
            <w:r>
              <w:fldChar w:fldCharType="begin"/>
            </w:r>
            <w:r>
              <w:instrText xml:space="preserve"> PAGEREF _Toc100165 \h </w:instrText>
            </w:r>
            <w:r>
              <w:fldChar w:fldCharType="separate"/>
            </w:r>
            <w:r>
              <w:t>43</w:t>
            </w:r>
            <w:r>
              <w:fldChar w:fldCharType="end"/>
            </w:r>
          </w:hyperlink>
        </w:p>
        <w:p>
          <w:pPr>
            <w:pStyle w:val="11"/>
            <w:ind w:left="360"/>
            <w:tabs>
              <w:tab w:val="right" w:leader="dot" w:pos="9026"/>
            </w:tabs>
            <w:spacing w:before="120" w:after="60"/>
          </w:pPr>
          <w:hyperlink w:anchor="_Toc100166" w:history="1">
            <w:r>
              <w:rPr>
                <w:rStyle w:val="Hyperlink"/>
              </w:rPr>
              <w:t>6.4 回收订单管理</w:t>
            </w:r>
            <w:r>
              <w:tab/>
            </w:r>
            <w:r>
              <w:fldChar w:fldCharType="begin"/>
            </w:r>
            <w:r>
              <w:instrText xml:space="preserve"> PAGEREF _Toc100166 \h </w:instrText>
            </w:r>
            <w:r>
              <w:fldChar w:fldCharType="separate"/>
            </w:r>
            <w:r>
              <w:t>44</w:t>
            </w:r>
            <w:r>
              <w:fldChar w:fldCharType="end"/>
            </w:r>
          </w:hyperlink>
        </w:p>
        <w:p>
          <w:pPr>
            <w:pStyle w:val="12"/>
            <w:ind w:left="720"/>
            <w:tabs>
              <w:tab w:val="right" w:leader="dot" w:pos="9026"/>
            </w:tabs>
            <w:spacing w:before="120" w:after="60"/>
          </w:pPr>
          <w:hyperlink w:anchor="_Toc100167" w:history="1">
            <w:r>
              <w:rPr>
                <w:rStyle w:val="Hyperlink"/>
              </w:rPr>
              <w:t>6.4.1 订单列表与筛选</w:t>
            </w:r>
            <w:r>
              <w:tab/>
            </w:r>
            <w:r>
              <w:fldChar w:fldCharType="begin"/>
            </w:r>
            <w:r>
              <w:instrText xml:space="preserve"> PAGEREF _Toc100167 \h </w:instrText>
            </w:r>
            <w:r>
              <w:fldChar w:fldCharType="separate"/>
            </w:r>
            <w:r>
              <w:t>44</w:t>
            </w:r>
            <w:r>
              <w:fldChar w:fldCharType="end"/>
            </w:r>
          </w:hyperlink>
        </w:p>
        <w:p>
          <w:pPr>
            <w:pStyle w:val="12"/>
            <w:ind w:left="720"/>
            <w:tabs>
              <w:tab w:val="right" w:leader="dot" w:pos="9026"/>
            </w:tabs>
            <w:spacing w:before="120" w:after="60"/>
          </w:pPr>
          <w:hyperlink w:anchor="_Toc100171" w:history="1">
            <w:r>
              <w:rPr>
                <w:rStyle w:val="Hyperlink"/>
              </w:rPr>
              <w:t>6.4.2 订单详情</w:t>
            </w:r>
            <w:r>
              <w:tab/>
            </w:r>
            <w:r>
              <w:fldChar w:fldCharType="begin"/>
            </w:r>
            <w:r>
              <w:instrText xml:space="preserve"> PAGEREF _Toc100171 \h </w:instrText>
            </w:r>
            <w:r>
              <w:fldChar w:fldCharType="separate"/>
            </w:r>
            <w:r>
              <w:t>45</w:t>
            </w:r>
            <w:r>
              <w:fldChar w:fldCharType="end"/>
            </w:r>
          </w:hyperlink>
        </w:p>
        <w:p>
          <w:pPr>
            <w:pStyle w:val="12"/>
            <w:ind w:left="720"/>
            <w:tabs>
              <w:tab w:val="right" w:leader="dot" w:pos="9026"/>
            </w:tabs>
            <w:spacing w:before="120" w:after="60"/>
          </w:pPr>
          <w:hyperlink w:anchor="_Toc100175" w:history="1">
            <w:r>
              <w:rPr>
                <w:rStyle w:val="Hyperlink"/>
              </w:rPr>
              <w:t>6.4.3 报价处理</w:t>
            </w:r>
            <w:r>
              <w:tab/>
            </w:r>
            <w:r>
              <w:fldChar w:fldCharType="begin"/>
            </w:r>
            <w:r>
              <w:instrText xml:space="preserve"> PAGEREF _Toc100175 \h </w:instrText>
            </w:r>
            <w:r>
              <w:fldChar w:fldCharType="separate"/>
            </w:r>
            <w:r>
              <w:t>46</w:t>
            </w:r>
            <w:r>
              <w:fldChar w:fldCharType="end"/>
            </w:r>
          </w:hyperlink>
        </w:p>
        <w:p>
          <w:pPr>
            <w:pStyle w:val="12"/>
            <w:ind w:left="720"/>
            <w:tabs>
              <w:tab w:val="right" w:leader="dot" w:pos="9026"/>
            </w:tabs>
            <w:spacing w:before="120" w:after="60"/>
          </w:pPr>
          <w:hyperlink w:anchor="_Toc100178" w:history="1">
            <w:r>
              <w:rPr>
                <w:rStyle w:val="Hyperlink"/>
              </w:rPr>
              <w:t>6.4.4 状态流转</w:t>
            </w:r>
            <w:r>
              <w:tab/>
            </w:r>
            <w:r>
              <w:fldChar w:fldCharType="begin"/>
            </w:r>
            <w:r>
              <w:instrText xml:space="preserve"> PAGEREF _Toc100178 \h </w:instrText>
            </w:r>
            <w:r>
              <w:fldChar w:fldCharType="separate"/>
            </w:r>
            <w:r>
              <w:t>46</w:t>
            </w:r>
            <w:r>
              <w:fldChar w:fldCharType="end"/>
            </w:r>
          </w:hyperlink>
        </w:p>
        <w:p>
          <w:pPr>
            <w:pStyle w:val="12"/>
            <w:ind w:left="720"/>
            <w:tabs>
              <w:tab w:val="right" w:leader="dot" w:pos="9026"/>
            </w:tabs>
            <w:spacing w:before="120" w:after="60"/>
          </w:pPr>
          <w:hyperlink w:anchor="_Toc100182" w:history="1">
            <w:r>
              <w:rPr>
                <w:rStyle w:val="Hyperlink"/>
              </w:rPr>
              <w:t>6.4.5 手动创建订单</w:t>
            </w:r>
            <w:r>
              <w:tab/>
            </w:r>
            <w:r>
              <w:fldChar w:fldCharType="begin"/>
            </w:r>
            <w:r>
              <w:instrText xml:space="preserve"> PAGEREF _Toc100182 \h </w:instrText>
            </w:r>
            <w:r>
              <w:fldChar w:fldCharType="separate"/>
            </w:r>
            <w:r>
              <w:t>47</w:t>
            </w:r>
            <w:r>
              <w:fldChar w:fldCharType="end"/>
            </w:r>
          </w:hyperlink>
        </w:p>
        <w:p>
          <w:pPr>
            <w:pStyle w:val="12"/>
            <w:ind w:left="720"/>
            <w:tabs>
              <w:tab w:val="right" w:leader="dot" w:pos="9026"/>
            </w:tabs>
            <w:spacing w:before="120" w:after="60"/>
          </w:pPr>
          <w:hyperlink w:anchor="_Toc100185" w:history="1">
            <w:r>
              <w:rPr>
                <w:rStyle w:val="Hyperlink"/>
              </w:rPr>
              <w:t>6.4.6 订单导出</w:t>
            </w:r>
            <w:r>
              <w:tab/>
            </w:r>
            <w:r>
              <w:fldChar w:fldCharType="begin"/>
            </w:r>
            <w:r>
              <w:instrText xml:space="preserve"> PAGEREF _Toc100185 \h </w:instrText>
            </w:r>
            <w:r>
              <w:fldChar w:fldCharType="separate"/>
            </w:r>
            <w:r>
              <w:t>48</w:t>
            </w:r>
            <w:r>
              <w:fldChar w:fldCharType="end"/>
            </w:r>
          </w:hyperlink>
        </w:p>
        <w:p>
          <w:pPr>
            <w:pStyle w:val="11"/>
            <w:ind w:left="360"/>
            <w:tabs>
              <w:tab w:val="right" w:leader="dot" w:pos="9026"/>
            </w:tabs>
            <w:spacing w:before="120" w:after="60"/>
          </w:pPr>
          <w:hyperlink w:anchor="_Toc100188" w:history="1">
            <w:r>
              <w:rPr>
                <w:rStyle w:val="Hyperlink"/>
              </w:rPr>
              <w:t>6.5 设备配价库</w:t>
            </w:r>
            <w:r>
              <w:tab/>
            </w:r>
            <w:r>
              <w:fldChar w:fldCharType="begin"/>
            </w:r>
            <w:r>
              <w:instrText xml:space="preserve"> PAGEREF _Toc100188 \h </w:instrText>
            </w:r>
            <w:r>
              <w:fldChar w:fldCharType="separate"/>
            </w:r>
            <w:r>
              <w:t>48</w:t>
            </w:r>
            <w:r>
              <w:fldChar w:fldCharType="end"/>
            </w:r>
          </w:hyperlink>
        </w:p>
        <w:p>
          <w:pPr>
            <w:pStyle w:val="12"/>
            <w:ind w:left="720"/>
            <w:tabs>
              <w:tab w:val="right" w:leader="dot" w:pos="9026"/>
            </w:tabs>
            <w:spacing w:before="120" w:after="60"/>
          </w:pPr>
          <w:hyperlink w:anchor="_Toc100189" w:history="1">
            <w:r>
              <w:rPr>
                <w:rStyle w:val="Hyperlink"/>
              </w:rPr>
              <w:t>6.5.1 目录结构管理</w:t>
            </w:r>
            <w:r>
              <w:tab/>
            </w:r>
            <w:r>
              <w:fldChar w:fldCharType="begin"/>
            </w:r>
            <w:r>
              <w:instrText xml:space="preserve"> PAGEREF _Toc100189 \h </w:instrText>
            </w:r>
            <w:r>
              <w:fldChar w:fldCharType="separate"/>
            </w:r>
            <w:r>
              <w:t>49</w:t>
            </w:r>
            <w:r>
              <w:fldChar w:fldCharType="end"/>
            </w:r>
          </w:hyperlink>
        </w:p>
        <w:p>
          <w:pPr>
            <w:pStyle w:val="12"/>
            <w:ind w:left="720"/>
            <w:tabs>
              <w:tab w:val="right" w:leader="dot" w:pos="9026"/>
            </w:tabs>
            <w:spacing w:before="120" w:after="60"/>
          </w:pPr>
          <w:hyperlink w:anchor="_Toc100193" w:history="1">
            <w:r>
              <w:rPr>
                <w:rStyle w:val="Hyperlink"/>
              </w:rPr>
              <w:t>6.5.2 型号查询与导出</w:t>
            </w:r>
            <w:r>
              <w:tab/>
            </w:r>
            <w:r>
              <w:fldChar w:fldCharType="begin"/>
            </w:r>
            <w:r>
              <w:instrText xml:space="preserve"> PAGEREF _Toc100193 \h </w:instrText>
            </w:r>
            <w:r>
              <w:fldChar w:fldCharType="separate"/>
            </w:r>
            <w:r>
              <w:t>50</w:t>
            </w:r>
            <w:r>
              <w:fldChar w:fldCharType="end"/>
            </w:r>
          </w:hyperlink>
        </w:p>
        <w:p>
          <w:pPr>
            <w:pStyle w:val="12"/>
            <w:ind w:left="720"/>
            <w:tabs>
              <w:tab w:val="right" w:leader="dot" w:pos="9026"/>
            </w:tabs>
            <w:spacing w:before="120" w:after="60"/>
          </w:pPr>
          <w:hyperlink w:anchor="_Toc100194" w:history="1">
            <w:r>
              <w:rPr>
                <w:rStyle w:val="Hyperlink"/>
              </w:rPr>
              <w:t>6.5.3 目录树加载实现</w:t>
            </w:r>
            <w:r>
              <w:tab/>
            </w:r>
            <w:r>
              <w:fldChar w:fldCharType="begin"/>
            </w:r>
            <w:r>
              <w:instrText xml:space="preserve"> PAGEREF _Toc100194 \h </w:instrText>
            </w:r>
            <w:r>
              <w:fldChar w:fldCharType="separate"/>
            </w:r>
            <w:r>
              <w:t>50</w:t>
            </w:r>
            <w:r>
              <w:fldChar w:fldCharType="end"/>
            </w:r>
          </w:hyperlink>
        </w:p>
        <w:p>
          <w:pPr>
            <w:pStyle w:val="12"/>
            <w:ind w:left="720"/>
            <w:tabs>
              <w:tab w:val="right" w:leader="dot" w:pos="9026"/>
            </w:tabs>
            <w:spacing w:before="120" w:after="60"/>
          </w:pPr>
          <w:hyperlink w:anchor="_Toc100195" w:history="1">
            <w:r>
              <w:rPr>
                <w:rStyle w:val="Hyperlink"/>
              </w:rPr>
              <w:t>6.5.4 调价管理</w:t>
            </w:r>
            <w:r>
              <w:tab/>
            </w:r>
            <w:r>
              <w:fldChar w:fldCharType="begin"/>
            </w:r>
            <w:r>
              <w:instrText xml:space="preserve"> PAGEREF _Toc100195 \h </w:instrText>
            </w:r>
            <w:r>
              <w:fldChar w:fldCharType="separate"/>
            </w:r>
            <w:r>
              <w:t>50</w:t>
            </w:r>
            <w:r>
              <w:fldChar w:fldCharType="end"/>
            </w:r>
          </w:hyperlink>
        </w:p>
        <w:p>
          <w:pPr>
            <w:pStyle w:val="11"/>
            <w:ind w:left="360"/>
            <w:tabs>
              <w:tab w:val="right" w:leader="dot" w:pos="9026"/>
            </w:tabs>
            <w:spacing w:before="120" w:after="60"/>
          </w:pPr>
          <w:hyperlink w:anchor="_Toc100200" w:history="1">
            <w:r>
              <w:rPr>
                <w:rStyle w:val="Hyperlink"/>
              </w:rPr>
              <w:t>6.6 回收平台管理</w:t>
            </w:r>
            <w:r>
              <w:tab/>
            </w:r>
            <w:r>
              <w:fldChar w:fldCharType="begin"/>
            </w:r>
            <w:r>
              <w:instrText xml:space="preserve"> PAGEREF _Toc100200 \h </w:instrText>
            </w:r>
            <w:r>
              <w:fldChar w:fldCharType="separate"/>
            </w:r>
            <w:r>
              <w:t>52</w:t>
            </w:r>
            <w:r>
              <w:fldChar w:fldCharType="end"/>
            </w:r>
          </w:hyperlink>
        </w:p>
        <w:p>
          <w:pPr>
            <w:pStyle w:val="12"/>
            <w:ind w:left="720"/>
            <w:tabs>
              <w:tab w:val="right" w:leader="dot" w:pos="9026"/>
            </w:tabs>
            <w:spacing w:before="120" w:after="60"/>
          </w:pPr>
          <w:hyperlink w:anchor="_Toc100201" w:history="1">
            <w:r>
              <w:rPr>
                <w:rStyle w:val="Hyperlink"/>
              </w:rPr>
              <w:t>6.6.1 平台档案字段</w:t>
            </w:r>
            <w:r>
              <w:tab/>
            </w:r>
            <w:r>
              <w:fldChar w:fldCharType="begin"/>
            </w:r>
            <w:r>
              <w:instrText xml:space="preserve"> PAGEREF _Toc100201 \h </w:instrText>
            </w:r>
            <w:r>
              <w:fldChar w:fldCharType="separate"/>
            </w:r>
            <w:r>
              <w:t>52</w:t>
            </w:r>
            <w:r>
              <w:fldChar w:fldCharType="end"/>
            </w:r>
          </w:hyperlink>
        </w:p>
        <w:p>
          <w:pPr>
            <w:pStyle w:val="12"/>
            <w:ind w:left="720"/>
            <w:tabs>
              <w:tab w:val="right" w:leader="dot" w:pos="9026"/>
            </w:tabs>
            <w:spacing w:before="120" w:after="60"/>
          </w:pPr>
          <w:hyperlink w:anchor="_Toc100202" w:history="1">
            <w:r>
              <w:rPr>
                <w:rStyle w:val="Hyperlink"/>
              </w:rPr>
              <w:t>6.6.2 平台类型体系</w:t>
            </w:r>
            <w:r>
              <w:tab/>
            </w:r>
            <w:r>
              <w:fldChar w:fldCharType="begin"/>
            </w:r>
            <w:r>
              <w:instrText xml:space="preserve"> PAGEREF _Toc100202 \h </w:instrText>
            </w:r>
            <w:r>
              <w:fldChar w:fldCharType="separate"/>
            </w:r>
            <w:r>
              <w:t>52</w:t>
            </w:r>
            <w:r>
              <w:fldChar w:fldCharType="end"/>
            </w:r>
          </w:hyperlink>
        </w:p>
        <w:p>
          <w:pPr>
            <w:pStyle w:val="12"/>
            <w:ind w:left="720"/>
            <w:tabs>
              <w:tab w:val="right" w:leader="dot" w:pos="9026"/>
            </w:tabs>
            <w:spacing w:before="120" w:after="60"/>
          </w:pPr>
          <w:hyperlink w:anchor="_Toc100203" w:history="1">
            <w:r>
              <w:rPr>
                <w:rStyle w:val="Hyperlink"/>
              </w:rPr>
              <w:t>6.6.3 跳转与点击统计</w:t>
            </w:r>
            <w:r>
              <w:tab/>
            </w:r>
            <w:r>
              <w:fldChar w:fldCharType="begin"/>
            </w:r>
            <w:r>
              <w:instrText xml:space="preserve"> PAGEREF _Toc100203 \h </w:instrText>
            </w:r>
            <w:r>
              <w:fldChar w:fldCharType="separate"/>
            </w:r>
            <w:r>
              <w:t>52</w:t>
            </w:r>
            <w:r>
              <w:fldChar w:fldCharType="end"/>
            </w:r>
          </w:hyperlink>
        </w:p>
        <w:p>
          <w:pPr>
            <w:pStyle w:val="11"/>
            <w:ind w:left="360"/>
            <w:tabs>
              <w:tab w:val="right" w:leader="dot" w:pos="9026"/>
            </w:tabs>
            <w:spacing w:before="120" w:after="60"/>
          </w:pPr>
          <w:hyperlink w:anchor="_Toc100204" w:history="1">
            <w:r>
              <w:rPr>
                <w:rStyle w:val="Hyperlink"/>
              </w:rPr>
              <w:t>6.7 采购链接管理</w:t>
            </w:r>
            <w:r>
              <w:tab/>
            </w:r>
            <w:r>
              <w:fldChar w:fldCharType="begin"/>
            </w:r>
            <w:r>
              <w:instrText xml:space="preserve"> PAGEREF _Toc100204 \h </w:instrText>
            </w:r>
            <w:r>
              <w:fldChar w:fldCharType="separate"/>
            </w:r>
            <w:r>
              <w:t>53</w:t>
            </w:r>
            <w:r>
              <w:fldChar w:fldCharType="end"/>
            </w:r>
          </w:hyperlink>
        </w:p>
        <w:p>
          <w:pPr>
            <w:pStyle w:val="12"/>
            <w:ind w:left="720"/>
            <w:tabs>
              <w:tab w:val="right" w:leader="dot" w:pos="9026"/>
            </w:tabs>
            <w:spacing w:before="120" w:after="60"/>
          </w:pPr>
          <w:hyperlink w:anchor="_Toc100205" w:history="1">
            <w:r>
              <w:rPr>
                <w:rStyle w:val="Hyperlink"/>
              </w:rPr>
              <w:t>6.7.1 链接字段与关联</w:t>
            </w:r>
            <w:r>
              <w:tab/>
            </w:r>
            <w:r>
              <w:fldChar w:fldCharType="begin"/>
            </w:r>
            <w:r>
              <w:instrText xml:space="preserve"> PAGEREF _Toc100205 \h </w:instrText>
            </w:r>
            <w:r>
              <w:fldChar w:fldCharType="separate"/>
            </w:r>
            <w:r>
              <w:t>53</w:t>
            </w:r>
            <w:r>
              <w:fldChar w:fldCharType="end"/>
            </w:r>
          </w:hyperlink>
        </w:p>
        <w:p>
          <w:pPr>
            <w:pStyle w:val="12"/>
            <w:ind w:left="720"/>
            <w:tabs>
              <w:tab w:val="right" w:leader="dot" w:pos="9026"/>
            </w:tabs>
            <w:spacing w:before="120" w:after="60"/>
          </w:pPr>
          <w:hyperlink w:anchor="_Toc100206" w:history="1">
            <w:r>
              <w:rPr>
                <w:rStyle w:val="Hyperlink"/>
              </w:rPr>
              <w:t>6.7.2 筛选查询</w:t>
            </w:r>
            <w:r>
              <w:tab/>
            </w:r>
            <w:r>
              <w:fldChar w:fldCharType="begin"/>
            </w:r>
            <w:r>
              <w:instrText xml:space="preserve"> PAGEREF _Toc100206 \h </w:instrText>
            </w:r>
            <w:r>
              <w:fldChar w:fldCharType="separate"/>
            </w:r>
            <w:r>
              <w:t>53</w:t>
            </w:r>
            <w:r>
              <w:fldChar w:fldCharType="end"/>
            </w:r>
          </w:hyperlink>
        </w:p>
        <w:p>
          <w:pPr>
            <w:pStyle w:val="12"/>
            <w:ind w:left="720"/>
            <w:tabs>
              <w:tab w:val="right" w:leader="dot" w:pos="9026"/>
            </w:tabs>
            <w:spacing w:before="120" w:after="60"/>
          </w:pPr>
          <w:hyperlink w:anchor="_Toc100207" w:history="1">
            <w:r>
              <w:rPr>
                <w:rStyle w:val="Hyperlink"/>
              </w:rPr>
              <w:t>6.7.3 点击统计与排行</w:t>
            </w:r>
            <w:r>
              <w:tab/>
            </w:r>
            <w:r>
              <w:fldChar w:fldCharType="begin"/>
            </w:r>
            <w:r>
              <w:instrText xml:space="preserve"> PAGEREF _Toc100207 \h </w:instrText>
            </w:r>
            <w:r>
              <w:fldChar w:fldCharType="separate"/>
            </w:r>
            <w:r>
              <w:t>53</w:t>
            </w:r>
            <w:r>
              <w:fldChar w:fldCharType="end"/>
            </w:r>
          </w:hyperlink>
        </w:p>
        <w:p>
          <w:pPr>
            <w:pStyle w:val="11"/>
            <w:ind w:left="360"/>
            <w:tabs>
              <w:tab w:val="right" w:leader="dot" w:pos="9026"/>
            </w:tabs>
            <w:spacing w:before="120" w:after="60"/>
          </w:pPr>
          <w:hyperlink w:anchor="_Toc100208" w:history="1">
            <w:r>
              <w:rPr>
                <w:rStyle w:val="Hyperlink"/>
              </w:rPr>
              <w:t>6.8 估价配置</w:t>
            </w:r>
            <w:r>
              <w:tab/>
            </w:r>
            <w:r>
              <w:fldChar w:fldCharType="begin"/>
            </w:r>
            <w:r>
              <w:instrText xml:space="preserve"> PAGEREF _Toc100208 \h </w:instrText>
            </w:r>
            <w:r>
              <w:fldChar w:fldCharType="separate"/>
            </w:r>
            <w:r>
              <w:t>54</w:t>
            </w:r>
            <w:r>
              <w:fldChar w:fldCharType="end"/>
            </w:r>
          </w:hyperlink>
        </w:p>
        <w:p>
          <w:pPr>
            <w:pStyle w:val="12"/>
            <w:ind w:left="720"/>
            <w:tabs>
              <w:tab w:val="right" w:leader="dot" w:pos="9026"/>
            </w:tabs>
            <w:spacing w:before="120" w:after="60"/>
          </w:pPr>
          <w:hyperlink w:anchor="_Toc100209" w:history="1">
            <w:r>
              <w:rPr>
                <w:rStyle w:val="Hyperlink"/>
              </w:rPr>
              <w:t>6.8.1 核心参数</w:t>
            </w:r>
            <w:r>
              <w:tab/>
            </w:r>
            <w:r>
              <w:fldChar w:fldCharType="begin"/>
            </w:r>
            <w:r>
              <w:instrText xml:space="preserve"> PAGEREF _Toc100209 \h </w:instrText>
            </w:r>
            <w:r>
              <w:fldChar w:fldCharType="separate"/>
            </w:r>
            <w:r>
              <w:t>54</w:t>
            </w:r>
            <w:r>
              <w:fldChar w:fldCharType="end"/>
            </w:r>
          </w:hyperlink>
        </w:p>
        <w:p>
          <w:pPr>
            <w:pStyle w:val="12"/>
            <w:ind w:left="720"/>
            <w:tabs>
              <w:tab w:val="right" w:leader="dot" w:pos="9026"/>
            </w:tabs>
            <w:spacing w:before="120" w:after="60"/>
          </w:pPr>
          <w:hyperlink w:anchor="_Toc100210" w:history="1">
            <w:r>
              <w:rPr>
                <w:rStyle w:val="Hyperlink"/>
              </w:rPr>
              <w:t>6.8.2 品类估价系数</w:t>
            </w:r>
            <w:r>
              <w:tab/>
            </w:r>
            <w:r>
              <w:fldChar w:fldCharType="begin"/>
            </w:r>
            <w:r>
              <w:instrText xml:space="preserve"> PAGEREF _Toc100210 \h </w:instrText>
            </w:r>
            <w:r>
              <w:fldChar w:fldCharType="separate"/>
            </w:r>
            <w:r>
              <w:t>54</w:t>
            </w:r>
            <w:r>
              <w:fldChar w:fldCharType="end"/>
            </w:r>
          </w:hyperlink>
        </w:p>
        <w:p>
          <w:pPr>
            <w:pStyle w:val="12"/>
            <w:ind w:left="720"/>
            <w:tabs>
              <w:tab w:val="right" w:leader="dot" w:pos="9026"/>
            </w:tabs>
            <w:spacing w:before="120" w:after="60"/>
          </w:pPr>
          <w:hyperlink w:anchor="_Toc100211" w:history="1">
            <w:r>
              <w:rPr>
                <w:rStyle w:val="Hyperlink"/>
              </w:rPr>
              <w:t>6.8.3 因子系数维护</w:t>
            </w:r>
            <w:r>
              <w:tab/>
            </w:r>
            <w:r>
              <w:fldChar w:fldCharType="begin"/>
            </w:r>
            <w:r>
              <w:instrText xml:space="preserve"> PAGEREF _Toc100211 \h </w:instrText>
            </w:r>
            <w:r>
              <w:fldChar w:fldCharType="separate"/>
            </w:r>
            <w:r>
              <w:t>55</w:t>
            </w:r>
            <w:r>
              <w:fldChar w:fldCharType="end"/>
            </w:r>
          </w:hyperlink>
        </w:p>
        <w:p>
          <w:pPr>
            <w:pStyle w:val="12"/>
            <w:ind w:left="720"/>
            <w:tabs>
              <w:tab w:val="right" w:leader="dot" w:pos="9026"/>
            </w:tabs>
            <w:spacing w:before="120" w:after="60"/>
          </w:pPr>
          <w:hyperlink w:anchor="_Toc100212" w:history="1">
            <w:r>
              <w:rPr>
                <w:rStyle w:val="Hyperlink"/>
              </w:rPr>
              <w:t>6.8.4 估价模拟器</w:t>
            </w:r>
            <w:r>
              <w:tab/>
            </w:r>
            <w:r>
              <w:fldChar w:fldCharType="begin"/>
            </w:r>
            <w:r>
              <w:instrText xml:space="preserve"> PAGEREF _Toc100212 \h </w:instrText>
            </w:r>
            <w:r>
              <w:fldChar w:fldCharType="separate"/>
            </w:r>
            <w:r>
              <w:t>55</w:t>
            </w:r>
            <w:r>
              <w:fldChar w:fldCharType="end"/>
            </w:r>
          </w:hyperlink>
        </w:p>
        <w:p>
          <w:pPr>
            <w:pStyle w:val="11"/>
            <w:ind w:left="360"/>
            <w:tabs>
              <w:tab w:val="right" w:leader="dot" w:pos="9026"/>
            </w:tabs>
            <w:spacing w:before="120" w:after="60"/>
          </w:pPr>
          <w:hyperlink w:anchor="_Toc100213" w:history="1">
            <w:r>
              <w:rPr>
                <w:rStyle w:val="Hyperlink"/>
              </w:rPr>
              <w:t>6.9 操作日志</w:t>
            </w:r>
            <w:r>
              <w:tab/>
            </w:r>
            <w:r>
              <w:fldChar w:fldCharType="begin"/>
            </w:r>
            <w:r>
              <w:instrText xml:space="preserve"> PAGEREF _Toc100213 \h </w:instrText>
            </w:r>
            <w:r>
              <w:fldChar w:fldCharType="separate"/>
            </w:r>
            <w:r>
              <w:t>55</w:t>
            </w:r>
            <w:r>
              <w:fldChar w:fldCharType="end"/>
            </w:r>
          </w:hyperlink>
        </w:p>
        <w:p>
          <w:pPr>
            <w:pStyle w:val="12"/>
            <w:ind w:left="720"/>
            <w:tabs>
              <w:tab w:val="right" w:leader="dot" w:pos="9026"/>
            </w:tabs>
            <w:spacing w:before="120" w:after="60"/>
          </w:pPr>
          <w:hyperlink w:anchor="_Toc100214" w:history="1">
            <w:r>
              <w:rPr>
                <w:rStyle w:val="Hyperlink"/>
              </w:rPr>
              <w:t>6.9.1 日志覆盖范围</w:t>
            </w:r>
            <w:r>
              <w:tab/>
            </w:r>
            <w:r>
              <w:fldChar w:fldCharType="begin"/>
            </w:r>
            <w:r>
              <w:instrText xml:space="preserve"> PAGEREF _Toc100214 \h </w:instrText>
            </w:r>
            <w:r>
              <w:fldChar w:fldCharType="separate"/>
            </w:r>
            <w:r>
              <w:t>55</w:t>
            </w:r>
            <w:r>
              <w:fldChar w:fldCharType="end"/>
            </w:r>
          </w:hyperlink>
        </w:p>
        <w:p>
          <w:pPr>
            <w:pStyle w:val="12"/>
            <w:ind w:left="720"/>
            <w:tabs>
              <w:tab w:val="right" w:leader="dot" w:pos="9026"/>
            </w:tabs>
            <w:spacing w:before="120" w:after="60"/>
          </w:pPr>
          <w:hyperlink w:anchor="_Toc100215" w:history="1">
            <w:r>
              <w:rPr>
                <w:rStyle w:val="Hyperlink"/>
              </w:rPr>
              <w:t>6.9.2 日志检索</w:t>
            </w:r>
            <w:r>
              <w:tab/>
            </w:r>
            <w:r>
              <w:fldChar w:fldCharType="begin"/>
            </w:r>
            <w:r>
              <w:instrText xml:space="preserve"> PAGEREF _Toc100215 \h </w:instrText>
            </w:r>
            <w:r>
              <w:fldChar w:fldCharType="separate"/>
            </w:r>
            <w:r>
              <w:t>56</w:t>
            </w:r>
            <w:r>
              <w:fldChar w:fldCharType="end"/>
            </w:r>
          </w:hyperlink>
        </w:p>
        <w:p>
          <w:pPr>
            <w:pStyle w:val="12"/>
            <w:ind w:left="720"/>
            <w:tabs>
              <w:tab w:val="right" w:leader="dot" w:pos="9026"/>
            </w:tabs>
            <w:spacing w:before="120" w:after="60"/>
          </w:pPr>
          <w:hyperlink w:anchor="_Toc100216" w:history="1">
            <w:r>
              <w:rPr>
                <w:rStyle w:val="Hyperlink"/>
              </w:rPr>
              <w:t>6.9.3 日志字段</w:t>
            </w:r>
            <w:r>
              <w:tab/>
            </w:r>
            <w:r>
              <w:fldChar w:fldCharType="begin"/>
            </w:r>
            <w:r>
              <w:instrText xml:space="preserve"> PAGEREF _Toc100216 \h </w:instrText>
            </w:r>
            <w:r>
              <w:fldChar w:fldCharType="separate"/>
            </w:r>
            <w:r>
              <w:t>56</w:t>
            </w:r>
            <w:r>
              <w:fldChar w:fldCharType="end"/>
            </w:r>
          </w:hyperlink>
        </w:p>
        <w:p>
          <w:pPr>
            <w:pStyle w:val="11"/>
            <w:ind w:left="360"/>
            <w:tabs>
              <w:tab w:val="right" w:leader="dot" w:pos="9026"/>
            </w:tabs>
            <w:spacing w:before="120" w:after="60"/>
          </w:pPr>
          <w:hyperlink w:anchor="_Toc100217" w:history="1">
            <w:r>
              <w:rPr>
                <w:rStyle w:val="Hyperlink"/>
              </w:rPr>
              <w:t>6.10 系统设置</w:t>
            </w:r>
            <w:r>
              <w:tab/>
            </w:r>
            <w:r>
              <w:fldChar w:fldCharType="begin"/>
            </w:r>
            <w:r>
              <w:instrText xml:space="preserve"> PAGEREF _Toc100217 \h </w:instrText>
            </w:r>
            <w:r>
              <w:fldChar w:fldCharType="separate"/>
            </w:r>
            <w:r>
              <w:t>56</w:t>
            </w:r>
            <w:r>
              <w:fldChar w:fldCharType="end"/>
            </w:r>
          </w:hyperlink>
        </w:p>
        <w:p>
          <w:pPr>
            <w:pStyle w:val="12"/>
            <w:ind w:left="720"/>
            <w:tabs>
              <w:tab w:val="right" w:leader="dot" w:pos="9026"/>
            </w:tabs>
            <w:spacing w:before="120" w:after="60"/>
          </w:pPr>
          <w:hyperlink w:anchor="_Toc100218" w:history="1">
            <w:r>
              <w:rPr>
                <w:rStyle w:val="Hyperlink"/>
              </w:rPr>
              <w:t>6.10.1 系统参数</w:t>
            </w:r>
            <w:r>
              <w:tab/>
            </w:r>
            <w:r>
              <w:fldChar w:fldCharType="begin"/>
            </w:r>
            <w:r>
              <w:instrText xml:space="preserve"> PAGEREF _Toc100218 \h </w:instrText>
            </w:r>
            <w:r>
              <w:fldChar w:fldCharType="separate"/>
            </w:r>
            <w:r>
              <w:t>57</w:t>
            </w:r>
            <w:r>
              <w:fldChar w:fldCharType="end"/>
            </w:r>
          </w:hyperlink>
        </w:p>
        <w:p>
          <w:pPr>
            <w:pStyle w:val="12"/>
            <w:ind w:left="720"/>
            <w:tabs>
              <w:tab w:val="right" w:leader="dot" w:pos="9026"/>
            </w:tabs>
            <w:spacing w:before="120" w:after="60"/>
          </w:pPr>
          <w:hyperlink w:anchor="_Toc100219" w:history="1">
            <w:r>
              <w:rPr>
                <w:rStyle w:val="Hyperlink"/>
              </w:rPr>
              <w:t>6.10.2 管理员管理</w:t>
            </w:r>
            <w:r>
              <w:tab/>
            </w:r>
            <w:r>
              <w:fldChar w:fldCharType="begin"/>
            </w:r>
            <w:r>
              <w:instrText xml:space="preserve"> PAGEREF _Toc100219 \h </w:instrText>
            </w:r>
            <w:r>
              <w:fldChar w:fldCharType="separate"/>
            </w:r>
            <w:r>
              <w:t>57</w:t>
            </w:r>
            <w:r>
              <w:fldChar w:fldCharType="end"/>
            </w:r>
          </w:hyperlink>
        </w:p>
        <w:p>
          <w:pPr>
            <w:pStyle w:val="12"/>
            <w:ind w:left="720"/>
            <w:tabs>
              <w:tab w:val="right" w:leader="dot" w:pos="9026"/>
            </w:tabs>
            <w:spacing w:before="120" w:after="60"/>
          </w:pPr>
          <w:hyperlink w:anchor="_Toc100220" w:history="1">
            <w:r>
              <w:rPr>
                <w:rStyle w:val="Hyperlink"/>
              </w:rPr>
              <w:t>6.10.3 管理员保护规则</w:t>
            </w:r>
            <w:r>
              <w:tab/>
            </w:r>
            <w:r>
              <w:fldChar w:fldCharType="begin"/>
            </w:r>
            <w:r>
              <w:instrText xml:space="preserve"> PAGEREF _Toc100220 \h </w:instrText>
            </w:r>
            <w:r>
              <w:fldChar w:fldCharType="separate"/>
            </w:r>
            <w:r>
              <w:t>57</w:t>
            </w:r>
            <w:r>
              <w:fldChar w:fldCharType="end"/>
            </w:r>
          </w:hyperlink>
        </w:p>
        <w:p>
          <w:pPr>
            <w:pStyle w:val="12"/>
            <w:ind w:left="720"/>
            <w:tabs>
              <w:tab w:val="right" w:leader="dot" w:pos="9026"/>
            </w:tabs>
            <w:spacing w:before="120" w:after="60"/>
          </w:pPr>
          <w:hyperlink w:anchor="_Toc100221" w:history="1">
            <w:r>
              <w:rPr>
                <w:rStyle w:val="Hyperlink"/>
              </w:rPr>
              <w:t>6.10.4 界面框架与主题</w:t>
            </w:r>
            <w:r>
              <w:tab/>
            </w:r>
            <w:r>
              <w:fldChar w:fldCharType="begin"/>
            </w:r>
            <w:r>
              <w:instrText xml:space="preserve"> PAGEREF _Toc100221 \h </w:instrText>
            </w:r>
            <w:r>
              <w:fldChar w:fldCharType="separate"/>
            </w:r>
            <w:r>
              <w:t>57</w:t>
            </w:r>
            <w:r>
              <w:fldChar w:fldCharType="end"/>
            </w:r>
          </w:hyperlink>
        </w:p>
        <w:p>
          <w:pPr>
            <w:pStyle w:val="11"/>
            <w:ind w:left="360"/>
            <w:tabs>
              <w:tab w:val="right" w:leader="dot" w:pos="9026"/>
            </w:tabs>
            <w:spacing w:before="120" w:after="60"/>
          </w:pPr>
          <w:hyperlink w:anchor="_Toc100222" w:history="1">
            <w:r>
              <w:rPr>
                <w:rStyle w:val="Hyperlink"/>
              </w:rPr>
              <w:t>6.11 后台关键实现机制</w:t>
            </w:r>
            <w:r>
              <w:tab/>
            </w:r>
            <w:r>
              <w:fldChar w:fldCharType="begin"/>
            </w:r>
            <w:r>
              <w:instrText xml:space="preserve"> PAGEREF _Toc100222 \h </w:instrText>
            </w:r>
            <w:r>
              <w:fldChar w:fldCharType="separate"/>
            </w:r>
            <w:r>
              <w:t>58</w:t>
            </w:r>
            <w:r>
              <w:fldChar w:fldCharType="end"/>
            </w:r>
          </w:hyperlink>
        </w:p>
        <w:p>
          <w:pPr>
            <w:pStyle w:val="12"/>
            <w:ind w:left="720"/>
            <w:tabs>
              <w:tab w:val="right" w:leader="dot" w:pos="9026"/>
            </w:tabs>
            <w:spacing w:before="120" w:after="60"/>
          </w:pPr>
          <w:hyperlink w:anchor="_Toc100223" w:history="1">
            <w:r>
              <w:rPr>
                <w:rStyle w:val="Hyperlink"/>
              </w:rPr>
              <w:t>6.11.1 看板数据聚合实现</w:t>
            </w:r>
            <w:r>
              <w:tab/>
            </w:r>
            <w:r>
              <w:fldChar w:fldCharType="begin"/>
            </w:r>
            <w:r>
              <w:instrText xml:space="preserve"> PAGEREF _Toc100223 \h </w:instrText>
            </w:r>
            <w:r>
              <w:fldChar w:fldCharType="separate"/>
            </w:r>
            <w:r>
              <w:t>58</w:t>
            </w:r>
            <w:r>
              <w:fldChar w:fldCharType="end"/>
            </w:r>
          </w:hyperlink>
        </w:p>
        <w:p>
          <w:pPr>
            <w:pStyle w:val="12"/>
            <w:ind w:left="720"/>
            <w:tabs>
              <w:tab w:val="right" w:leader="dot" w:pos="9026"/>
            </w:tabs>
            <w:spacing w:before="120" w:after="60"/>
          </w:pPr>
          <w:hyperlink w:anchor="_Toc100224" w:history="1">
            <w:r>
              <w:rPr>
                <w:rStyle w:val="Hyperlink"/>
              </w:rPr>
              <w:t>6.11.2 数据大屏实现</w:t>
            </w:r>
            <w:r>
              <w:tab/>
            </w:r>
            <w:r>
              <w:fldChar w:fldCharType="begin"/>
            </w:r>
            <w:r>
              <w:instrText xml:space="preserve"> PAGEREF _Toc100224 \h </w:instrText>
            </w:r>
            <w:r>
              <w:fldChar w:fldCharType="separate"/>
            </w:r>
            <w:r>
              <w:t>58</w:t>
            </w:r>
            <w:r>
              <w:fldChar w:fldCharType="end"/>
            </w:r>
          </w:hyperlink>
        </w:p>
        <w:p>
          <w:pPr>
            <w:pStyle w:val="12"/>
            <w:ind w:left="720"/>
            <w:tabs>
              <w:tab w:val="right" w:leader="dot" w:pos="9026"/>
            </w:tabs>
            <w:spacing w:before="120" w:after="60"/>
          </w:pPr>
          <w:hyperlink w:anchor="_Toc100225" w:history="1">
            <w:r>
              <w:rPr>
                <w:rStyle w:val="Hyperlink"/>
              </w:rPr>
              <w:t>6.11.3 订单查询实现</w:t>
            </w:r>
            <w:r>
              <w:tab/>
            </w:r>
            <w:r>
              <w:fldChar w:fldCharType="begin"/>
            </w:r>
            <w:r>
              <w:instrText xml:space="preserve"> PAGEREF _Toc100225 \h </w:instrText>
            </w:r>
            <w:r>
              <w:fldChar w:fldCharType="separate"/>
            </w:r>
            <w:r>
              <w:t>59</w:t>
            </w:r>
            <w:r>
              <w:fldChar w:fldCharType="end"/>
            </w:r>
          </w:hyperlink>
        </w:p>
        <w:p>
          <w:pPr>
            <w:pStyle w:val="12"/>
            <w:ind w:left="720"/>
            <w:tabs>
              <w:tab w:val="right" w:leader="dot" w:pos="9026"/>
            </w:tabs>
            <w:spacing w:before="120" w:after="60"/>
          </w:pPr>
          <w:hyperlink w:anchor="_Toc100226" w:history="1">
            <w:r>
              <w:rPr>
                <w:rStyle w:val="Hyperlink"/>
              </w:rPr>
              <w:t>6.11.4 调价保护与批量实现</w:t>
            </w:r>
            <w:r>
              <w:tab/>
            </w:r>
            <w:r>
              <w:fldChar w:fldCharType="begin"/>
            </w:r>
            <w:r>
              <w:instrText xml:space="preserve"> PAGEREF _Toc100226 \h </w:instrText>
            </w:r>
            <w:r>
              <w:fldChar w:fldCharType="separate"/>
            </w:r>
            <w:r>
              <w:t>59</w:t>
            </w:r>
            <w:r>
              <w:fldChar w:fldCharType="end"/>
            </w:r>
          </w:hyperlink>
        </w:p>
        <w:p>
          <w:pPr>
            <w:pStyle w:val="12"/>
            <w:ind w:left="720"/>
            <w:tabs>
              <w:tab w:val="right" w:leader="dot" w:pos="9026"/>
            </w:tabs>
            <w:spacing w:before="120" w:after="60"/>
          </w:pPr>
          <w:hyperlink w:anchor="_Toc100227" w:history="1">
            <w:r>
              <w:rPr>
                <w:rStyle w:val="Hyperlink"/>
              </w:rPr>
              <w:t>6.11.5 导出实现</w:t>
            </w:r>
            <w:r>
              <w:tab/>
            </w:r>
            <w:r>
              <w:fldChar w:fldCharType="begin"/>
            </w:r>
            <w:r>
              <w:instrText xml:space="preserve"> PAGEREF _Toc100227 \h </w:instrText>
            </w:r>
            <w:r>
              <w:fldChar w:fldCharType="separate"/>
            </w:r>
            <w:r>
              <w:t>59</w:t>
            </w:r>
            <w:r>
              <w:fldChar w:fldCharType="end"/>
            </w:r>
          </w:hyperlink>
        </w:p>
        <w:p>
          <w:pPr>
            <w:pStyle w:val="12"/>
            <w:ind w:left="720"/>
            <w:tabs>
              <w:tab w:val="right" w:leader="dot" w:pos="9026"/>
            </w:tabs>
            <w:spacing w:before="120" w:after="60"/>
          </w:pPr>
          <w:hyperlink w:anchor="_Toc100228" w:history="1">
            <w:r>
              <w:rPr>
                <w:rStyle w:val="Hyperlink"/>
              </w:rPr>
              <w:t>6.11.6 鉴权中间件链实现</w:t>
            </w:r>
            <w:r>
              <w:tab/>
            </w:r>
            <w:r>
              <w:fldChar w:fldCharType="begin"/>
            </w:r>
            <w:r>
              <w:instrText xml:space="preserve"> PAGEREF _Toc100228 \h </w:instrText>
            </w:r>
            <w:r>
              <w:fldChar w:fldCharType="separate"/>
            </w:r>
            <w:r>
              <w:t>59</w:t>
            </w:r>
            <w:r>
              <w:fldChar w:fldCharType="end"/>
            </w:r>
          </w:hyperlink>
        </w:p>
        <w:p>
          <w:pPr>
            <w:pStyle w:val="12"/>
            <w:ind w:left="720"/>
            <w:tabs>
              <w:tab w:val="right" w:leader="dot" w:pos="9026"/>
            </w:tabs>
            <w:spacing w:before="120" w:after="60"/>
          </w:pPr>
          <w:hyperlink w:anchor="_Toc100229" w:history="1">
            <w:r>
              <w:rPr>
                <w:rStyle w:val="Hyperlink"/>
              </w:rPr>
              <w:t>6.11.7 单点登录实现</w:t>
            </w:r>
            <w:r>
              <w:tab/>
            </w:r>
            <w:r>
              <w:fldChar w:fldCharType="begin"/>
            </w:r>
            <w:r>
              <w:instrText xml:space="preserve"> PAGEREF _Toc100229 \h </w:instrText>
            </w:r>
            <w:r>
              <w:fldChar w:fldCharType="separate"/>
            </w:r>
            <w:r>
              <w:t>60</w:t>
            </w:r>
            <w:r>
              <w:fldChar w:fldCharType="end"/>
            </w:r>
          </w:hyperlink>
        </w:p>
        <w:p>
          <w:pPr>
            <w:pStyle w:val="9"/>
            <w:tabs>
              <w:tab w:val="right" w:leader="dot" w:pos="9026"/>
            </w:tabs>
            <w:spacing w:before="120" w:after="60"/>
          </w:pPr>
          <w:hyperlink w:anchor="_Toc100230" w:history="1">
            <w:r>
              <w:rPr>
                <w:rStyle w:val="Hyperlink"/>
              </w:rPr>
              <w:t>第七章 安全设计</w:t>
            </w:r>
            <w:r>
              <w:tab/>
            </w:r>
            <w:r>
              <w:fldChar w:fldCharType="begin"/>
            </w:r>
            <w:r>
              <w:instrText xml:space="preserve"> PAGEREF _Toc100230 \h </w:instrText>
            </w:r>
            <w:r>
              <w:fldChar w:fldCharType="separate"/>
            </w:r>
            <w:r>
              <w:t>60</w:t>
            </w:r>
            <w:r>
              <w:fldChar w:fldCharType="end"/>
            </w:r>
          </w:hyperlink>
        </w:p>
        <w:p>
          <w:pPr>
            <w:pStyle w:val="11"/>
            <w:ind w:left="360"/>
            <w:tabs>
              <w:tab w:val="right" w:leader="dot" w:pos="9026"/>
            </w:tabs>
            <w:spacing w:before="120" w:after="60"/>
          </w:pPr>
          <w:hyperlink w:anchor="_Toc100231" w:history="1">
            <w:r>
              <w:rPr>
                <w:rStyle w:val="Hyperlink"/>
              </w:rPr>
              <w:t>7.1 身份认证安全</w:t>
            </w:r>
            <w:r>
              <w:tab/>
            </w:r>
            <w:r>
              <w:fldChar w:fldCharType="begin"/>
            </w:r>
            <w:r>
              <w:instrText xml:space="preserve"> PAGEREF _Toc100231 \h </w:instrText>
            </w:r>
            <w:r>
              <w:fldChar w:fldCharType="separate"/>
            </w:r>
            <w:r>
              <w:t>60</w:t>
            </w:r>
            <w:r>
              <w:fldChar w:fldCharType="end"/>
            </w:r>
          </w:hyperlink>
        </w:p>
        <w:p>
          <w:pPr>
            <w:pStyle w:val="12"/>
            <w:ind w:left="720"/>
            <w:tabs>
              <w:tab w:val="right" w:leader="dot" w:pos="9026"/>
            </w:tabs>
            <w:spacing w:before="120" w:after="60"/>
          </w:pPr>
          <w:hyperlink w:anchor="_Toc100232" w:history="1">
            <w:r>
              <w:rPr>
                <w:rStyle w:val="Hyperlink"/>
              </w:rPr>
              <w:t>7.1.1 密码存储</w:t>
            </w:r>
            <w:r>
              <w:tab/>
            </w:r>
            <w:r>
              <w:fldChar w:fldCharType="begin"/>
            </w:r>
            <w:r>
              <w:instrText xml:space="preserve"> PAGEREF _Toc100232 \h </w:instrText>
            </w:r>
            <w:r>
              <w:fldChar w:fldCharType="separate"/>
            </w:r>
            <w:r>
              <w:t>60</w:t>
            </w:r>
            <w:r>
              <w:fldChar w:fldCharType="end"/>
            </w:r>
          </w:hyperlink>
        </w:p>
        <w:p>
          <w:pPr>
            <w:pStyle w:val="12"/>
            <w:ind w:left="720"/>
            <w:tabs>
              <w:tab w:val="right" w:leader="dot" w:pos="9026"/>
            </w:tabs>
            <w:spacing w:before="120" w:after="60"/>
          </w:pPr>
          <w:hyperlink w:anchor="_Toc100233" w:history="1">
            <w:r>
              <w:rPr>
                <w:rStyle w:val="Hyperlink"/>
              </w:rPr>
              <w:t>7.1.2 令牌机制</w:t>
            </w:r>
            <w:r>
              <w:tab/>
            </w:r>
            <w:r>
              <w:fldChar w:fldCharType="begin"/>
            </w:r>
            <w:r>
              <w:instrText xml:space="preserve"> PAGEREF _Toc100233 \h </w:instrText>
            </w:r>
            <w:r>
              <w:fldChar w:fldCharType="separate"/>
            </w:r>
            <w:r>
              <w:t>60</w:t>
            </w:r>
            <w:r>
              <w:fldChar w:fldCharType="end"/>
            </w:r>
          </w:hyperlink>
        </w:p>
        <w:p>
          <w:pPr>
            <w:pStyle w:val="12"/>
            <w:ind w:left="720"/>
            <w:tabs>
              <w:tab w:val="right" w:leader="dot" w:pos="9026"/>
            </w:tabs>
            <w:spacing w:before="120" w:after="60"/>
          </w:pPr>
          <w:hyperlink w:anchor="_Toc100234" w:history="1">
            <w:r>
              <w:rPr>
                <w:rStyle w:val="Hyperlink"/>
              </w:rPr>
              <w:t>7.1.3 会话即时失效</w:t>
            </w:r>
            <w:r>
              <w:tab/>
            </w:r>
            <w:r>
              <w:fldChar w:fldCharType="begin"/>
            </w:r>
            <w:r>
              <w:instrText xml:space="preserve"> PAGEREF _Toc100234 \h </w:instrText>
            </w:r>
            <w:r>
              <w:fldChar w:fldCharType="separate"/>
            </w:r>
            <w:r>
              <w:t>61</w:t>
            </w:r>
            <w:r>
              <w:fldChar w:fldCharType="end"/>
            </w:r>
          </w:hyperlink>
        </w:p>
        <w:p>
          <w:pPr>
            <w:pStyle w:val="11"/>
            <w:ind w:left="360"/>
            <w:tabs>
              <w:tab w:val="right" w:leader="dot" w:pos="9026"/>
            </w:tabs>
            <w:spacing w:before="120" w:after="60"/>
          </w:pPr>
          <w:hyperlink w:anchor="_Toc100235" w:history="1">
            <w:r>
              <w:rPr>
                <w:rStyle w:val="Hyperlink"/>
              </w:rPr>
              <w:t>7.2 权限控制</w:t>
            </w:r>
            <w:r>
              <w:tab/>
            </w:r>
            <w:r>
              <w:fldChar w:fldCharType="begin"/>
            </w:r>
            <w:r>
              <w:instrText xml:space="preserve"> PAGEREF _Toc100235 \h </w:instrText>
            </w:r>
            <w:r>
              <w:fldChar w:fldCharType="separate"/>
            </w:r>
            <w:r>
              <w:t>61</w:t>
            </w:r>
            <w:r>
              <w:fldChar w:fldCharType="end"/>
            </w:r>
          </w:hyperlink>
        </w:p>
        <w:p>
          <w:pPr>
            <w:pStyle w:val="12"/>
            <w:ind w:left="720"/>
            <w:tabs>
              <w:tab w:val="right" w:leader="dot" w:pos="9026"/>
            </w:tabs>
            <w:spacing w:before="120" w:after="60"/>
          </w:pPr>
          <w:hyperlink w:anchor="_Toc100236" w:history="1">
            <w:r>
              <w:rPr>
                <w:rStyle w:val="Hyperlink"/>
              </w:rPr>
              <w:t>7.2.1 角色定义</w:t>
            </w:r>
            <w:r>
              <w:tab/>
            </w:r>
            <w:r>
              <w:fldChar w:fldCharType="begin"/>
            </w:r>
            <w:r>
              <w:instrText xml:space="preserve"> PAGEREF _Toc100236 \h </w:instrText>
            </w:r>
            <w:r>
              <w:fldChar w:fldCharType="separate"/>
            </w:r>
            <w:r>
              <w:t>61</w:t>
            </w:r>
            <w:r>
              <w:fldChar w:fldCharType="end"/>
            </w:r>
          </w:hyperlink>
        </w:p>
        <w:p>
          <w:pPr>
            <w:pStyle w:val="12"/>
            <w:ind w:left="720"/>
            <w:tabs>
              <w:tab w:val="right" w:leader="dot" w:pos="9026"/>
            </w:tabs>
            <w:spacing w:before="120" w:after="60"/>
          </w:pPr>
          <w:hyperlink w:anchor="_Toc100237" w:history="1">
            <w:r>
              <w:rPr>
                <w:rStyle w:val="Hyperlink"/>
              </w:rPr>
              <w:t>7.2.2 服务端实施</w:t>
            </w:r>
            <w:r>
              <w:tab/>
            </w:r>
            <w:r>
              <w:fldChar w:fldCharType="begin"/>
            </w:r>
            <w:r>
              <w:instrText xml:space="preserve"> PAGEREF _Toc100237 \h </w:instrText>
            </w:r>
            <w:r>
              <w:fldChar w:fldCharType="separate"/>
            </w:r>
            <w:r>
              <w:t>61</w:t>
            </w:r>
            <w:r>
              <w:fldChar w:fldCharType="end"/>
            </w:r>
          </w:hyperlink>
        </w:p>
        <w:p>
          <w:pPr>
            <w:pStyle w:val="12"/>
            <w:ind w:left="720"/>
            <w:tabs>
              <w:tab w:val="right" w:leader="dot" w:pos="9026"/>
            </w:tabs>
            <w:spacing w:before="120" w:after="60"/>
          </w:pPr>
          <w:hyperlink w:anchor="_Toc100238" w:history="1">
            <w:r>
              <w:rPr>
                <w:rStyle w:val="Hyperlink"/>
              </w:rPr>
              <w:t>7.2.3 前端配合</w:t>
            </w:r>
            <w:r>
              <w:tab/>
            </w:r>
            <w:r>
              <w:fldChar w:fldCharType="begin"/>
            </w:r>
            <w:r>
              <w:instrText xml:space="preserve"> PAGEREF _Toc100238 \h </w:instrText>
            </w:r>
            <w:r>
              <w:fldChar w:fldCharType="separate"/>
            </w:r>
            <w:r>
              <w:t>61</w:t>
            </w:r>
            <w:r>
              <w:fldChar w:fldCharType="end"/>
            </w:r>
          </w:hyperlink>
        </w:p>
        <w:p>
          <w:pPr>
            <w:pStyle w:val="11"/>
            <w:ind w:left="360"/>
            <w:tabs>
              <w:tab w:val="right" w:leader="dot" w:pos="9026"/>
            </w:tabs>
            <w:spacing w:before="120" w:after="60"/>
          </w:pPr>
          <w:hyperlink w:anchor="_Toc100239" w:history="1">
            <w:r>
              <w:rPr>
                <w:rStyle w:val="Hyperlink"/>
              </w:rPr>
              <w:t>7.3 数据安全</w:t>
            </w:r>
            <w:r>
              <w:tab/>
            </w:r>
            <w:r>
              <w:fldChar w:fldCharType="begin"/>
            </w:r>
            <w:r>
              <w:instrText xml:space="preserve"> PAGEREF _Toc100239 \h </w:instrText>
            </w:r>
            <w:r>
              <w:fldChar w:fldCharType="separate"/>
            </w:r>
            <w:r>
              <w:t>62</w:t>
            </w:r>
            <w:r>
              <w:fldChar w:fldCharType="end"/>
            </w:r>
          </w:hyperlink>
        </w:p>
        <w:p>
          <w:pPr>
            <w:pStyle w:val="12"/>
            <w:ind w:left="720"/>
            <w:tabs>
              <w:tab w:val="right" w:leader="dot" w:pos="9026"/>
            </w:tabs>
            <w:spacing w:before="120" w:after="60"/>
          </w:pPr>
          <w:hyperlink w:anchor="_Toc100240" w:history="1">
            <w:r>
              <w:rPr>
                <w:rStyle w:val="Hyperlink"/>
              </w:rPr>
              <w:t>7.3.1 参数化查询</w:t>
            </w:r>
            <w:r>
              <w:tab/>
            </w:r>
            <w:r>
              <w:fldChar w:fldCharType="begin"/>
            </w:r>
            <w:r>
              <w:instrText xml:space="preserve"> PAGEREF _Toc100240 \h </w:instrText>
            </w:r>
            <w:r>
              <w:fldChar w:fldCharType="separate"/>
            </w:r>
            <w:r>
              <w:t>62</w:t>
            </w:r>
            <w:r>
              <w:fldChar w:fldCharType="end"/>
            </w:r>
          </w:hyperlink>
        </w:p>
        <w:p>
          <w:pPr>
            <w:pStyle w:val="12"/>
            <w:ind w:left="720"/>
            <w:tabs>
              <w:tab w:val="right" w:leader="dot" w:pos="9026"/>
            </w:tabs>
            <w:spacing w:before="120" w:after="60"/>
          </w:pPr>
          <w:hyperlink w:anchor="_Toc100241" w:history="1">
            <w:r>
              <w:rPr>
                <w:rStyle w:val="Hyperlink"/>
              </w:rPr>
              <w:t>7.3.2 输入校验与限流</w:t>
            </w:r>
            <w:r>
              <w:tab/>
            </w:r>
            <w:r>
              <w:fldChar w:fldCharType="begin"/>
            </w:r>
            <w:r>
              <w:instrText xml:space="preserve"> PAGEREF _Toc100241 \h </w:instrText>
            </w:r>
            <w:r>
              <w:fldChar w:fldCharType="separate"/>
            </w:r>
            <w:r>
              <w:t>62</w:t>
            </w:r>
            <w:r>
              <w:fldChar w:fldCharType="end"/>
            </w:r>
          </w:hyperlink>
        </w:p>
        <w:p>
          <w:pPr>
            <w:pStyle w:val="12"/>
            <w:ind w:left="720"/>
            <w:tabs>
              <w:tab w:val="right" w:leader="dot" w:pos="9026"/>
            </w:tabs>
            <w:spacing w:before="120" w:after="60"/>
          </w:pPr>
          <w:hyperlink w:anchor="_Toc100242" w:history="1">
            <w:r>
              <w:rPr>
                <w:rStyle w:val="Hyperlink"/>
              </w:rPr>
              <w:t>7.3.3 敏感配置管理</w:t>
            </w:r>
            <w:r>
              <w:tab/>
            </w:r>
            <w:r>
              <w:fldChar w:fldCharType="begin"/>
            </w:r>
            <w:r>
              <w:instrText xml:space="preserve"> PAGEREF _Toc100242 \h </w:instrText>
            </w:r>
            <w:r>
              <w:fldChar w:fldCharType="separate"/>
            </w:r>
            <w:r>
              <w:t>62</w:t>
            </w:r>
            <w:r>
              <w:fldChar w:fldCharType="end"/>
            </w:r>
          </w:hyperlink>
        </w:p>
        <w:p>
          <w:pPr>
            <w:pStyle w:val="11"/>
            <w:ind w:left="360"/>
            <w:tabs>
              <w:tab w:val="right" w:leader="dot" w:pos="9026"/>
            </w:tabs>
            <w:spacing w:before="120" w:after="60"/>
          </w:pPr>
          <w:hyperlink w:anchor="_Toc100243" w:history="1">
            <w:r>
              <w:rPr>
                <w:rStyle w:val="Hyperlink"/>
              </w:rPr>
              <w:t>7.4 操作审计</w:t>
            </w:r>
            <w:r>
              <w:tab/>
            </w:r>
            <w:r>
              <w:fldChar w:fldCharType="begin"/>
            </w:r>
            <w:r>
              <w:instrText xml:space="preserve"> PAGEREF _Toc100243 \h </w:instrText>
            </w:r>
            <w:r>
              <w:fldChar w:fldCharType="separate"/>
            </w:r>
            <w:r>
              <w:t>63</w:t>
            </w:r>
            <w:r>
              <w:fldChar w:fldCharType="end"/>
            </w:r>
          </w:hyperlink>
        </w:p>
        <w:p>
          <w:pPr>
            <w:pStyle w:val="11"/>
            <w:ind w:left="360"/>
            <w:tabs>
              <w:tab w:val="right" w:leader="dot" w:pos="9026"/>
            </w:tabs>
            <w:spacing w:before="120" w:after="60"/>
          </w:pPr>
          <w:hyperlink w:anchor="_Toc100244" w:history="1">
            <w:r>
              <w:rPr>
                <w:rStyle w:val="Hyperlink"/>
              </w:rPr>
              <w:t>7.5 传输与部署安全</w:t>
            </w:r>
            <w:r>
              <w:tab/>
            </w:r>
            <w:r>
              <w:fldChar w:fldCharType="begin"/>
            </w:r>
            <w:r>
              <w:instrText xml:space="preserve"> PAGEREF _Toc100244 \h </w:instrText>
            </w:r>
            <w:r>
              <w:fldChar w:fldCharType="separate"/>
            </w:r>
            <w:r>
              <w:t>63</w:t>
            </w:r>
            <w:r>
              <w:fldChar w:fldCharType="end"/>
            </w:r>
          </w:hyperlink>
        </w:p>
        <w:p>
          <w:pPr>
            <w:pStyle w:val="12"/>
            <w:ind w:left="720"/>
            <w:tabs>
              <w:tab w:val="right" w:leader="dot" w:pos="9026"/>
            </w:tabs>
            <w:spacing w:before="120" w:after="60"/>
          </w:pPr>
          <w:hyperlink w:anchor="_Toc100245" w:history="1">
            <w:r>
              <w:rPr>
                <w:rStyle w:val="Hyperlink"/>
              </w:rPr>
              <w:t>7.5.1 传输安全</w:t>
            </w:r>
            <w:r>
              <w:tab/>
            </w:r>
            <w:r>
              <w:fldChar w:fldCharType="begin"/>
            </w:r>
            <w:r>
              <w:instrText xml:space="preserve"> PAGEREF _Toc100245 \h </w:instrText>
            </w:r>
            <w:r>
              <w:fldChar w:fldCharType="separate"/>
            </w:r>
            <w:r>
              <w:t>63</w:t>
            </w:r>
            <w:r>
              <w:fldChar w:fldCharType="end"/>
            </w:r>
          </w:hyperlink>
        </w:p>
        <w:p>
          <w:pPr>
            <w:pStyle w:val="12"/>
            <w:ind w:left="720"/>
            <w:tabs>
              <w:tab w:val="right" w:leader="dot" w:pos="9026"/>
            </w:tabs>
            <w:spacing w:before="120" w:after="60"/>
          </w:pPr>
          <w:hyperlink w:anchor="_Toc100246" w:history="1">
            <w:r>
              <w:rPr>
                <w:rStyle w:val="Hyperlink"/>
              </w:rPr>
              <w:t>7.5.2 端口收敛</w:t>
            </w:r>
            <w:r>
              <w:tab/>
            </w:r>
            <w:r>
              <w:fldChar w:fldCharType="begin"/>
            </w:r>
            <w:r>
              <w:instrText xml:space="preserve"> PAGEREF _Toc100246 \h </w:instrText>
            </w:r>
            <w:r>
              <w:fldChar w:fldCharType="separate"/>
            </w:r>
            <w:r>
              <w:t>63</w:t>
            </w:r>
            <w:r>
              <w:fldChar w:fldCharType="end"/>
            </w:r>
          </w:hyperlink>
        </w:p>
        <w:p>
          <w:pPr>
            <w:pStyle w:val="12"/>
            <w:ind w:left="720"/>
            <w:tabs>
              <w:tab w:val="right" w:leader="dot" w:pos="9026"/>
            </w:tabs>
            <w:spacing w:before="120" w:after="60"/>
          </w:pPr>
          <w:hyperlink w:anchor="_Toc100247" w:history="1">
            <w:r>
              <w:rPr>
                <w:rStyle w:val="Hyperlink"/>
              </w:rPr>
              <w:t>7.5.3 容器隔离</w:t>
            </w:r>
            <w:r>
              <w:tab/>
            </w:r>
            <w:r>
              <w:fldChar w:fldCharType="begin"/>
            </w:r>
            <w:r>
              <w:instrText xml:space="preserve"> PAGEREF _Toc100247 \h </w:instrText>
            </w:r>
            <w:r>
              <w:fldChar w:fldCharType="separate"/>
            </w:r>
            <w:r>
              <w:t>63</w:t>
            </w:r>
            <w:r>
              <w:fldChar w:fldCharType="end"/>
            </w:r>
          </w:hyperlink>
        </w:p>
        <w:p>
          <w:pPr>
            <w:pStyle w:val="11"/>
            <w:ind w:left="360"/>
            <w:tabs>
              <w:tab w:val="right" w:leader="dot" w:pos="9026"/>
            </w:tabs>
            <w:spacing w:before="120" w:after="60"/>
          </w:pPr>
          <w:hyperlink w:anchor="_Toc100248" w:history="1">
            <w:r>
              <w:rPr>
                <w:rStyle w:val="Hyperlink"/>
              </w:rPr>
              <w:t>7.6 安全威胁与对策</w:t>
            </w:r>
            <w:r>
              <w:tab/>
            </w:r>
            <w:r>
              <w:fldChar w:fldCharType="begin"/>
            </w:r>
            <w:r>
              <w:instrText xml:space="preserve"> PAGEREF _Toc100248 \h </w:instrText>
            </w:r>
            <w:r>
              <w:fldChar w:fldCharType="separate"/>
            </w:r>
            <w:r>
              <w:t>64</w:t>
            </w:r>
            <w:r>
              <w:fldChar w:fldCharType="end"/>
            </w:r>
          </w:hyperlink>
        </w:p>
        <w:p>
          <w:pPr>
            <w:pStyle w:val="9"/>
            <w:tabs>
              <w:tab w:val="right" w:leader="dot" w:pos="9026"/>
            </w:tabs>
            <w:spacing w:before="120" w:after="60"/>
          </w:pPr>
          <w:hyperlink w:anchor="_Toc100249" w:history="1">
            <w:r>
              <w:rPr>
                <w:rStyle w:val="Hyperlink"/>
              </w:rPr>
              <w:t>第八章 运行与维护</w:t>
            </w:r>
            <w:r>
              <w:tab/>
            </w:r>
            <w:r>
              <w:fldChar w:fldCharType="begin"/>
            </w:r>
            <w:r>
              <w:instrText xml:space="preserve"> PAGEREF _Toc100249 \h </w:instrText>
            </w:r>
            <w:r>
              <w:fldChar w:fldCharType="separate"/>
            </w:r>
            <w:r>
              <w:t>64</w:t>
            </w:r>
            <w:r>
              <w:fldChar w:fldCharType="end"/>
            </w:r>
          </w:hyperlink>
        </w:p>
        <w:p>
          <w:pPr>
            <w:pStyle w:val="11"/>
            <w:ind w:left="360"/>
            <w:tabs>
              <w:tab w:val="right" w:leader="dot" w:pos="9026"/>
            </w:tabs>
            <w:spacing w:before="120" w:after="60"/>
          </w:pPr>
          <w:hyperlink w:anchor="_Toc100250" w:history="1">
            <w:r>
              <w:rPr>
                <w:rStyle w:val="Hyperlink"/>
              </w:rPr>
              <w:t>8.1 部署方式</w:t>
            </w:r>
            <w:r>
              <w:tab/>
            </w:r>
            <w:r>
              <w:fldChar w:fldCharType="begin"/>
            </w:r>
            <w:r>
              <w:instrText xml:space="preserve"> PAGEREF _Toc100250 \h </w:instrText>
            </w:r>
            <w:r>
              <w:fldChar w:fldCharType="separate"/>
            </w:r>
            <w:r>
              <w:t>64</w:t>
            </w:r>
            <w:r>
              <w:fldChar w:fldCharType="end"/>
            </w:r>
          </w:hyperlink>
        </w:p>
        <w:p>
          <w:pPr>
            <w:pStyle w:val="12"/>
            <w:ind w:left="720"/>
            <w:tabs>
              <w:tab w:val="right" w:leader="dot" w:pos="9026"/>
            </w:tabs>
            <w:spacing w:before="120" w:after="60"/>
          </w:pPr>
          <w:hyperlink w:anchor="_Toc100251" w:history="1">
            <w:r>
              <w:rPr>
                <w:rStyle w:val="Hyperlink"/>
              </w:rPr>
              <w:t>8.1.1 容器编排</w:t>
            </w:r>
            <w:r>
              <w:tab/>
            </w:r>
            <w:r>
              <w:fldChar w:fldCharType="begin"/>
            </w:r>
            <w:r>
              <w:instrText xml:space="preserve"> PAGEREF _Toc100251 \h </w:instrText>
            </w:r>
            <w:r>
              <w:fldChar w:fldCharType="separate"/>
            </w:r>
            <w:r>
              <w:t>64</w:t>
            </w:r>
            <w:r>
              <w:fldChar w:fldCharType="end"/>
            </w:r>
          </w:hyperlink>
        </w:p>
        <w:p>
          <w:pPr>
            <w:pStyle w:val="12"/>
            <w:ind w:left="720"/>
            <w:tabs>
              <w:tab w:val="right" w:leader="dot" w:pos="9026"/>
            </w:tabs>
            <w:spacing w:before="120" w:after="60"/>
          </w:pPr>
          <w:hyperlink w:anchor="_Toc100252" w:history="1">
            <w:r>
              <w:rPr>
                <w:rStyle w:val="Hyperlink"/>
              </w:rPr>
              <w:t>8.1.2 前端子路径构建</w:t>
            </w:r>
            <w:r>
              <w:tab/>
            </w:r>
            <w:r>
              <w:fldChar w:fldCharType="begin"/>
            </w:r>
            <w:r>
              <w:instrText xml:space="preserve"> PAGEREF _Toc100252 \h </w:instrText>
            </w:r>
            <w:r>
              <w:fldChar w:fldCharType="separate"/>
            </w:r>
            <w:r>
              <w:t>65</w:t>
            </w:r>
            <w:r>
              <w:fldChar w:fldCharType="end"/>
            </w:r>
          </w:hyperlink>
        </w:p>
        <w:p>
          <w:pPr>
            <w:pStyle w:val="12"/>
            <w:ind w:left="720"/>
            <w:tabs>
              <w:tab w:val="right" w:leader="dot" w:pos="9026"/>
            </w:tabs>
            <w:spacing w:before="120" w:after="60"/>
          </w:pPr>
          <w:hyperlink w:anchor="_Toc100253" w:history="1">
            <w:r>
              <w:rPr>
                <w:rStyle w:val="Hyperlink"/>
              </w:rPr>
              <w:t>8.1.3 端口规划</w:t>
            </w:r>
            <w:r>
              <w:tab/>
            </w:r>
            <w:r>
              <w:fldChar w:fldCharType="begin"/>
            </w:r>
            <w:r>
              <w:instrText xml:space="preserve"> PAGEREF _Toc100253 \h </w:instrText>
            </w:r>
            <w:r>
              <w:fldChar w:fldCharType="separate"/>
            </w:r>
            <w:r>
              <w:t>65</w:t>
            </w:r>
            <w:r>
              <w:fldChar w:fldCharType="end"/>
            </w:r>
          </w:hyperlink>
        </w:p>
        <w:p>
          <w:pPr>
            <w:pStyle w:val="11"/>
            <w:ind w:left="360"/>
            <w:tabs>
              <w:tab w:val="right" w:leader="dot" w:pos="9026"/>
            </w:tabs>
            <w:spacing w:before="120" w:after="60"/>
          </w:pPr>
          <w:hyperlink w:anchor="_Toc100254" w:history="1">
            <w:r>
              <w:rPr>
                <w:rStyle w:val="Hyperlink"/>
              </w:rPr>
              <w:t>8.2 初始化与种子数据</w:t>
            </w:r>
            <w:r>
              <w:tab/>
            </w:r>
            <w:r>
              <w:fldChar w:fldCharType="begin"/>
            </w:r>
            <w:r>
              <w:instrText xml:space="preserve"> PAGEREF _Toc100254 \h </w:instrText>
            </w:r>
            <w:r>
              <w:fldChar w:fldCharType="separate"/>
            </w:r>
            <w:r>
              <w:t>65</w:t>
            </w:r>
            <w:r>
              <w:fldChar w:fldCharType="end"/>
            </w:r>
          </w:hyperlink>
        </w:p>
        <w:p>
          <w:pPr>
            <w:pStyle w:val="11"/>
            <w:ind w:left="360"/>
            <w:tabs>
              <w:tab w:val="right" w:leader="dot" w:pos="9026"/>
            </w:tabs>
            <w:spacing w:before="120" w:after="60"/>
          </w:pPr>
          <w:hyperlink w:anchor="_Toc100255" w:history="1">
            <w:r>
              <w:rPr>
                <w:rStyle w:val="Hyperlink"/>
              </w:rPr>
              <w:t>8.3 健康检查与监控</w:t>
            </w:r>
            <w:r>
              <w:tab/>
            </w:r>
            <w:r>
              <w:fldChar w:fldCharType="begin"/>
            </w:r>
            <w:r>
              <w:instrText xml:space="preserve"> PAGEREF _Toc100255 \h </w:instrText>
            </w:r>
            <w:r>
              <w:fldChar w:fldCharType="separate"/>
            </w:r>
            <w:r>
              <w:t>65</w:t>
            </w:r>
            <w:r>
              <w:fldChar w:fldCharType="end"/>
            </w:r>
          </w:hyperlink>
        </w:p>
        <w:p>
          <w:pPr>
            <w:pStyle w:val="11"/>
            <w:ind w:left="360"/>
            <w:tabs>
              <w:tab w:val="right" w:leader="dot" w:pos="9026"/>
            </w:tabs>
            <w:spacing w:before="120" w:after="60"/>
          </w:pPr>
          <w:hyperlink w:anchor="_Toc100256" w:history="1">
            <w:r>
              <w:rPr>
                <w:rStyle w:val="Hyperlink"/>
              </w:rPr>
              <w:t>8.4 常见问题与处理</w:t>
            </w:r>
            <w:r>
              <w:tab/>
            </w:r>
            <w:r>
              <w:fldChar w:fldCharType="begin"/>
            </w:r>
            <w:r>
              <w:instrText xml:space="preserve"> PAGEREF _Toc100256 \h </w:instrText>
            </w:r>
            <w:r>
              <w:fldChar w:fldCharType="separate"/>
            </w:r>
            <w:r>
              <w:t>66</w:t>
            </w:r>
            <w:r>
              <w:fldChar w:fldCharType="end"/>
            </w:r>
          </w:hyperlink>
        </w:p>
        <w:p>
          <w:pPr>
            <w:pStyle w:val="11"/>
            <w:ind w:left="360"/>
            <w:tabs>
              <w:tab w:val="right" w:leader="dot" w:pos="9026"/>
            </w:tabs>
            <w:spacing w:before="120" w:after="60"/>
          </w:pPr>
          <w:hyperlink w:anchor="_Toc100257" w:history="1">
            <w:r>
              <w:rPr>
                <w:rStyle w:val="Hyperlink"/>
              </w:rPr>
              <w:t>8.5 备份恢复与升级</w:t>
            </w:r>
            <w:r>
              <w:tab/>
            </w:r>
            <w:r>
              <w:fldChar w:fldCharType="begin"/>
            </w:r>
            <w:r>
              <w:instrText xml:space="preserve"> PAGEREF _Toc100257 \h </w:instrText>
            </w:r>
            <w:r>
              <w:fldChar w:fldCharType="separate"/>
            </w:r>
            <w:r>
              <w:t>66</w:t>
            </w:r>
            <w:r>
              <w:fldChar w:fldCharType="end"/>
            </w:r>
          </w:hyperlink>
        </w:p>
        <w:p>
          <w:pPr>
            <w:pStyle w:val="12"/>
            <w:ind w:left="720"/>
            <w:tabs>
              <w:tab w:val="right" w:leader="dot" w:pos="9026"/>
            </w:tabs>
            <w:spacing w:before="120" w:after="60"/>
          </w:pPr>
          <w:hyperlink w:anchor="_Toc100258" w:history="1">
            <w:r>
              <w:rPr>
                <w:rStyle w:val="Hyperlink"/>
              </w:rPr>
              <w:t>8.5.1 备份策略</w:t>
            </w:r>
            <w:r>
              <w:tab/>
            </w:r>
            <w:r>
              <w:fldChar w:fldCharType="begin"/>
            </w:r>
            <w:r>
              <w:instrText xml:space="preserve"> PAGEREF _Toc100258 \h </w:instrText>
            </w:r>
            <w:r>
              <w:fldChar w:fldCharType="separate"/>
            </w:r>
            <w:r>
              <w:t>66</w:t>
            </w:r>
            <w:r>
              <w:fldChar w:fldCharType="end"/>
            </w:r>
          </w:hyperlink>
        </w:p>
        <w:p>
          <w:pPr>
            <w:pStyle w:val="12"/>
            <w:ind w:left="720"/>
            <w:tabs>
              <w:tab w:val="right" w:leader="dot" w:pos="9026"/>
            </w:tabs>
            <w:spacing w:before="120" w:after="60"/>
          </w:pPr>
          <w:hyperlink w:anchor="_Toc100259" w:history="1">
            <w:r>
              <w:rPr>
                <w:rStyle w:val="Hyperlink"/>
              </w:rPr>
              <w:t>8.5.2 升级流程</w:t>
            </w:r>
            <w:r>
              <w:tab/>
            </w:r>
            <w:r>
              <w:fldChar w:fldCharType="begin"/>
            </w:r>
            <w:r>
              <w:instrText xml:space="preserve"> PAGEREF _Toc100259 \h </w:instrText>
            </w:r>
            <w:r>
              <w:fldChar w:fldCharType="separate"/>
            </w:r>
            <w:r>
              <w:t>66</w:t>
            </w:r>
            <w:r>
              <w:fldChar w:fldCharType="end"/>
            </w:r>
          </w:hyperlink>
        </w:p>
        <w:p>
          <w:r>
            <w:fldChar w:fldCharType="end"/>
          </w:r>
        </w:p>
      </w:sdtContent>
    </w:sdt>
    <w:p>
      <w:pPr>
        <w:spacing w:before="200"/>
      </w:pPr>
      <w:r>
        <w:rPr>
          <w:rFonts w:ascii="Times New Roman" w:eastAsia="SimSun"/>
          <w:i/>
          <w:iCs/>
          <w:color w:val="888888"/>
          <w:sz w:val="18"/>
          <w:szCs w:val="18"/>
        </w:rPr>
        <w:t xml:space="preserve">注：本目录由域代码生成。文档编辑后如需刷新页码，请在目录上点击右键并选择「更新域」。</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pageBreakBefore/>
        <w:spacing w:after="240" w:before="240" w:line="312"/>
        <w:jc w:val="center"/>
      </w:pPr>
      <w:bookmarkStart w:id="100000" w:name="_Toc100000"/>
      <w:r>
        <w:rPr>
          <w:rFonts w:ascii="Times New Roman" w:eastAsia="SimHei"/>
          <w:b/>
          <w:bCs/>
          <w:color w:val="000000"/>
          <w:sz w:val="32"/>
          <w:szCs w:val="32"/>
        </w:rPr>
        <w:t xml:space="preserve">第一章 概述</w:t>
      </w:r>
      <w:bookmarkEnd w:id="100000"/>
    </w:p>
    <w:p>
      <w:pPr>
        <w:pStyle w:val="Heading2"/>
        <w:spacing w:after="140" w:before="300" w:line="312"/>
      </w:pPr>
      <w:bookmarkStart w:id="100001" w:name="_Toc100001"/>
      <w:r>
        <w:rPr>
          <w:rFonts w:ascii="Times New Roman" w:eastAsia="SimHei"/>
          <w:b/>
          <w:bCs/>
          <w:color w:val="000000"/>
          <w:sz w:val="30"/>
          <w:szCs w:val="30"/>
        </w:rPr>
        <w:t xml:space="preserve">1.1 软件简介</w:t>
      </w:r>
      <w:bookmarkEnd w:id="100001"/>
    </w:p>
    <w:p>
      <w:pPr>
        <w:spacing w:after="60" w:line="440" w:lineRule="exact"/>
        <w:ind w:firstLine="480"/>
        <w:jc w:val="both"/>
      </w:pPr>
      <w:r>
        <w:rPr>
          <w:rFonts w:ascii="Times New Roman" w:eastAsia="SimSun"/>
          <w:b w:val="false"/>
          <w:bCs w:val="false"/>
          <w:color w:val="000000"/>
          <w:sz w:val="24"/>
          <w:szCs w:val="24"/>
        </w:rPr>
        <w:t xml:space="preserve">众云信息科技电子产品回收综合服务平台（以下简称本平台）是一套面向电子产品回收业务的全流程线上化管理系统，覆盖手机、电脑、平板、智能穿戴、显示器、影像器材、游戏机、无人机、服务器、网络设备、显卡等十余个回收品类。平台由微信小程序用户端与 Web 管理后台两部分组成：小程序端面向普通用户提供分类浏览、型号检索、问答式估价、AI 辅助估价、回收下单等自助服务；管理后台面向回收企业运营人员，提供设备配价库管理、回收订单处理、回收平台档案管理、采购链接管理、估价系数配置、经营数据统计以及操作审计等全量管理能力。</w:t>
      </w:r>
    </w:p>
    <w:p>
      <w:pPr>
        <w:spacing w:after="60" w:line="440" w:lineRule="exact"/>
        <w:ind w:firstLine="480"/>
        <w:jc w:val="both"/>
      </w:pPr>
      <w:r>
        <w:rPr>
          <w:rFonts w:ascii="Times New Roman" w:eastAsia="SimSun"/>
          <w:b w:val="false"/>
          <w:bCs w:val="false"/>
          <w:color w:val="000000"/>
          <w:sz w:val="24"/>
          <w:szCs w:val="24"/>
        </w:rPr>
        <w:t xml:space="preserve">平台采用前后端分离架构。管理后台服务端基于 Node.js 与 Express 框架构建，前端基于 Vue3、Vite 与 Element Plus 组件库构建；小程序端基于微信小程序原生框架开发；数据持久化采用 MySQL 8.0 关系数据库。系统各组成部分既可独立部署、独立升级，又通过共享业务数据库实现配价、订单等核心业务数据的实时同步，形成「小程序估价下单—后台接单报价—物流完成交易」的完整业务闭环。</w:t>
      </w:r>
    </w:p>
    <w:p>
      <w:pPr>
        <w:pStyle w:val="Heading2"/>
        <w:spacing w:after="140" w:before="300" w:line="312"/>
      </w:pPr>
      <w:bookmarkStart w:id="100002" w:name="_Toc100002"/>
      <w:r>
        <w:rPr>
          <w:rFonts w:ascii="Times New Roman" w:eastAsia="SimHei"/>
          <w:b/>
          <w:bCs/>
          <w:color w:val="000000"/>
          <w:sz w:val="30"/>
          <w:szCs w:val="30"/>
        </w:rPr>
        <w:t xml:space="preserve">1.2 开发背景与目的</w:t>
      </w:r>
      <w:bookmarkEnd w:id="100002"/>
    </w:p>
    <w:p>
      <w:pPr>
        <w:spacing w:after="60" w:line="440" w:lineRule="exact"/>
        <w:ind w:firstLine="480"/>
        <w:jc w:val="both"/>
      </w:pPr>
      <w:r>
        <w:rPr>
          <w:rFonts w:ascii="Times New Roman" w:eastAsia="SimSun"/>
          <w:b w:val="false"/>
          <w:bCs w:val="false"/>
          <w:color w:val="000000"/>
          <w:sz w:val="24"/>
          <w:szCs w:val="24"/>
        </w:rPr>
        <w:t xml:space="preserve">随着消费电子产品的更新换代不断加速，废旧手机、电脑等电子设备的存量持续增长，二手回收行业迎来快速发展期。传统回收经营普遍存在以下痛点：一是报价依赖人工经验，缺乏统一、可随时调整的配价标准，不同人员报价口径不一致；二是回收渠道分散，企业与爱回收、转转、闲鱼等外部平台之间的比价、采购协作缺少统一入口；三是订单以电话、微信等线下方式记录，状态难追踪、数据难沉淀；四是估价过程不透明，用户对报价缺乏信任，成交转化率低。</w:t>
      </w:r>
    </w:p>
    <w:p>
      <w:pPr>
        <w:spacing w:after="60" w:line="440" w:lineRule="exact"/>
        <w:ind w:firstLine="480"/>
        <w:jc w:val="both"/>
      </w:pPr>
      <w:r>
        <w:rPr>
          <w:rFonts w:ascii="Times New Roman" w:eastAsia="SimSun"/>
          <w:b w:val="false"/>
          <w:bCs w:val="false"/>
          <w:color w:val="000000"/>
          <w:sz w:val="24"/>
          <w:szCs w:val="24"/>
        </w:rPr>
        <w:t xml:space="preserve">本平台即为解决上述问题而开发。通过建立「分类—品牌—型号」三级配价库并支持在线调价与批量调价，企业可以随时统一报价口径；通过问答式估价与 AI 大模型辅助估价，用户在两分钟内即可自助获得有依据的回收报价；通过与订单系统的打通，每一笔回收业务从提交、报价、确认到完成全程留痕，并自动沉淀为经营统计数据；通过回收平台档案与采购链接管理，将外部比价与采购渠道整合到统一工作台。平台同时将环保贡献量化呈现，助力企业开展绿色回收品牌建设。</w:t>
      </w:r>
    </w:p>
    <w:p>
      <w:pPr>
        <w:pStyle w:val="Heading2"/>
        <w:spacing w:after="140" w:before="300" w:line="312"/>
      </w:pPr>
      <w:bookmarkStart w:id="100003" w:name="_Toc100003"/>
      <w:r>
        <w:rPr>
          <w:rFonts w:ascii="Times New Roman" w:eastAsia="SimHei"/>
          <w:b/>
          <w:bCs/>
          <w:color w:val="000000"/>
          <w:sz w:val="30"/>
          <w:szCs w:val="30"/>
        </w:rPr>
        <w:t xml:space="preserve">1.3 主要特点</w:t>
      </w:r>
      <w:bookmarkEnd w:id="100003"/>
    </w:p>
    <w:p>
      <w:pPr>
        <w:pStyle w:val="ListParagraph"/>
        <w:numPr>
          <w:ilvl w:val="0"/>
          <w:numId w:val="1"/>
        </w:numPr>
        <w:spacing w:after="40" w:line="440" w:lineRule="exact"/>
        <w:jc w:val="both"/>
      </w:pPr>
      <w:r>
        <w:rPr>
          <w:rFonts w:ascii="Times New Roman" w:eastAsia="SimSun"/>
          <w:b/>
          <w:bCs/>
          <w:color w:val="000000"/>
          <w:sz w:val="24"/>
          <w:szCs w:val="24"/>
        </w:rPr>
        <w:t xml:space="preserve">云端配价、离线兜底：</w:t>
      </w:r>
      <w:r>
        <w:rPr>
          <w:rFonts w:ascii="Times New Roman" w:eastAsia="SimSun"/>
          <w:color w:val="000000"/>
          <w:sz w:val="24"/>
          <w:szCs w:val="24"/>
        </w:rPr>
        <w:t xml:space="preserve">小程序端内置完整本地配价目录保证秒开与离线可用，同时异步加载后台维护的最新云端配价，后台调价后小程序端十分钟缓存周期内自动生效，兼顾性能与时效。</w:t>
      </w:r>
    </w:p>
    <w:p>
      <w:pPr>
        <w:pStyle w:val="ListParagraph"/>
        <w:numPr>
          <w:ilvl w:val="0"/>
          <w:numId w:val="1"/>
        </w:numPr>
        <w:spacing w:after="40" w:line="440" w:lineRule="exact"/>
        <w:jc w:val="both"/>
      </w:pPr>
      <w:r>
        <w:rPr>
          <w:rFonts w:ascii="Times New Roman" w:eastAsia="SimSun"/>
          <w:b/>
          <w:bCs/>
          <w:color w:val="000000"/>
          <w:sz w:val="24"/>
          <w:szCs w:val="24"/>
        </w:rPr>
        <w:t xml:space="preserve">多因子估价模型：</w:t>
      </w:r>
      <w:r>
        <w:rPr>
          <w:rFonts w:ascii="Times New Roman" w:eastAsia="SimSun"/>
          <w:color w:val="000000"/>
          <w:sz w:val="24"/>
          <w:szCs w:val="24"/>
        </w:rPr>
        <w:t xml:space="preserve">回收价格由型号基准价与成色、屏幕、功能、版本、配件、维修史六大评估因子系数连乘计算，叠加二手基准系数与品类系数，估价过程可解释、可追溯。</w:t>
      </w:r>
    </w:p>
    <w:p>
      <w:pPr>
        <w:pStyle w:val="ListParagraph"/>
        <w:numPr>
          <w:ilvl w:val="0"/>
          <w:numId w:val="1"/>
        </w:numPr>
        <w:spacing w:after="40" w:line="440" w:lineRule="exact"/>
        <w:jc w:val="both"/>
      </w:pPr>
      <w:r>
        <w:rPr>
          <w:rFonts w:ascii="Times New Roman" w:eastAsia="SimSun"/>
          <w:b/>
          <w:bCs/>
          <w:color w:val="000000"/>
          <w:sz w:val="24"/>
          <w:szCs w:val="24"/>
        </w:rPr>
        <w:t xml:space="preserve">AI 大模型辅助估价：</w:t>
      </w:r>
      <w:r>
        <w:rPr>
          <w:rFonts w:ascii="Times New Roman" w:eastAsia="SimSun"/>
          <w:color w:val="000000"/>
          <w:sz w:val="24"/>
          <w:szCs w:val="24"/>
        </w:rPr>
        <w:t xml:space="preserve">集成 DeepSeek 大语言模型接口，结合产品信息与设备状况生成参考回收价与估价说明，AI 不可用时自动降级为本地模型计算，保证服务连续性。</w:t>
      </w:r>
    </w:p>
    <w:p>
      <w:pPr>
        <w:pStyle w:val="ListParagraph"/>
        <w:numPr>
          <w:ilvl w:val="0"/>
          <w:numId w:val="1"/>
        </w:numPr>
        <w:spacing w:after="40" w:line="440" w:lineRule="exact"/>
        <w:jc w:val="both"/>
      </w:pPr>
      <w:r>
        <w:rPr>
          <w:rFonts w:ascii="Times New Roman" w:eastAsia="SimSun"/>
          <w:b/>
          <w:bCs/>
          <w:color w:val="000000"/>
          <w:sz w:val="24"/>
          <w:szCs w:val="24"/>
        </w:rPr>
        <w:t xml:space="preserve">调价安全管控：</w:t>
      </w:r>
      <w:r>
        <w:rPr>
          <w:rFonts w:ascii="Times New Roman" w:eastAsia="SimSun"/>
          <w:color w:val="000000"/>
          <w:sz w:val="24"/>
          <w:szCs w:val="24"/>
        </w:rPr>
        <w:t xml:space="preserve">单型号调价幅度超过系统设定阈值（默认 20%）时强制二次确认，全部调价动作记录调价审计日志，防止误操作与恶意调价。</w:t>
      </w:r>
    </w:p>
    <w:p>
      <w:pPr>
        <w:pStyle w:val="ListParagraph"/>
        <w:numPr>
          <w:ilvl w:val="0"/>
          <w:numId w:val="1"/>
        </w:numPr>
        <w:spacing w:after="40" w:line="440" w:lineRule="exact"/>
        <w:jc w:val="both"/>
      </w:pPr>
      <w:r>
        <w:rPr>
          <w:rFonts w:ascii="Times New Roman" w:eastAsia="SimSun"/>
          <w:b/>
          <w:bCs/>
          <w:color w:val="000000"/>
          <w:sz w:val="24"/>
          <w:szCs w:val="24"/>
        </w:rPr>
        <w:t xml:space="preserve">三级角色权限体系：</w:t>
      </w:r>
      <w:r>
        <w:rPr>
          <w:rFonts w:ascii="Times New Roman" w:eastAsia="SimSun"/>
          <w:color w:val="000000"/>
          <w:sz w:val="24"/>
          <w:szCs w:val="24"/>
        </w:rPr>
        <w:t xml:space="preserve">内置超级管理员、管理员、只读账号三级角色，写操作与高危操作分级校验，所有后台写操作全程记录操作日志。</w:t>
      </w:r>
    </w:p>
    <w:p>
      <w:pPr>
        <w:pStyle w:val="ListParagraph"/>
        <w:numPr>
          <w:ilvl w:val="0"/>
          <w:numId w:val="1"/>
        </w:numPr>
        <w:spacing w:after="40" w:line="440" w:lineRule="exact"/>
        <w:jc w:val="both"/>
      </w:pPr>
      <w:r>
        <w:rPr>
          <w:rFonts w:ascii="Times New Roman" w:eastAsia="SimSun"/>
          <w:b/>
          <w:bCs/>
          <w:color w:val="000000"/>
          <w:sz w:val="24"/>
          <w:szCs w:val="24"/>
        </w:rPr>
        <w:t xml:space="preserve">跨系统单点登录：</w:t>
      </w:r>
      <w:r>
        <w:rPr>
          <w:rFonts w:ascii="Times New Roman" w:eastAsia="SimSun"/>
          <w:color w:val="000000"/>
          <w:sz w:val="24"/>
          <w:szCs w:val="24"/>
        </w:rPr>
        <w:t xml:space="preserve">与维修后台管理系统同域部署，支持以维修后台登录凭证置换回收后台会话，首次进入自动开户，实现一套账号、双系统免登切换。</w:t>
      </w:r>
    </w:p>
    <w:p>
      <w:pPr>
        <w:pStyle w:val="ListParagraph"/>
        <w:numPr>
          <w:ilvl w:val="0"/>
          <w:numId w:val="1"/>
        </w:numPr>
        <w:spacing w:after="40" w:line="440" w:lineRule="exact"/>
        <w:jc w:val="both"/>
      </w:pPr>
      <w:r>
        <w:rPr>
          <w:rFonts w:ascii="Times New Roman" w:eastAsia="SimSun"/>
          <w:b/>
          <w:bCs/>
          <w:color w:val="000000"/>
          <w:sz w:val="24"/>
          <w:szCs w:val="24"/>
        </w:rPr>
        <w:t xml:space="preserve">环保贡献量化：</w:t>
      </w:r>
      <w:r>
        <w:rPr>
          <w:rFonts w:ascii="Times New Roman" w:eastAsia="SimSun"/>
          <w:color w:val="000000"/>
          <w:sz w:val="24"/>
          <w:szCs w:val="24"/>
        </w:rPr>
        <w:t xml:space="preserve">依据累计回收完成台数，按可配置的行业换算系数自动折算减碳量、等效植树量与节省电能，在看板与大屏直观呈现绿色回收成效。</w:t>
      </w:r>
    </w:p>
    <w:p>
      <w:pPr>
        <w:pStyle w:val="ListParagraph"/>
        <w:numPr>
          <w:ilvl w:val="0"/>
          <w:numId w:val="1"/>
        </w:numPr>
        <w:spacing w:after="40" w:line="440" w:lineRule="exact"/>
        <w:jc w:val="both"/>
      </w:pPr>
      <w:r>
        <w:rPr>
          <w:rFonts w:ascii="Times New Roman" w:eastAsia="SimSun"/>
          <w:b/>
          <w:bCs/>
          <w:color w:val="000000"/>
          <w:sz w:val="24"/>
          <w:szCs w:val="24"/>
        </w:rPr>
        <w:t xml:space="preserve">容器化统一部署：</w:t>
      </w:r>
      <w:r>
        <w:rPr>
          <w:rFonts w:ascii="Times New Roman" w:eastAsia="SimSun"/>
          <w:color w:val="000000"/>
          <w:sz w:val="24"/>
          <w:szCs w:val="24"/>
        </w:rPr>
        <w:t xml:space="preserve">全栈支持 Docker 容器化编排，经 HTTPS 统一网关以子路径对外提供服务，部署、升级、回滚流程标准化。</w:t>
      </w:r>
    </w:p>
    <w:p>
      <w:pPr>
        <w:pStyle w:val="Heading2"/>
        <w:spacing w:after="140" w:before="300" w:line="312"/>
      </w:pPr>
      <w:bookmarkStart w:id="100004" w:name="_Toc100004"/>
      <w:r>
        <w:rPr>
          <w:rFonts w:ascii="Times New Roman" w:eastAsia="SimHei"/>
          <w:b/>
          <w:bCs/>
          <w:color w:val="000000"/>
          <w:sz w:val="30"/>
          <w:szCs w:val="30"/>
        </w:rPr>
        <w:t xml:space="preserve">1.4 运行环境</w:t>
      </w:r>
      <w:bookmarkEnd w:id="100004"/>
    </w:p>
    <w:p>
      <w:pPr>
        <w:pStyle w:val="Heading3"/>
        <w:spacing w:after="100" w:before="240" w:line="312"/>
      </w:pPr>
      <w:bookmarkStart w:id="100005" w:name="_Toc100005"/>
      <w:r>
        <w:rPr>
          <w:rFonts w:ascii="Times New Roman" w:eastAsia="SimHei"/>
          <w:b/>
          <w:bCs/>
          <w:color w:val="000000"/>
          <w:sz w:val="28"/>
          <w:szCs w:val="28"/>
        </w:rPr>
        <w:t xml:space="preserve">1.4.1 硬件环境</w:t>
      </w:r>
      <w:bookmarkEnd w:id="100005"/>
    </w:p>
    <w:p>
      <w:pPr>
        <w:spacing w:after="60" w:line="440" w:lineRule="exact"/>
        <w:ind w:firstLine="480"/>
        <w:jc w:val="both"/>
      </w:pPr>
      <w:r>
        <w:rPr>
          <w:rFonts w:ascii="Times New Roman" w:eastAsia="SimSun"/>
          <w:b w:val="false"/>
          <w:bCs w:val="false"/>
          <w:color w:val="000000"/>
          <w:sz w:val="24"/>
          <w:szCs w:val="24"/>
        </w:rPr>
        <w:t xml:space="preserve">服务端建议配置：2 核及以上 CPU、4GB 及以上内存、40GB 及以上系统盘；生产环境建议 4 核 CPU、8GB 内存并配备独立数据盘。管理端与用户端对终端无特殊要求：管理后台通过现代桌面浏览器访问，小程序端在支持微信小程序运行环境的智能手机上使用。</w:t>
      </w:r>
    </w:p>
    <w:p>
      <w:pPr>
        <w:pStyle w:val="Heading3"/>
        <w:spacing w:after="100" w:before="240" w:line="312"/>
      </w:pPr>
      <w:bookmarkStart w:id="100006" w:name="_Toc100006"/>
      <w:r>
        <w:rPr>
          <w:rFonts w:ascii="Times New Roman" w:eastAsia="SimHei"/>
          <w:b/>
          <w:bCs/>
          <w:color w:val="000000"/>
          <w:sz w:val="28"/>
          <w:szCs w:val="28"/>
        </w:rPr>
        <w:t xml:space="preserve">1.4.2 软件环境</w:t>
      </w:r>
      <w:bookmarkEnd w:id="100006"/>
    </w:p>
    <w:p>
      <w:pPr>
        <w:keepNext/>
        <w:spacing w:after="80" w:before="160" w:line="312"/>
        <w:jc w:val="center"/>
      </w:pPr>
      <w:r>
        <w:rPr>
          <w:rFonts w:ascii="Times New Roman" w:eastAsia="SimSun"/>
          <w:b/>
          <w:bCs/>
          <w:color w:val="000000"/>
          <w:sz w:val="21"/>
          <w:szCs w:val="21"/>
        </w:rPr>
        <w:t xml:space="preserve">表 1-1 软件运行环境要求</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gridCol w:w="100"/>
      </w:tblGrid>
      <w:tr>
        <w:trPr>
          <w:cantSplit/>
          <w:tblHeader/>
        </w:trPr>
        <w:tc>
          <w:tcPr>
            <w:tcW w:type="pct" w:w="14%"/>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类别</w:t>
            </w:r>
          </w:p>
        </w:tc>
        <w:tc>
          <w:tcPr>
            <w:tcW w:type="pct" w:w="22%"/>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环境项</w:t>
            </w:r>
          </w:p>
        </w:tc>
        <w:tc>
          <w:tcPr>
            <w:tcW w:type="pct" w:w="64%"/>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要求</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服务端</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操作系统</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Linux（推荐）或 Windows Server，支持 Docker 容器运行时</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服务端</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Node.js</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20.x 及以上版本（管理后台服务、小程序服务端）</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服务端</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MySQL</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8.0 及以上版本，字符集 utf8mb4</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服务端</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容器环境</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Docker Engine 24+ 与 Docker Compose（容器化部署）</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服务端</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反向代理</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Nginx 1.24 及以上版本（统一 HTTPS 网关）</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管理端</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浏览器</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Chrome、Edge、Firefox 等现代浏览器最新版本</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用户端</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微信</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微信客户端 8.0 及以上版本，支持小程序运行环境</w:t>
            </w:r>
          </w:p>
        </w:tc>
      </w:tr>
    </w:tbl>
    <w:p>
      <w:pPr>
        <w:pStyle w:val="Heading3"/>
        <w:spacing w:after="100" w:before="240" w:line="312"/>
      </w:pPr>
      <w:bookmarkStart w:id="100007" w:name="_Toc100007"/>
      <w:r>
        <w:rPr>
          <w:rFonts w:ascii="Times New Roman" w:eastAsia="SimHei"/>
          <w:b/>
          <w:bCs/>
          <w:color w:val="000000"/>
          <w:sz w:val="28"/>
          <w:szCs w:val="28"/>
        </w:rPr>
        <w:t xml:space="preserve">1.4.3 网络环境</w:t>
      </w:r>
      <w:bookmarkEnd w:id="100007"/>
    </w:p>
    <w:p>
      <w:pPr>
        <w:spacing w:after="60" w:line="440" w:lineRule="exact"/>
        <w:ind w:firstLine="480"/>
        <w:jc w:val="both"/>
      </w:pPr>
      <w:r>
        <w:rPr>
          <w:rFonts w:ascii="Times New Roman" w:eastAsia="SimSun"/>
          <w:b w:val="false"/>
          <w:bCs w:val="false"/>
          <w:color w:val="000000"/>
          <w:sz w:val="24"/>
          <w:szCs w:val="24"/>
        </w:rPr>
        <w:t xml:space="preserve">平台各组成部分通过内部容器网络通信：管理后台服务、小程序服务端与数据库、缓存之间均走容器内网。对外统一由 Nginx 网关以 HTTPS（443 端口）暴露，管理后台挂载于 /recycle-admin/ 子路径，小程序接口挂载于 /mp-api/ 子路径。生产环境需开放 443 端口并配置域名与 SSL 证书；内网测试环境可直接访问相应本机端口。</w:t>
      </w:r>
    </w:p>
    <w:p>
      <w:pPr>
        <w:pStyle w:val="Heading2"/>
        <w:spacing w:after="140" w:before="300" w:line="312"/>
      </w:pPr>
      <w:bookmarkStart w:id="100008" w:name="_Toc100008"/>
      <w:r>
        <w:rPr>
          <w:rFonts w:ascii="Times New Roman" w:eastAsia="SimHei"/>
          <w:b/>
          <w:bCs/>
          <w:color w:val="000000"/>
          <w:sz w:val="30"/>
          <w:szCs w:val="30"/>
        </w:rPr>
        <w:t xml:space="preserve">1.5 术语与缩略语</w:t>
      </w:r>
      <w:bookmarkEnd w:id="100008"/>
    </w:p>
    <w:p>
      <w:pPr>
        <w:keepNext/>
        <w:spacing w:after="80" w:before="160" w:line="312"/>
        <w:jc w:val="center"/>
      </w:pPr>
      <w:r>
        <w:rPr>
          <w:rFonts w:ascii="Times New Roman" w:eastAsia="SimSun"/>
          <w:b/>
          <w:bCs/>
          <w:color w:val="000000"/>
          <w:sz w:val="21"/>
          <w:szCs w:val="21"/>
        </w:rPr>
        <w:t xml:space="preserve">表 1-2 术语与缩略语定义</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tblGrid>
      <w:tr>
        <w:trPr>
          <w:cantSplit/>
          <w:tblHeader/>
        </w:trPr>
        <w:tc>
          <w:tcPr>
            <w:tcW w:type="pct" w:w="22%"/>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术语</w:t>
            </w:r>
          </w:p>
        </w:tc>
        <w:tc>
          <w:tcPr>
            <w:tcW w:type="pct" w:w="78%"/>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定义</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配价库</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设备回收基准价格库，按「分类—品牌—型号」三级结构维护各机型的回收基准价与市场参考价</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基准价</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型号处于最佳成色时回收方可提供的最高回收价，是估价计算的起点</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二手基准系数</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即便设备全新也按该折扣回收的兜底系数，默认 0.9，用于使报价贴近真实二手行情</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估价因子</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影响回收价格的设备状况维度，包括成色、屏幕、功能、版本、配件、维修史六项</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品类系数</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按回收品类整体设定的折算系数，用于调节不同品类之间的估价水平</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回收订单</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业务订单表中订单类型为 recycle 的订单，记录用户回收申请、报价与成交信息</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SSO</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Single Sign-On，单点登录，指以维修后台登录凭证直接换取回收后台会话的机制</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JWT</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JSON Web Token，用于管理后台接口身份校验的令牌</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数据大屏</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面向展示场景的数据可视化页面，全屏呈现经营指标与环保贡献</w:t>
            </w:r>
          </w:p>
        </w:tc>
      </w:tr>
    </w:tbl>
    <w:p>
      <w:pPr>
        <w:pStyle w:val="Heading2"/>
        <w:spacing w:after="140" w:before="300" w:line="312"/>
      </w:pPr>
      <w:bookmarkStart w:id="100009" w:name="_Toc100009"/>
      <w:r>
        <w:rPr>
          <w:rFonts w:ascii="Times New Roman" w:eastAsia="SimHei"/>
          <w:b/>
          <w:bCs/>
          <w:color w:val="000000"/>
          <w:sz w:val="30"/>
          <w:szCs w:val="30"/>
        </w:rPr>
        <w:t xml:space="preserve">1.6 用户角色与使用场景</w:t>
      </w:r>
      <w:bookmarkEnd w:id="100009"/>
    </w:p>
    <w:p>
      <w:pPr>
        <w:spacing w:after="40" w:line="440" w:lineRule="exact"/>
        <w:ind w:firstLine="480"/>
        <w:jc w:val="both"/>
      </w:pPr>
      <w:r>
        <w:rPr>
          <w:rFonts w:ascii="Times New Roman" w:eastAsia="SimSun"/>
          <w:b w:val="false"/>
          <w:bCs w:val="false"/>
          <w:color w:val="000000"/>
          <w:sz w:val="24"/>
          <w:szCs w:val="24"/>
        </w:rPr>
        <w:t xml:space="preserve">平台面向五类使用者设计功能入口与权限边界，各角色的定位与典型使用场景如下表所示。</w:t>
      </w:r>
    </w:p>
    <w:p>
      <w:pPr>
        <w:keepNext/>
        <w:spacing w:after="80" w:before="160" w:line="312"/>
        <w:jc w:val="center"/>
      </w:pPr>
      <w:r>
        <w:rPr>
          <w:rFonts w:ascii="Times New Roman" w:eastAsia="SimSun"/>
          <w:b/>
          <w:bCs/>
          <w:color w:val="000000"/>
          <w:sz w:val="21"/>
          <w:szCs w:val="21"/>
        </w:rPr>
        <w:t xml:space="preserve">表 1-3 用户角色与使用场景</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gridCol w:w="100"/>
      </w:tblGrid>
      <w:tr>
        <w:trPr>
          <w:cantSplit/>
          <w:tblHeader/>
        </w:trPr>
        <w:tc>
          <w:tcPr>
            <w:tcW w:type="pct" w:w="20%"/>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角色</w:t>
            </w:r>
          </w:p>
        </w:tc>
        <w:tc>
          <w:tcPr>
            <w:tcW w:type="pct" w:w="16%"/>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端</w:t>
            </w:r>
          </w:p>
        </w:tc>
        <w:tc>
          <w:tcPr>
            <w:tcW w:type="pct" w:w="64%"/>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典型使用场景</w:t>
            </w:r>
          </w:p>
        </w:tc>
      </w:tr>
      <w:tr>
        <w:trPr>
          <w:cantSplit/>
        </w:trPr>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微信用户</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小程序端</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浏览配价、自助估价、比价、提交回收订单、跟踪订单状态</w:t>
            </w:r>
          </w:p>
        </w:tc>
      </w:tr>
      <w:tr>
        <w:trPr>
          <w:cantSplit/>
        </w:trPr>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内部人员</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小程序端</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提交免付款内部回收申请（项目返修/仓库/固定资产）</w:t>
            </w:r>
          </w:p>
        </w:tc>
      </w:tr>
      <w:tr>
        <w:trPr>
          <w:cantSplit/>
        </w:trPr>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运营管理员</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订单报价与流转、配价维护、平台与链接管理、估价配置</w:t>
            </w:r>
          </w:p>
        </w:tc>
      </w:tr>
      <w:tr>
        <w:trPr>
          <w:cantSplit/>
        </w:trPr>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超级管理员</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全部运营权限，另含管理员账号管理与高危操作</w:t>
            </w:r>
          </w:p>
        </w:tc>
      </w:tr>
      <w:tr>
        <w:trPr>
          <w:cantSplit/>
        </w:trPr>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只读账号</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数据查询、看板查看与报表导出，不参与写操作</w:t>
            </w:r>
          </w:p>
        </w:tc>
      </w:tr>
    </w:tbl>
    <w:p>
      <w:pPr>
        <w:spacing w:after="60" w:line="440" w:lineRule="exact"/>
        <w:ind w:firstLine="480"/>
        <w:jc w:val="both"/>
      </w:pPr>
      <w:r>
        <w:rPr>
          <w:rFonts w:ascii="Times New Roman" w:eastAsia="SimSun"/>
          <w:b w:val="false"/>
          <w:bCs w:val="false"/>
          <w:color w:val="000000"/>
          <w:sz w:val="24"/>
          <w:szCs w:val="24"/>
        </w:rPr>
        <w:t xml:space="preserve">典型场景举例：个人用户换机前在估价引导页完成七步评估，获得参考价并横向比价后一键下单；运营人员每日从看板的待确认指标进入订单队列，完成报价与状态流转；财务人员在月底按日期区间导出订单成交明细对账；企业管理者向前来考察的合作方投放数据大屏，展示回收规模与绿色环保成效。</w:t>
      </w:r>
    </w:p>
    <w:p>
      <w:pPr>
        <w:pStyle w:val="Heading1"/>
        <w:pageBreakBefore/>
        <w:spacing w:after="240" w:before="240" w:line="312"/>
        <w:jc w:val="center"/>
      </w:pPr>
      <w:bookmarkStart w:id="100010" w:name="_Toc100010"/>
      <w:r>
        <w:rPr>
          <w:rFonts w:ascii="Times New Roman" w:eastAsia="SimHei"/>
          <w:b/>
          <w:bCs/>
          <w:color w:val="000000"/>
          <w:sz w:val="32"/>
          <w:szCs w:val="32"/>
        </w:rPr>
        <w:t xml:space="preserve">第二章 系统总体结构</w:t>
      </w:r>
      <w:bookmarkEnd w:id="100010"/>
    </w:p>
    <w:p>
      <w:pPr>
        <w:pStyle w:val="Heading2"/>
        <w:spacing w:after="140" w:before="300" w:line="312"/>
      </w:pPr>
      <w:bookmarkStart w:id="100011" w:name="_Toc100011"/>
      <w:r>
        <w:rPr>
          <w:rFonts w:ascii="Times New Roman" w:eastAsia="SimHei"/>
          <w:b/>
          <w:bCs/>
          <w:color w:val="000000"/>
          <w:sz w:val="30"/>
          <w:szCs w:val="30"/>
        </w:rPr>
        <w:t xml:space="preserve">2.1 总体架构</w:t>
      </w:r>
      <w:bookmarkEnd w:id="100011"/>
    </w:p>
    <w:p>
      <w:pPr>
        <w:spacing w:after="60" w:line="440" w:lineRule="exact"/>
        <w:ind w:firstLine="480"/>
        <w:jc w:val="both"/>
      </w:pPr>
      <w:r>
        <w:rPr>
          <w:rFonts w:ascii="Times New Roman" w:eastAsia="SimSun"/>
          <w:b w:val="false"/>
          <w:bCs w:val="false"/>
          <w:color w:val="000000"/>
          <w:sz w:val="24"/>
          <w:szCs w:val="24"/>
        </w:rPr>
        <w:t xml:space="preserve">平台在逻辑上划分为四层：用户接入层、业务服务层、数据层与外部服务层。用户接入层包括微信小程序端与 Web 管理后台前端；业务服务层包括回收管理后台服务（默认端口 3005）、小程序服务端（默认端口 3001）与统一网关；数据层为共享的 MySQL 业务数据库，配价、订单等核心数据在两个服务之间实时共享；外部服务层包括 DeepSeek 大模型接口与各外部回收平台网站。</w:t>
      </w:r>
    </w:p>
    <w:p>
      <w:pPr>
        <w:spacing w:after="60" w:line="440" w:lineRule="exact"/>
        <w:ind w:firstLine="480"/>
        <w:jc w:val="both"/>
      </w:pPr>
      <w:r>
        <w:rPr>
          <w:rFonts w:ascii="Times New Roman" w:eastAsia="SimSun"/>
          <w:b w:val="false"/>
          <w:bCs w:val="false"/>
          <w:color w:val="000000"/>
          <w:sz w:val="24"/>
          <w:szCs w:val="24"/>
        </w:rPr>
        <w:t xml:space="preserve">回收管理后台服务与小程序服务端之间不直接调用接口，而是通过共享同一 MySQL 业务库协作：后台负责写入配价库、估价系数与平台档案等管理数据；小程序服务端以只读方式将这些数据组装为公开接口供小程序拉取；回收订单由小程序端写入业务订单表，后台直接读取并处理。这种「读写分离、以库为界」的协作方式使两端完全解耦，任一端升级不影响另一端运行。</w:t>
      </w:r>
    </w:p>
    <w:p>
      <w:pPr>
        <w:pStyle w:val="Heading2"/>
        <w:spacing w:after="140" w:before="300" w:line="312"/>
      </w:pPr>
      <w:bookmarkStart w:id="100012" w:name="_Toc100012"/>
      <w:r>
        <w:rPr>
          <w:rFonts w:ascii="Times New Roman" w:eastAsia="SimHei"/>
          <w:b/>
          <w:bCs/>
          <w:color w:val="000000"/>
          <w:sz w:val="30"/>
          <w:szCs w:val="30"/>
        </w:rPr>
        <w:t xml:space="preserve">2.2 技术架构</w:t>
      </w:r>
      <w:bookmarkEnd w:id="100012"/>
    </w:p>
    <w:p>
      <w:pPr>
        <w:keepNext/>
        <w:spacing w:after="80" w:before="160" w:line="312"/>
        <w:jc w:val="center"/>
      </w:pPr>
      <w:r>
        <w:rPr>
          <w:rFonts w:ascii="Times New Roman" w:eastAsia="SimSun"/>
          <w:b/>
          <w:bCs/>
          <w:color w:val="000000"/>
          <w:sz w:val="21"/>
          <w:szCs w:val="21"/>
        </w:rPr>
        <w:t xml:space="preserve">表 2-1 平台技术栈构成</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gridCol w:w="100"/>
      </w:tblGrid>
      <w:tr>
        <w:trPr>
          <w:cantSplit/>
          <w:tblHeader/>
        </w:trPr>
        <w:tc>
          <w:tcPr>
            <w:tcW w:type="pct" w:w="22%"/>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组成部分</w:t>
            </w:r>
          </w:p>
        </w:tc>
        <w:tc>
          <w:tcPr>
            <w:tcW w:type="pct" w:w="32%"/>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技术选型</w:t>
            </w:r>
          </w:p>
        </w:tc>
        <w:tc>
          <w:tcPr>
            <w:tcW w:type="pct" w:w="46%"/>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说明</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管理后台服务端</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Node.js 20 + Express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RESTful API，JWT 鉴权，单端口同时托管接口与前端静态资源</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管理后台前端</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Vue3 + Vite + Element Plus + ECharts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组件化开发，构建产物由服务端托管，支持子路径部署</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小程序端</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微信小程序原生框架</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分包加载、本地缓存、自定义视觉体系</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小程序服务端</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Node.js + Express + mysql2</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业务订单处理、回收公开数据接口、AI 估价代理</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数据库</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MySQL 8.0（mysql2 连接池）</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utf8mb4 字符集，时区东八区，连接池默认上限 10</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AI 估价</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DeepSeek Chat API</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温度参数 0.3，输出约束为 JSON 格式，失败自动降级</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网关</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Nginx 1.24</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HTTPS 终端、子路径路由、静态资源与上传目录分发</w:t>
            </w:r>
          </w:p>
        </w:tc>
      </w:tr>
    </w:tbl>
    <w:p>
      <w:pPr>
        <w:spacing w:after="60" w:line="440" w:lineRule="exact"/>
        <w:ind w:firstLine="480"/>
        <w:jc w:val="both"/>
      </w:pPr>
      <w:r>
        <w:rPr>
          <w:rFonts w:ascii="Times New Roman" w:eastAsia="SimSun"/>
          <w:b w:val="false"/>
          <w:bCs w:val="false"/>
          <w:color w:val="000000"/>
          <w:sz w:val="24"/>
          <w:szCs w:val="24"/>
        </w:rPr>
        <w:t xml:space="preserve">管理后台前端与管理后台服务端为同一部署单元：生产模式下，Express 服务在提供 /api 前缀接口的同时，直接托管前端构建产物目录，并回退路由支持前端 history 路由模式，因此单端口即可对外提供完整后台能力。前端构建时通过环境变量注入子路径基座与接口前缀，适配网关子路径部署场景。</w:t>
      </w:r>
    </w:p>
    <w:p>
      <w:pPr>
        <w:pStyle w:val="Heading2"/>
        <w:spacing w:after="140" w:before="300" w:line="312"/>
      </w:pPr>
      <w:bookmarkStart w:id="100013" w:name="_Toc100013"/>
      <w:r>
        <w:rPr>
          <w:rFonts w:ascii="Times New Roman" w:eastAsia="SimHei"/>
          <w:b/>
          <w:bCs/>
          <w:color w:val="000000"/>
          <w:sz w:val="30"/>
          <w:szCs w:val="30"/>
        </w:rPr>
        <w:t xml:space="preserve">2.3 部署架构</w:t>
      </w:r>
      <w:bookmarkEnd w:id="100013"/>
    </w:p>
    <w:p>
      <w:pPr>
        <w:spacing w:after="60" w:line="440" w:lineRule="exact"/>
        <w:ind w:firstLine="480"/>
        <w:jc w:val="both"/>
      </w:pPr>
      <w:r>
        <w:rPr>
          <w:rFonts w:ascii="Times New Roman" w:eastAsia="SimSun"/>
          <w:b w:val="false"/>
          <w:bCs w:val="false"/>
          <w:color w:val="000000"/>
          <w:sz w:val="24"/>
          <w:szCs w:val="24"/>
        </w:rPr>
        <w:t xml:space="preserve">平台采用容器化统一编排部署。全部服务注册在同一容器网络中：Nginx 网关容器对外监听 443 端口，按路径将请求转发至回收管理后台容器（/recycle-admin/）、小程序服务端容器（/mp-api/）等后端服务；数据库使用宿主机已有的 MySQL 实例，容器内通过 host.docker.internal 访问；Redis 缓存容器仅绑定本机回环地址。管理后台容器仅暴露本机端口用于调试，外部访问一律经网关进行，形成统一的入口收敛与安全边界。</w:t>
      </w:r>
    </w:p>
    <w:p>
      <w:pPr>
        <w:pBdr>
          <w:top w:val="dashed" w:color="999999" w:sz="4" w:space="10"/>
          <w:bottom w:val="dashed" w:color="999999" w:sz="4" w:space="10"/>
          <w:left w:val="dashed" w:color="999999" w:sz="4" w:space="30"/>
          <w:right w:val="dashed" w:color="999999"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000000"/>
          <w:sz w:val="21"/>
          <w:szCs w:val="21"/>
        </w:rPr>
        <w:t xml:space="preserve">图 2-1 系统总体部署架构图（可插入部署架构截图或示意图片）</w:t>
      </w:r>
    </w:p>
    <w:p>
      <w:pPr>
        <w:pStyle w:val="Heading2"/>
        <w:spacing w:after="140" w:before="300" w:line="312"/>
      </w:pPr>
      <w:bookmarkStart w:id="100014" w:name="_Toc100014"/>
      <w:r>
        <w:rPr>
          <w:rFonts w:ascii="Times New Roman" w:eastAsia="SimHei"/>
          <w:b/>
          <w:bCs/>
          <w:color w:val="000000"/>
          <w:sz w:val="30"/>
          <w:szCs w:val="30"/>
        </w:rPr>
        <w:t xml:space="preserve">2.4 功能模块划分</w:t>
      </w:r>
      <w:bookmarkEnd w:id="100014"/>
    </w:p>
    <w:p>
      <w:pPr>
        <w:spacing w:after="60" w:line="440" w:lineRule="exact"/>
        <w:ind w:firstLine="480"/>
        <w:jc w:val="both"/>
      </w:pPr>
      <w:r>
        <w:rPr>
          <w:rFonts w:ascii="Times New Roman" w:eastAsia="SimSun"/>
          <w:b w:val="false"/>
          <w:bCs w:val="false"/>
          <w:color w:val="000000"/>
          <w:sz w:val="24"/>
          <w:szCs w:val="24"/>
        </w:rPr>
        <w:t xml:space="preserve">平台功能划分为小程序端与管理后台端两大体系。小程序端包含回收主页、估价引导两个核心模块；管理后台端包含数据看板、数据大屏、回收订单管理、设备配价库、回收平台管理、采购链接管理、估价配置、操作日志、系统设置九个菜单模块，另含登录认证与权限控制基础模块，主界面框架统一提供侧边导航、面包屑、日夜主题切换与个人菜单。</w:t>
      </w:r>
    </w:p>
    <w:p>
      <w:pPr>
        <w:keepNext/>
        <w:spacing w:after="80" w:before="160" w:line="312"/>
        <w:jc w:val="center"/>
      </w:pPr>
      <w:r>
        <w:rPr>
          <w:rFonts w:ascii="Times New Roman" w:eastAsia="SimSun"/>
          <w:b/>
          <w:bCs/>
          <w:color w:val="000000"/>
          <w:sz w:val="21"/>
          <w:szCs w:val="21"/>
        </w:rPr>
        <w:t xml:space="preserve">表 2-2 平台功能模块清单</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gridCol w:w="100"/>
      </w:tblGrid>
      <w:tr>
        <w:trPr>
          <w:cantSplit/>
          <w:tblHeader/>
        </w:trPr>
        <w:tc>
          <w:tcPr>
            <w:tcW w:type="pct" w:w="14%"/>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端</w:t>
            </w:r>
          </w:p>
        </w:tc>
        <w:tc>
          <w:tcPr>
            <w:tcW w:type="pct" w:w="20%"/>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模块</w:t>
            </w:r>
          </w:p>
        </w:tc>
        <w:tc>
          <w:tcPr>
            <w:tcW w:type="pct" w:w="66%"/>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核心功能</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小程序端</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回收主页</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分类浏览、品牌型号选择、全局搜索、平台比价、云端配价加载</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小程序端</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估价引导</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七步问答评估、实时估价、AI 估价、地址选择、订单提交、内部回收申请</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数据看板</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经营指标总览、订单趋势、类型分布、热门机型、环保贡献</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数据大屏</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全屏数据可视化展示，含实时时钟与全屏控制</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回收订单管理</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订单检索、详情查看、报价提交、状态流转、手动建单、CSV 导出</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设备配价库</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分类/品牌/型号管理、单型号调价、批量调价、调价审计、品类系数</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回收平台管理</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回收平台档案维护、跳转点击统计</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采购链接管理</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外部采购与比价链接维护、点击统计与排行</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估价配置</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核心参数、品类系数、因子系数维护与估价模拟</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操作日志</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后台全部写操作日志的多条件检索</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系统设置</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系统参数、管理员账号管理、密码修改</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认证与权限</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账号登录、单点登录、JWT 会话、三级角色控制</w:t>
            </w:r>
          </w:p>
        </w:tc>
      </w:tr>
    </w:tbl>
    <w:p>
      <w:pPr>
        <w:pStyle w:val="Heading2"/>
        <w:spacing w:after="140" w:before="300" w:line="312"/>
      </w:pPr>
      <w:bookmarkStart w:id="100015" w:name="_Toc100015"/>
      <w:r>
        <w:rPr>
          <w:rFonts w:ascii="Times New Roman" w:eastAsia="SimHei"/>
          <w:b/>
          <w:bCs/>
          <w:color w:val="000000"/>
          <w:sz w:val="30"/>
          <w:szCs w:val="30"/>
        </w:rPr>
        <w:t xml:space="preserve">2.5 业务流程设计</w:t>
      </w:r>
      <w:bookmarkEnd w:id="100015"/>
    </w:p>
    <w:p>
      <w:pPr>
        <w:pStyle w:val="Heading3"/>
        <w:spacing w:after="100" w:before="240" w:line="312"/>
      </w:pPr>
      <w:bookmarkStart w:id="100016" w:name="_Toc100016"/>
      <w:r>
        <w:rPr>
          <w:rFonts w:ascii="Times New Roman" w:eastAsia="SimHei"/>
          <w:b/>
          <w:bCs/>
          <w:color w:val="000000"/>
          <w:sz w:val="28"/>
          <w:szCs w:val="28"/>
        </w:rPr>
        <w:t xml:space="preserve">2.5.1 用户回收下单流程</w:t>
      </w:r>
      <w:bookmarkEnd w:id="100016"/>
    </w:p>
    <w:p>
      <w:pPr>
        <w:pStyle w:val="Heading4"/>
        <w:spacing w:after="80" w:before="200" w:line="312"/>
      </w:pPr>
      <w:bookmarkStart w:id="100017" w:name="_Toc100017"/>
      <w:r>
        <w:rPr>
          <w:rFonts w:ascii="Times New Roman" w:eastAsia="SimHei"/>
          <w:b/>
          <w:bCs/>
          <w:color w:val="000000"/>
          <w:sz w:val="24"/>
          <w:szCs w:val="24"/>
        </w:rPr>
        <w:t xml:space="preserve">2.5.1.1 浏览进入路径</w:t>
      </w:r>
      <w:bookmarkEnd w:id="100017"/>
    </w:p>
    <w:p>
      <w:pPr>
        <w:spacing w:after="60" w:line="440" w:lineRule="exact"/>
        <w:ind w:firstLine="480"/>
        <w:jc w:val="both"/>
      </w:pPr>
      <w:r>
        <w:rPr>
          <w:rFonts w:ascii="Times New Roman" w:eastAsia="SimSun"/>
          <w:b w:val="false"/>
          <w:bCs w:val="false"/>
          <w:color w:val="000000"/>
          <w:sz w:val="24"/>
          <w:szCs w:val="24"/>
        </w:rPr>
        <w:t xml:space="preserve">用户自小程序首页进入回收主页后，按「分类→品牌→型号」逐级浏览：点击分类导航切换品类，在品牌分区中浏览型号卡片，点击目标型号卡片进入估价引导页。该路径适合对设备品类有明确认知、愿意逐级筛选的用户。</w:t>
      </w:r>
    </w:p>
    <w:p>
      <w:pPr>
        <w:pStyle w:val="Heading4"/>
        <w:spacing w:after="80" w:before="200" w:line="312"/>
      </w:pPr>
      <w:bookmarkStart w:id="100018" w:name="_Toc100018"/>
      <w:r>
        <w:rPr>
          <w:rFonts w:ascii="Times New Roman" w:eastAsia="SimHei"/>
          <w:b/>
          <w:bCs/>
          <w:color w:val="000000"/>
          <w:sz w:val="24"/>
          <w:szCs w:val="24"/>
        </w:rPr>
        <w:t xml:space="preserve">2.5.1.2 搜索进入路径</w:t>
      </w:r>
      <w:bookmarkEnd w:id="100018"/>
    </w:p>
    <w:p>
      <w:pPr>
        <w:spacing w:after="60" w:line="440" w:lineRule="exact"/>
        <w:ind w:firstLine="480"/>
        <w:jc w:val="both"/>
      </w:pPr>
      <w:r>
        <w:rPr>
          <w:rFonts w:ascii="Times New Roman" w:eastAsia="SimSun"/>
          <w:b w:val="false"/>
          <w:bCs w:val="false"/>
          <w:color w:val="000000"/>
          <w:sz w:val="24"/>
          <w:szCs w:val="24"/>
        </w:rPr>
        <w:t xml:space="preserve">用户点击主页顶部搜索栏唤起搜索面板，输入型号关键词（支持多词组合与无空格模糊输入），从检索结果中直接点击目标型号进入估价引导页，并自动保存搜索词至历史记录。该路径适合已知具体型号的效率型用户。</w:t>
      </w:r>
    </w:p>
    <w:p>
      <w:pPr>
        <w:pStyle w:val="Heading4"/>
        <w:spacing w:after="80" w:before="200" w:line="312"/>
      </w:pPr>
      <w:bookmarkStart w:id="100019" w:name="_Toc100019"/>
      <w:r>
        <w:rPr>
          <w:rFonts w:ascii="Times New Roman" w:eastAsia="SimHei"/>
          <w:b/>
          <w:bCs/>
          <w:color w:val="000000"/>
          <w:sz w:val="24"/>
          <w:szCs w:val="24"/>
        </w:rPr>
        <w:t xml:space="preserve">2.5.1.3 估价与提交</w:t>
      </w:r>
      <w:bookmarkEnd w:id="100019"/>
    </w:p>
    <w:p>
      <w:pPr>
        <w:spacing w:after="60" w:line="440" w:lineRule="exact"/>
        <w:ind w:firstLine="480"/>
        <w:jc w:val="both"/>
      </w:pPr>
      <w:r>
        <w:rPr>
          <w:rFonts w:ascii="Times New Roman" w:eastAsia="SimSun"/>
          <w:b w:val="false"/>
          <w:bCs w:val="false"/>
          <w:color w:val="000000"/>
          <w:sz w:val="24"/>
          <w:szCs w:val="24"/>
        </w:rPr>
        <w:t xml:space="preserve">进入估价引导页后，用户依次完成七项设备状况问答，系统实时刷新预估价格；作答完毕后自动执行本地结算估价并尝试 AI 估价，展示最终估价与价格区间；用户选择回收地址、确认回收金额后提交订单。普通用户经金额确认弹窗二次确认；内部人员选择设备来源后以免付款方式提交。订单提交成功后进入后台待确认队列，由运营人员接续处理。</w:t>
      </w:r>
    </w:p>
    <w:p>
      <w:pPr>
        <w:pBdr>
          <w:top w:val="dashed" w:color="999999" w:sz="4" w:space="10"/>
          <w:bottom w:val="dashed" w:color="999999" w:sz="4" w:space="10"/>
          <w:left w:val="dashed" w:color="999999" w:sz="4" w:space="30"/>
          <w:right w:val="dashed" w:color="999999"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000000"/>
          <w:sz w:val="21"/>
          <w:szCs w:val="21"/>
        </w:rPr>
        <w:t xml:space="preserve">图 2-2 用户回收下单业务流程图（可插入流程图截图）</w:t>
      </w:r>
    </w:p>
    <w:p>
      <w:pPr>
        <w:pStyle w:val="Heading3"/>
        <w:spacing w:after="100" w:before="240" w:line="312"/>
      </w:pPr>
      <w:bookmarkStart w:id="100020" w:name="_Toc100020"/>
      <w:r>
        <w:rPr>
          <w:rFonts w:ascii="Times New Roman" w:eastAsia="SimHei"/>
          <w:b/>
          <w:bCs/>
          <w:color w:val="000000"/>
          <w:sz w:val="28"/>
          <w:szCs w:val="28"/>
        </w:rPr>
        <w:t xml:space="preserve">2.5.2 估价计算流程</w:t>
      </w:r>
      <w:bookmarkEnd w:id="100020"/>
    </w:p>
    <w:p>
      <w:pPr>
        <w:spacing w:after="60" w:line="440" w:lineRule="exact"/>
        <w:ind w:firstLine="480"/>
        <w:jc w:val="both"/>
      </w:pPr>
      <w:r>
        <w:rPr>
          <w:rFonts w:ascii="Times New Roman" w:eastAsia="SimSun"/>
          <w:b w:val="false"/>
          <w:bCs w:val="false"/>
          <w:color w:val="000000"/>
          <w:sz w:val="24"/>
          <w:szCs w:val="24"/>
        </w:rPr>
        <w:t xml:space="preserve">估价计算以型号基准价为起点，依次乘以用户所选各评估因子对应的价格系数，再乘以二手基准系数与品类系数得到最终估价；价格区间按点估价的 90% 至 105% 收敛生成。计算公式为：最终估价 = 型号基准价 × 成色系数 × 屏幕系数 × 功能系数 × 版本系数 × 配件系数 × 维修史系数 × 二手基准系数 × 品类系数。其中型号基准价来自配价库，各因子系数与全局参数均由管理后台在线维护，小程序端启动估价流程时拉取最新配置并覆盖本地默认值。</w:t>
      </w:r>
    </w:p>
    <w:p>
      <w:pPr>
        <w:pStyle w:val="Heading3"/>
        <w:spacing w:after="100" w:before="240" w:line="312"/>
      </w:pPr>
      <w:bookmarkStart w:id="100021" w:name="_Toc100021"/>
      <w:r>
        <w:rPr>
          <w:rFonts w:ascii="Times New Roman" w:eastAsia="SimHei"/>
          <w:b/>
          <w:bCs/>
          <w:color w:val="000000"/>
          <w:sz w:val="28"/>
          <w:szCs w:val="28"/>
        </w:rPr>
        <w:t xml:space="preserve">2.5.3 后台订单处理流程</w:t>
      </w:r>
      <w:bookmarkEnd w:id="100021"/>
    </w:p>
    <w:p>
      <w:pPr>
        <w:spacing w:after="60" w:line="440" w:lineRule="exact"/>
        <w:ind w:firstLine="480"/>
        <w:jc w:val="both"/>
      </w:pPr>
      <w:r>
        <w:rPr>
          <w:rFonts w:ascii="Times New Roman" w:eastAsia="SimSun"/>
          <w:b w:val="false"/>
          <w:bCs w:val="false"/>
          <w:color w:val="000000"/>
          <w:sz w:val="24"/>
          <w:szCs w:val="24"/>
        </w:rPr>
        <w:t xml:space="preserve">回收订单遵循统一的状态机流转：待确认（pending）→ 已报价（quoted）→ 已确认（confirmed）→ 处理中（processing）→ 已完成（completed），任一非完结状态可转已取消（cancelled）。后台运营人员在订单列表检索到待确认订单后，查看订单详情中的设备信息、评估明细与用户联系方式，结合配价库行情提交回收报价，订单状态自动置为已报价；用户在小程序端确认报价后订单进入后续环节；设备验收完成后运营人员将订单置为已完成并记录成交价。已完结订单不允许再变更状态与报价，全部状态变更记录操作日志。</w:t>
      </w:r>
    </w:p>
    <w:p>
      <w:pPr>
        <w:pStyle w:val="Heading3"/>
        <w:spacing w:after="100" w:before="240" w:line="312"/>
      </w:pPr>
      <w:bookmarkStart w:id="100022" w:name="_Toc100022"/>
      <w:r>
        <w:rPr>
          <w:rFonts w:ascii="Times New Roman" w:eastAsia="SimHei"/>
          <w:b/>
          <w:bCs/>
          <w:color w:val="000000"/>
          <w:sz w:val="28"/>
          <w:szCs w:val="28"/>
        </w:rPr>
        <w:t xml:space="preserve">2.5.4 配价管理流程</w:t>
      </w:r>
      <w:bookmarkEnd w:id="100022"/>
    </w:p>
    <w:p>
      <w:pPr>
        <w:pStyle w:val="Heading4"/>
        <w:spacing w:after="80" w:before="200" w:line="312"/>
      </w:pPr>
      <w:bookmarkStart w:id="100023" w:name="_Toc100023"/>
      <w:r>
        <w:rPr>
          <w:rFonts w:ascii="Times New Roman" w:eastAsia="SimHei"/>
          <w:b/>
          <w:bCs/>
          <w:color w:val="000000"/>
          <w:sz w:val="24"/>
          <w:szCs w:val="24"/>
        </w:rPr>
        <w:t xml:space="preserve">2.5.4.1 调价发起</w:t>
      </w:r>
      <w:bookmarkEnd w:id="100023"/>
    </w:p>
    <w:p>
      <w:pPr>
        <w:spacing w:after="60" w:line="440" w:lineRule="exact"/>
        <w:ind w:firstLine="480"/>
        <w:jc w:val="both"/>
      </w:pPr>
      <w:r>
        <w:rPr>
          <w:rFonts w:ascii="Times New Roman" w:eastAsia="SimSun"/>
          <w:b w:val="false"/>
          <w:bCs w:val="false"/>
          <w:color w:val="000000"/>
          <w:sz w:val="24"/>
          <w:szCs w:val="24"/>
        </w:rPr>
        <w:t xml:space="preserve">配价调整由运营人员在设备配价库模块发起，支持单型号调价与多型号批量调价两种方式；单型号调价需录入新基准价与调价原因，批量调价支持按百分比浮动与统一固定值两种模式，并需填写批量调价原因。</w:t>
      </w:r>
    </w:p>
    <w:p>
      <w:pPr>
        <w:pStyle w:val="Heading4"/>
        <w:spacing w:after="80" w:before="200" w:line="312"/>
      </w:pPr>
      <w:bookmarkStart w:id="100024" w:name="_Toc100024"/>
      <w:r>
        <w:rPr>
          <w:rFonts w:ascii="Times New Roman" w:eastAsia="SimHei"/>
          <w:b/>
          <w:bCs/>
          <w:color w:val="000000"/>
          <w:sz w:val="24"/>
          <w:szCs w:val="24"/>
        </w:rPr>
        <w:t xml:space="preserve">2.5.4.2 幅度校验</w:t>
      </w:r>
      <w:bookmarkEnd w:id="100024"/>
    </w:p>
    <w:p>
      <w:pPr>
        <w:spacing w:after="60" w:line="440" w:lineRule="exact"/>
        <w:ind w:firstLine="480"/>
        <w:jc w:val="both"/>
      </w:pPr>
      <w:r>
        <w:rPr>
          <w:rFonts w:ascii="Times New Roman" w:eastAsia="SimSun"/>
          <w:b w:val="false"/>
          <w:bCs w:val="false"/>
          <w:color w:val="000000"/>
          <w:sz w:val="24"/>
          <w:szCs w:val="24"/>
        </w:rPr>
        <w:t xml:space="preserve">单型号调价提交后，系统计算调价幅度百分比并与系统参数「单次调价幅度上限」（默认 20%）比较：超限时拒绝执行并返回二次确认提示，运营人员在确认弹窗中感知前后价格差异后可选择强制调价；批量调价按型号逐一计算新价格并向下取整至非负整数。</w:t>
      </w:r>
    </w:p>
    <w:p>
      <w:pPr>
        <w:pStyle w:val="Heading4"/>
        <w:spacing w:after="80" w:before="200" w:line="312"/>
      </w:pPr>
      <w:bookmarkStart w:id="100025" w:name="_Toc100025"/>
      <w:r>
        <w:rPr>
          <w:rFonts w:ascii="Times New Roman" w:eastAsia="SimHei"/>
          <w:b/>
          <w:bCs/>
          <w:color w:val="000000"/>
          <w:sz w:val="24"/>
          <w:szCs w:val="24"/>
        </w:rPr>
        <w:t xml:space="preserve">2.5.4.3 生效传播</w:t>
      </w:r>
      <w:bookmarkEnd w:id="100025"/>
    </w:p>
    <w:p>
      <w:pPr>
        <w:spacing w:after="60" w:line="440" w:lineRule="exact"/>
        <w:ind w:firstLine="480"/>
        <w:jc w:val="both"/>
      </w:pPr>
      <w:r>
        <w:rPr>
          <w:rFonts w:ascii="Times New Roman" w:eastAsia="SimSun"/>
          <w:b w:val="false"/>
          <w:bCs w:val="false"/>
          <w:color w:val="000000"/>
          <w:sz w:val="24"/>
          <w:szCs w:val="24"/>
        </w:rPr>
        <w:t xml:space="preserve">调价成功后，新价格即时写入型号配价表并同步记录一条调价审计日志（含前后价格、原因、操作人）；小程序端配价缓存过期后自动拉取新目录，估价链路随之采用新基准价，无需小程序发版。</w:t>
      </w:r>
    </w:p>
    <w:p>
      <w:pPr>
        <w:pStyle w:val="Heading2"/>
        <w:spacing w:after="140" w:before="300" w:line="312"/>
      </w:pPr>
      <w:bookmarkStart w:id="100026" w:name="_Toc100026"/>
      <w:r>
        <w:rPr>
          <w:rFonts w:ascii="Times New Roman" w:eastAsia="SimHei"/>
          <w:b/>
          <w:bCs/>
          <w:color w:val="000000"/>
          <w:sz w:val="30"/>
          <w:szCs w:val="30"/>
        </w:rPr>
        <w:t xml:space="preserve">2.6 关键技术设计与实现</w:t>
      </w:r>
      <w:bookmarkEnd w:id="100026"/>
    </w:p>
    <w:p>
      <w:pPr>
        <w:spacing w:after="60" w:line="440" w:lineRule="exact"/>
        <w:ind w:firstLine="480"/>
        <w:jc w:val="both"/>
      </w:pPr>
      <w:r>
        <w:rPr>
          <w:rFonts w:ascii="Times New Roman" w:eastAsia="SimSun"/>
          <w:b w:val="false"/>
          <w:bCs w:val="false"/>
          <w:color w:val="000000"/>
          <w:sz w:val="24"/>
          <w:szCs w:val="24"/>
        </w:rPr>
        <w:t xml:space="preserve">本节从工程实现角度说明平台核心机制的技术方案，覆盖管理后台前端、管理后台服务端、小程序端与 AI 估价链路四个方面，与后续各章的功能设计互为印证。</w:t>
      </w:r>
    </w:p>
    <w:p>
      <w:pPr>
        <w:pStyle w:val="Heading3"/>
        <w:spacing w:after="100" w:before="240" w:line="312"/>
      </w:pPr>
      <w:bookmarkStart w:id="100027" w:name="_Toc100027"/>
      <w:r>
        <w:rPr>
          <w:rFonts w:ascii="Times New Roman" w:eastAsia="SimHei"/>
          <w:b/>
          <w:bCs/>
          <w:color w:val="000000"/>
          <w:sz w:val="28"/>
          <w:szCs w:val="28"/>
        </w:rPr>
        <w:t xml:space="preserve">2.6.1 管理后台前端实现</w:t>
      </w:r>
      <w:bookmarkEnd w:id="100027"/>
    </w:p>
    <w:p>
      <w:pPr>
        <w:pStyle w:val="Heading4"/>
        <w:spacing w:after="80" w:before="200" w:line="312"/>
      </w:pPr>
      <w:bookmarkStart w:id="100028" w:name="_Toc100028"/>
      <w:r>
        <w:rPr>
          <w:rFonts w:ascii="Times New Roman" w:eastAsia="SimHei"/>
          <w:b/>
          <w:bCs/>
          <w:color w:val="000000"/>
          <w:sz w:val="24"/>
          <w:szCs w:val="24"/>
        </w:rPr>
        <w:t xml:space="preserve">2.6.1.1 组件与路由架构</w:t>
      </w:r>
      <w:bookmarkEnd w:id="100028"/>
    </w:p>
    <w:p>
      <w:pPr>
        <w:spacing w:after="60" w:line="440" w:lineRule="exact"/>
        <w:ind w:firstLine="480"/>
        <w:jc w:val="both"/>
      </w:pPr>
      <w:r>
        <w:rPr>
          <w:rFonts w:ascii="Times New Roman" w:eastAsia="SimSun"/>
          <w:b w:val="false"/>
          <w:bCs w:val="false"/>
          <w:color w:val="000000"/>
          <w:sz w:val="24"/>
          <w:szCs w:val="24"/>
        </w:rPr>
        <w:t xml:space="preserve">前端采用 Vue3 组合式 API 与单文件组件组织代码，每个功能页面为独立视图组件，公共布局（侧边导航、面包屑、顶部工具栏、个人菜单、修改密码弹窗）由主布局组件统一承载。路由基于 history 模式创建，路由基座取构建时注入的 BASE_URL，使同一套代码既可根路径部署也可子路径部署。全局路由守卫在每次跳转前检查本地令牌：未登录时重定向登录页并携带原始目标路径，登录成功（含单点登录自动进入）后原路返回，避免用户登录后丢失目标页面；守卫同时按路由元信息动态设置浏览器标签标题。</w:t>
      </w:r>
    </w:p>
    <w:p>
      <w:pPr>
        <w:pStyle w:val="Heading4"/>
        <w:spacing w:after="80" w:before="200" w:line="312"/>
      </w:pPr>
      <w:bookmarkStart w:id="100029" w:name="_Toc100029"/>
      <w:r>
        <w:rPr>
          <w:rFonts w:ascii="Times New Roman" w:eastAsia="SimHei"/>
          <w:b/>
          <w:bCs/>
          <w:color w:val="000000"/>
          <w:sz w:val="24"/>
          <w:szCs w:val="24"/>
        </w:rPr>
        <w:t xml:space="preserve">2.6.1.2 请求层封装</w:t>
      </w:r>
      <w:bookmarkEnd w:id="100029"/>
    </w:p>
    <w:p>
      <w:pPr>
        <w:spacing w:after="60" w:line="440" w:lineRule="exact"/>
        <w:ind w:firstLine="480"/>
        <w:jc w:val="both"/>
      </w:pPr>
      <w:r>
        <w:rPr>
          <w:rFonts w:ascii="Times New Roman" w:eastAsia="SimSun"/>
          <w:b w:val="false"/>
          <w:bCs w:val="false"/>
          <w:color w:val="000000"/>
          <w:sz w:val="24"/>
          <w:szCs w:val="24"/>
        </w:rPr>
        <w:t xml:space="preserve">网络层基于 axios 封装统一请求模块：请求拦截器自动为每次调用注入 Authorization 头与本地令牌；响应拦截器统一解包 success、message、data 三段结构，业务失败时全局弹出错误提示；收到 401 未授权响应时清理本地凭证并跳转登录页。全部业务接口按认证、订单、配价、平台、链接、统计、设置等模块封装为独立函数文件，页面组件不直接接触底层请求细节，接口变更只需修改一处。</w:t>
      </w:r>
    </w:p>
    <w:p>
      <w:pPr>
        <w:pStyle w:val="Heading4"/>
        <w:spacing w:after="80" w:before="200" w:line="312"/>
      </w:pPr>
      <w:bookmarkStart w:id="100030" w:name="_Toc100030"/>
      <w:r>
        <w:rPr>
          <w:rFonts w:ascii="Times New Roman" w:eastAsia="SimHei"/>
          <w:b/>
          <w:bCs/>
          <w:color w:val="000000"/>
          <w:sz w:val="24"/>
          <w:szCs w:val="24"/>
        </w:rPr>
        <w:t xml:space="preserve">2.6.1.3 可视化与动效实现</w:t>
      </w:r>
      <w:bookmarkEnd w:id="100030"/>
    </w:p>
    <w:p>
      <w:pPr>
        <w:spacing w:after="60" w:line="440" w:lineRule="exact"/>
        <w:ind w:firstLine="480"/>
        <w:jc w:val="both"/>
      </w:pPr>
      <w:r>
        <w:rPr>
          <w:rFonts w:ascii="Times New Roman" w:eastAsia="SimSun"/>
          <w:b w:val="false"/>
          <w:bCs w:val="false"/>
          <w:color w:val="000000"/>
          <w:sz w:val="24"/>
          <w:szCs w:val="24"/>
        </w:rPr>
        <w:t xml:space="preserve">图表基于 ECharts 实现：组件挂载后初始化图表实例并绑定窗口尺寸变化事件自动重绘，组件卸载时销毁实例释放资源，避免内存泄漏。数字滚动动效为零依赖的组合式函数实现：以请求动画帧驱动，在约 1.2 秒内按缓动曲线从零滚动至目标值，支持指定小数位数与持续时间，看板环保指标与大屏 KPI 数字均复用该函数，保证两端动效表现一致。</w:t>
      </w:r>
    </w:p>
    <w:p>
      <w:pPr>
        <w:pStyle w:val="Heading4"/>
        <w:spacing w:after="80" w:before="200" w:line="312"/>
      </w:pPr>
      <w:bookmarkStart w:id="100031" w:name="_Toc100031"/>
      <w:r>
        <w:rPr>
          <w:rFonts w:ascii="Times New Roman" w:eastAsia="SimHei"/>
          <w:b/>
          <w:bCs/>
          <w:color w:val="000000"/>
          <w:sz w:val="24"/>
          <w:szCs w:val="24"/>
        </w:rPr>
        <w:t xml:space="preserve">2.6.1.4 主题切换实现</w:t>
      </w:r>
      <w:bookmarkEnd w:id="100031"/>
    </w:p>
    <w:p>
      <w:pPr>
        <w:spacing w:after="60" w:line="440" w:lineRule="exact"/>
        <w:ind w:firstLine="480"/>
        <w:jc w:val="both"/>
      </w:pPr>
      <w:r>
        <w:rPr>
          <w:rFonts w:ascii="Times New Roman" w:eastAsia="SimSun"/>
          <w:b w:val="false"/>
          <w:bCs w:val="false"/>
          <w:color w:val="000000"/>
          <w:sz w:val="24"/>
          <w:szCs w:val="24"/>
        </w:rPr>
        <w:t xml:space="preserve">日间/夜间主题通过为页面根元素切换样式类实现，样式类按主题变量组织，全部组件颜色取自主题变量而非硬编码；主题选择持久化于本地存储，变更时通过自定义窗口事件广播；回收后台与维修后台同域部署、共享同一存储键，任一系统切换主题后另一系统监听到事件即时同步，实现跨系统主题一致。</w:t>
      </w:r>
    </w:p>
    <w:p>
      <w:pPr>
        <w:pStyle w:val="Heading3"/>
        <w:spacing w:after="100" w:before="240" w:line="312"/>
      </w:pPr>
      <w:bookmarkStart w:id="100032" w:name="_Toc100032"/>
      <w:r>
        <w:rPr>
          <w:rFonts w:ascii="Times New Roman" w:eastAsia="SimHei"/>
          <w:b/>
          <w:bCs/>
          <w:color w:val="000000"/>
          <w:sz w:val="28"/>
          <w:szCs w:val="28"/>
        </w:rPr>
        <w:t xml:space="preserve">2.6.2 管理后台服务端实现</w:t>
      </w:r>
      <w:bookmarkEnd w:id="100032"/>
    </w:p>
    <w:p>
      <w:pPr>
        <w:pStyle w:val="Heading4"/>
        <w:spacing w:after="80" w:before="200" w:line="312"/>
      </w:pPr>
      <w:bookmarkStart w:id="100033" w:name="_Toc100033"/>
      <w:r>
        <w:rPr>
          <w:rFonts w:ascii="Times New Roman" w:eastAsia="SimHei"/>
          <w:b/>
          <w:bCs/>
          <w:color w:val="000000"/>
          <w:sz w:val="24"/>
          <w:szCs w:val="24"/>
        </w:rPr>
        <w:t xml:space="preserve">2.6.2.1 服务分层结构</w:t>
      </w:r>
      <w:bookmarkEnd w:id="100033"/>
    </w:p>
    <w:p>
      <w:pPr>
        <w:spacing w:after="60" w:line="440" w:lineRule="exact"/>
        <w:ind w:firstLine="480"/>
        <w:jc w:val="both"/>
      </w:pPr>
      <w:r>
        <w:rPr>
          <w:rFonts w:ascii="Times New Roman" w:eastAsia="SimSun"/>
          <w:b w:val="false"/>
          <w:bCs w:val="false"/>
          <w:color w:val="000000"/>
          <w:sz w:val="24"/>
          <w:szCs w:val="24"/>
        </w:rPr>
        <w:t xml:space="preserve">服务端按入口、路由、中间件、数据访问四层组织：入口文件负责中间件装配（跨域、JSON 解析、请求日志、统一错误处理）与业务路由挂载；路由层按认证、订单、配价、平台、链接、统计、设置、日志八个业务域拆分为独立文件，每条路由内部自行完成参数校验、业务查询与操作日志写入；中间件层提供认证与三级角色校验；数据层以单例连接池封装全部 SQL 访问。层次清晰使新增业务域时只需增加一个路由文件并在入口挂载。</w:t>
      </w:r>
    </w:p>
    <w:p>
      <w:pPr>
        <w:pStyle w:val="Heading4"/>
        <w:spacing w:after="80" w:before="200" w:line="312"/>
      </w:pPr>
      <w:bookmarkStart w:id="100034" w:name="_Toc100034"/>
      <w:r>
        <w:rPr>
          <w:rFonts w:ascii="Times New Roman" w:eastAsia="SimHei"/>
          <w:b/>
          <w:bCs/>
          <w:color w:val="000000"/>
          <w:sz w:val="24"/>
          <w:szCs w:val="24"/>
        </w:rPr>
        <w:t xml:space="preserve">2.6.2.2 连接池与启动自检</w:t>
      </w:r>
      <w:bookmarkEnd w:id="100034"/>
    </w:p>
    <w:p>
      <w:pPr>
        <w:spacing w:after="60" w:line="440" w:lineRule="exact"/>
        <w:ind w:firstLine="480"/>
        <w:jc w:val="both"/>
      </w:pPr>
      <w:r>
        <w:rPr>
          <w:rFonts w:ascii="Times New Roman" w:eastAsia="SimSun"/>
          <w:b w:val="false"/>
          <w:bCs w:val="false"/>
          <w:color w:val="000000"/>
          <w:sz w:val="24"/>
          <w:szCs w:val="24"/>
        </w:rPr>
        <w:t xml:space="preserve">数据库访问基于 mysql2 连接池：默认上限十个连接、请求排队等待、连接超时十秒，字符集 utf8mb4、时区东八区、日期时间以字符串返回避免时区偏移，连接池挂载错误监听防止异常导致进程退出。服务启动时依次执行连接探活、表结构初始化与种子数据灌入，任一环节失败即输出原因并终止进程，避免服务在数据库异常时带病运行。</w:t>
      </w:r>
    </w:p>
    <w:p>
      <w:pPr>
        <w:pStyle w:val="Heading4"/>
        <w:spacing w:after="80" w:before="200" w:line="312"/>
      </w:pPr>
      <w:bookmarkStart w:id="100035" w:name="_Toc100035"/>
      <w:r>
        <w:rPr>
          <w:rFonts w:ascii="Times New Roman" w:eastAsia="SimHei"/>
          <w:b/>
          <w:bCs/>
          <w:color w:val="000000"/>
          <w:sz w:val="24"/>
          <w:szCs w:val="24"/>
        </w:rPr>
        <w:t xml:space="preserve">2.6.2.3 动态列探测实现</w:t>
      </w:r>
      <w:bookmarkEnd w:id="100035"/>
    </w:p>
    <w:p>
      <w:pPr>
        <w:spacing w:after="60" w:line="440" w:lineRule="exact"/>
        <w:ind w:firstLine="480"/>
        <w:jc w:val="both"/>
      </w:pPr>
      <w:r>
        <w:rPr>
          <w:rFonts w:ascii="Times New Roman" w:eastAsia="SimSun"/>
          <w:b w:val="false"/>
          <w:bCs w:val="false"/>
          <w:color w:val="000000"/>
          <w:sz w:val="24"/>
          <w:szCs w:val="24"/>
        </w:rPr>
        <w:t xml:space="preserve">针对共享业务表结构随小程序服务端演进的问题，服务端在首次查询订单与地址前读取数据库元数据中的实际列集合并进程内缓存；查询组装时仅拼接实际存在的列，缺失列以空值别名占位，保证接口响应结构在不同部署环境间完全一致。该机制将表结构差异的适配收敛到一处，业务代码无需感知环境差异，这是回收后台与小程序服务端独立迭代仍能稳定协作的基础。</w:t>
      </w:r>
    </w:p>
    <w:p>
      <w:pPr>
        <w:pStyle w:val="Heading4"/>
        <w:spacing w:after="80" w:before="200" w:line="312"/>
      </w:pPr>
      <w:bookmarkStart w:id="100036" w:name="_Toc100036"/>
      <w:r>
        <w:rPr>
          <w:rFonts w:ascii="Times New Roman" w:eastAsia="SimHei"/>
          <w:b/>
          <w:bCs/>
          <w:color w:val="000000"/>
          <w:sz w:val="24"/>
          <w:szCs w:val="24"/>
        </w:rPr>
        <w:t xml:space="preserve">2.6.2.4 静态托管与前端路由回退</w:t>
      </w:r>
      <w:bookmarkEnd w:id="100036"/>
    </w:p>
    <w:p>
      <w:pPr>
        <w:spacing w:after="60" w:line="440" w:lineRule="exact"/>
        <w:ind w:firstLine="480"/>
        <w:jc w:val="both"/>
      </w:pPr>
      <w:r>
        <w:rPr>
          <w:rFonts w:ascii="Times New Roman" w:eastAsia="SimSun"/>
          <w:b w:val="false"/>
          <w:bCs w:val="false"/>
          <w:color w:val="000000"/>
          <w:sz w:val="24"/>
          <w:szCs w:val="24"/>
        </w:rPr>
        <w:t xml:space="preserve">生产模式下服务端以静态目录方式托管前端构建产物，并对排除接口与健康检查路径之外的任意路径回退返回前端入口页面，支撑前端 history 路由的深链刷新场景——用户直接访问或刷新任一功能路径（如订单管理）均能正确进入对应页面而非报 404。接口与页面同端口同域，前端请求自然同源，无需跨域配置。</w:t>
      </w:r>
    </w:p>
    <w:p>
      <w:pPr>
        <w:pStyle w:val="Heading3"/>
        <w:spacing w:after="100" w:before="240" w:line="312"/>
      </w:pPr>
      <w:bookmarkStart w:id="100037" w:name="_Toc100037"/>
      <w:r>
        <w:rPr>
          <w:rFonts w:ascii="Times New Roman" w:eastAsia="SimHei"/>
          <w:b/>
          <w:bCs/>
          <w:color w:val="000000"/>
          <w:sz w:val="28"/>
          <w:szCs w:val="28"/>
        </w:rPr>
        <w:t xml:space="preserve">2.6.3 小程序端实现</w:t>
      </w:r>
      <w:bookmarkEnd w:id="100037"/>
    </w:p>
    <w:p>
      <w:pPr>
        <w:pStyle w:val="Heading4"/>
        <w:spacing w:after="80" w:before="200" w:line="312"/>
      </w:pPr>
      <w:bookmarkStart w:id="100038" w:name="_Toc100038"/>
      <w:r>
        <w:rPr>
          <w:rFonts w:ascii="Times New Roman" w:eastAsia="SimHei"/>
          <w:b/>
          <w:bCs/>
          <w:color w:val="000000"/>
          <w:sz w:val="24"/>
          <w:szCs w:val="24"/>
        </w:rPr>
        <w:t xml:space="preserve">2.6.3.1 分包加载与预下载</w:t>
      </w:r>
      <w:bookmarkEnd w:id="100038"/>
    </w:p>
    <w:p>
      <w:pPr>
        <w:spacing w:after="60" w:line="440" w:lineRule="exact"/>
        <w:ind w:firstLine="480"/>
        <w:jc w:val="both"/>
      </w:pPr>
      <w:r>
        <w:rPr>
          <w:rFonts w:ascii="Times New Roman" w:eastAsia="SimSun"/>
          <w:b w:val="false"/>
          <w:bCs w:val="false"/>
          <w:color w:val="000000"/>
          <w:sz w:val="24"/>
          <w:szCs w:val="24"/>
        </w:rPr>
        <w:t xml:space="preserve">小程序采用主包加分包架构：四个标签页置于主包保证启动速度，回收、估价引导等四十余个功能页面按业务域拆入独立分包，并开启按需注入进一步降低首次注入耗时。通过预下载规则，用户浏览首页与维修页时即提前下载回收与估价引导分包，点击进入时分包已就绪，功能页近乎秒开；分包同时限制了单包体积，便于持续迭代。</w:t>
      </w:r>
    </w:p>
    <w:p>
      <w:pPr>
        <w:pStyle w:val="Heading4"/>
        <w:spacing w:after="80" w:before="200" w:line="312"/>
      </w:pPr>
      <w:bookmarkStart w:id="100039" w:name="_Toc100039"/>
      <w:r>
        <w:rPr>
          <w:rFonts w:ascii="Times New Roman" w:eastAsia="SimHei"/>
          <w:b/>
          <w:bCs/>
          <w:color w:val="000000"/>
          <w:sz w:val="24"/>
          <w:szCs w:val="24"/>
        </w:rPr>
        <w:t xml:space="preserve">2.6.3.2 工具层模块化</w:t>
      </w:r>
      <w:bookmarkEnd w:id="100039"/>
    </w:p>
    <w:p>
      <w:pPr>
        <w:spacing w:after="60" w:line="440" w:lineRule="exact"/>
        <w:ind w:firstLine="480"/>
        <w:jc w:val="both"/>
      </w:pPr>
      <w:r>
        <w:rPr>
          <w:rFonts w:ascii="Times New Roman" w:eastAsia="SimSun"/>
          <w:b w:val="false"/>
          <w:bCs w:val="false"/>
          <w:color w:val="000000"/>
          <w:sz w:val="24"/>
          <w:szCs w:val="24"/>
        </w:rPr>
        <w:t xml:space="preserve">小程序端将可复用逻辑收敛到工具层：请求模块封装统一接口地址候选、鉴权头与静默降级策略；本地数据模块内置完整配价目录、评估题目与默认系数；云端加载器模块封装配价目录、平台列表、估价配置三类云端数据的拉取、缓存与回退；运行时配置模块管理多环境接口地址。页面层只关注交互与渲染，功能逻辑集中一处维护。</w:t>
      </w:r>
    </w:p>
    <w:p>
      <w:pPr>
        <w:pStyle w:val="Heading4"/>
        <w:spacing w:after="80" w:before="200" w:line="312"/>
      </w:pPr>
      <w:bookmarkStart w:id="100040" w:name="_Toc100040"/>
      <w:r>
        <w:rPr>
          <w:rFonts w:ascii="Times New Roman" w:eastAsia="SimHei"/>
          <w:b/>
          <w:bCs/>
          <w:color w:val="000000"/>
          <w:sz w:val="24"/>
          <w:szCs w:val="24"/>
        </w:rPr>
        <w:t xml:space="preserve">2.6.3.3 本地存储使用</w:t>
      </w:r>
      <w:bookmarkEnd w:id="100040"/>
    </w:p>
    <w:p>
      <w:pPr>
        <w:spacing w:after="60" w:line="440" w:lineRule="exact"/>
        <w:ind w:firstLine="480"/>
        <w:jc w:val="both"/>
      </w:pPr>
      <w:r>
        <w:rPr>
          <w:rFonts w:ascii="Times New Roman" w:eastAsia="SimSun"/>
          <w:b w:val="false"/>
          <w:bCs w:val="false"/>
          <w:color w:val="000000"/>
          <w:sz w:val="24"/>
          <w:szCs w:val="24"/>
        </w:rPr>
        <w:t xml:space="preserve">小程序按数据类型分键使用本地存储：搜索历史、配价目录缓存、登录令牌与用户信息各占独立键位，配价缓存附带过期时间戳实现过期判断；全部存储读写均做异常容错，存储空间不足或读写失败不影响页面核心功能，最坏情况下回退内置数据。</w:t>
      </w:r>
    </w:p>
    <w:p>
      <w:pPr>
        <w:pStyle w:val="Heading3"/>
        <w:spacing w:after="100" w:before="240" w:line="312"/>
      </w:pPr>
      <w:bookmarkStart w:id="100041" w:name="_Toc100041"/>
      <w:r>
        <w:rPr>
          <w:rFonts w:ascii="Times New Roman" w:eastAsia="SimHei"/>
          <w:b/>
          <w:bCs/>
          <w:color w:val="000000"/>
          <w:sz w:val="28"/>
          <w:szCs w:val="28"/>
        </w:rPr>
        <w:t xml:space="preserve">2.6.4 AI 估价链路实现</w:t>
      </w:r>
      <w:bookmarkEnd w:id="100041"/>
    </w:p>
    <w:p>
      <w:pPr>
        <w:spacing w:after="60" w:line="440" w:lineRule="exact"/>
        <w:ind w:firstLine="480"/>
        <w:jc w:val="both"/>
      </w:pPr>
      <w:r>
        <w:rPr>
          <w:rFonts w:ascii="Times New Roman" w:eastAsia="SimSun"/>
          <w:b w:val="false"/>
          <w:bCs w:val="false"/>
          <w:color w:val="000000"/>
          <w:sz w:val="24"/>
          <w:szCs w:val="24"/>
        </w:rPr>
        <w:t xml:space="preserve">AI 估价链路跨三端协作完成：小程序端在结算阶段携带用户令牌发起估价请求；小程序服务端接收后组装两段提示词——系统提示词设定回收估价专家角色、列明七类估价考量因素并强制仅以 JSON 返回，用户提示词嵌入完整产品信息（品类、品牌、型号、基准价、规格）与逐项作答摘要——随后调用大模型对话接口（采样温度 0.3、最大回复五百 token、超时十五秒）；响应返回后以正则截取 JSON 文本段、解析并校验价格字段为数字且取整，最终返回价格、估价说明与置信度三元组。链路上任一环节失败均向小程序端返回明确错误，由前端自动切换本地估价结果，整条链路对用户表现为永不中断的估价服务。</w:t>
      </w:r>
    </w:p>
    <w:p>
      <w:pPr>
        <w:pStyle w:val="Heading1"/>
        <w:pageBreakBefore/>
        <w:spacing w:after="240" w:before="240" w:line="312"/>
        <w:jc w:val="center"/>
      </w:pPr>
      <w:bookmarkStart w:id="100042" w:name="_Toc100042"/>
      <w:r>
        <w:rPr>
          <w:rFonts w:ascii="Times New Roman" w:eastAsia="SimHei"/>
          <w:b/>
          <w:bCs/>
          <w:color w:val="000000"/>
          <w:sz w:val="32"/>
          <w:szCs w:val="32"/>
        </w:rPr>
        <w:t xml:space="preserve">第三章 数据库设计</w:t>
      </w:r>
      <w:bookmarkEnd w:id="100042"/>
    </w:p>
    <w:p>
      <w:pPr>
        <w:pStyle w:val="Heading2"/>
        <w:spacing w:after="140" w:before="300" w:line="312"/>
      </w:pPr>
      <w:bookmarkStart w:id="100043" w:name="_Toc100043"/>
      <w:r>
        <w:rPr>
          <w:rFonts w:ascii="Times New Roman" w:eastAsia="SimHei"/>
          <w:b/>
          <w:bCs/>
          <w:color w:val="000000"/>
          <w:sz w:val="30"/>
          <w:szCs w:val="30"/>
        </w:rPr>
        <w:t xml:space="preserve">3.1 设计概述</w:t>
      </w:r>
      <w:bookmarkEnd w:id="100043"/>
    </w:p>
    <w:p>
      <w:pPr>
        <w:spacing w:after="60" w:line="440" w:lineRule="exact"/>
        <w:ind w:firstLine="480"/>
        <w:jc w:val="both"/>
      </w:pPr>
      <w:r>
        <w:rPr>
          <w:rFonts w:ascii="Times New Roman" w:eastAsia="SimSun"/>
          <w:b w:val="false"/>
          <w:bCs w:val="false"/>
          <w:color w:val="000000"/>
          <w:sz w:val="24"/>
          <w:szCs w:val="24"/>
        </w:rPr>
        <w:t xml:space="preserve">平台数据库采用 MySQL 8.0，字符集 utf8mb4，时区设置为东八区。数据表分为两类：一类是平台专属表，统一使用 recycle_ 前缀，由管理后台服务在首次启动时自动建表并灌入种子数据，覆盖管理员账号、配价库、平台档案、估价配置与操作审计；另一类是与小程序共享的业务表，包括订单表 orders（通过订单类型字段 order_type = recycle 标识回收订单）、用户表 users 与用户地址表 user_addresses，由小程序服务端负责建表与写入，管理后台只读访问。</w:t>
      </w:r>
    </w:p>
    <w:p>
      <w:pPr>
        <w:pStyle w:val="Heading2"/>
        <w:spacing w:after="140" w:before="300" w:line="312"/>
      </w:pPr>
      <w:bookmarkStart w:id="100044" w:name="_Toc100044"/>
      <w:r>
        <w:rPr>
          <w:rFonts w:ascii="Times New Roman" w:eastAsia="SimHei"/>
          <w:b/>
          <w:bCs/>
          <w:color w:val="000000"/>
          <w:sz w:val="30"/>
          <w:szCs w:val="30"/>
        </w:rPr>
        <w:t xml:space="preserve">3.2 数据表清单</w:t>
      </w:r>
      <w:bookmarkEnd w:id="100044"/>
    </w:p>
    <w:p>
      <w:pPr>
        <w:keepNext/>
        <w:spacing w:after="80" w:before="160" w:line="312"/>
        <w:jc w:val="center"/>
      </w:pPr>
      <w:r>
        <w:rPr>
          <w:rFonts w:ascii="Times New Roman" w:eastAsia="SimSun"/>
          <w:b/>
          <w:bCs/>
          <w:color w:val="000000"/>
          <w:sz w:val="21"/>
          <w:szCs w:val="21"/>
        </w:rPr>
        <w:t xml:space="preserve">表 3-1 平台数据表清单</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gridCol w:w="100"/>
      </w:tblGrid>
      <w:tr>
        <w:trPr>
          <w:cantSplit/>
          <w:tblHeader/>
        </w:trPr>
        <w:tc>
          <w:tcPr>
            <w:tcW w:type="pct" w:w="30%"/>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表名</w:t>
            </w:r>
          </w:p>
        </w:tc>
        <w:tc>
          <w:tcPr>
            <w:tcW w:type="pct" w:w="46%"/>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说明</w:t>
            </w:r>
          </w:p>
        </w:tc>
        <w:tc>
          <w:tcPr>
            <w:tcW w:type="pct" w:w="24%"/>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维护方</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recycle_admins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回收后台管理员账号（含角色与状态）</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recycle_categories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回收设备分类</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recycle_brands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回收设备品牌（隶属分类）</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recycle_models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回收设备型号配价（核心表）</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recycle_price_logs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配价调整记录（调价审计）</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recycle_platforms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回收/采购/比价平台档案</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recycle_procurement_links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采购网站平台链接</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recycle_click_logs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平台/链接跳转点击日志</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双端写入</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recycle_condition_rates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估价因子系数配置</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recycle_settings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系统参数（键值对）</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recycle_operation_logs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后台操作日志</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orders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业务订单表（order_type=recycle 为回收订单）</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小程序服务端</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users / user_addresses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用户与收货地址</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小程序服务端</w:t>
            </w:r>
          </w:p>
        </w:tc>
      </w:tr>
    </w:tbl>
    <w:p>
      <w:pPr>
        <w:pStyle w:val="Heading2"/>
        <w:spacing w:after="140" w:before="300" w:line="312"/>
      </w:pPr>
      <w:bookmarkStart w:id="100045" w:name="_Toc100045"/>
      <w:r>
        <w:rPr>
          <w:rFonts w:ascii="Times New Roman" w:eastAsia="SimHei"/>
          <w:b/>
          <w:bCs/>
          <w:color w:val="000000"/>
          <w:sz w:val="30"/>
          <w:szCs w:val="30"/>
        </w:rPr>
        <w:t xml:space="preserve">3.3 核心表结构说明</w:t>
      </w:r>
      <w:bookmarkEnd w:id="100045"/>
    </w:p>
    <w:p>
      <w:pPr>
        <w:pStyle w:val="Heading3"/>
        <w:spacing w:after="100" w:before="240" w:line="312"/>
      </w:pPr>
      <w:bookmarkStart w:id="100046" w:name="_Toc100046"/>
      <w:r>
        <w:rPr>
          <w:rFonts w:ascii="Times New Roman" w:eastAsia="SimHei"/>
          <w:b/>
          <w:bCs/>
          <w:color w:val="000000"/>
          <w:sz w:val="28"/>
          <w:szCs w:val="28"/>
        </w:rPr>
        <w:t xml:space="preserve">3.3.1 管理员表 recycle_admins</w:t>
      </w:r>
      <w:bookmarkEnd w:id="100046"/>
    </w:p>
    <w:p>
      <w:pPr>
        <w:spacing w:after="40" w:line="440" w:lineRule="exact"/>
        <w:ind w:firstLine="480"/>
        <w:jc w:val="both"/>
      </w:pPr>
      <w:r>
        <w:rPr>
          <w:rFonts w:ascii="Times New Roman" w:eastAsia="SimSun"/>
          <w:b w:val="false"/>
          <w:bCs w:val="false"/>
          <w:color w:val="000000"/>
          <w:sz w:val="24"/>
          <w:szCs w:val="24"/>
        </w:rPr>
        <w:t xml:space="preserve">存储回收后台的独立账号体系，与维修后台账号逻辑隔离。密码以 bcrypt 哈希存储；角色分为 super（超级管理员）、admin（管理员）、viewer（只读）三级；账号可禁用而保留历史日志关联。</w:t>
      </w:r>
    </w:p>
    <w:p>
      <w:pPr>
        <w:keepNext/>
        <w:spacing w:after="80" w:before="160" w:line="312"/>
        <w:jc w:val="center"/>
      </w:pPr>
      <w:r>
        <w:rPr>
          <w:rFonts w:ascii="Times New Roman" w:eastAsia="SimSun"/>
          <w:b/>
          <w:bCs/>
          <w:color w:val="000000"/>
          <w:sz w:val="21"/>
          <w:szCs w:val="21"/>
        </w:rPr>
        <w:t xml:space="preserve">表 3-2 recycle_admins 主要字段</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gridCol w:w="100"/>
      </w:tblGrid>
      <w:tr>
        <w:trPr>
          <w:cantSplit/>
          <w:tblHeader/>
        </w:trPr>
        <w:tc>
          <w:tcPr>
            <w:tcW w:type="pct" w:w="24%"/>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字段</w:t>
            </w:r>
          </w:p>
        </w:tc>
        <w:tc>
          <w:tcPr>
            <w:tcW w:type="pct" w:w="30%"/>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类型</w:t>
            </w:r>
          </w:p>
        </w:tc>
        <w:tc>
          <w:tcPr>
            <w:tcW w:type="pct" w:w="46%"/>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说明</w:t>
            </w:r>
          </w:p>
        </w:tc>
      </w:tr>
      <w:tr>
        <w:trPr>
          <w:cantSplit/>
        </w:trPr>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id</w:t>
            </w:r>
          </w:p>
        </w:tc>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INT 自增主键</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管理员标识</w:t>
            </w:r>
          </w:p>
        </w:tc>
      </w:tr>
      <w:tr>
        <w:trPr>
          <w:cantSplit/>
        </w:trPr>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username</w:t>
            </w:r>
          </w:p>
        </w:tc>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VARCHAR(64) 唯一</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登录账号</w:t>
            </w:r>
          </w:p>
        </w:tc>
      </w:tr>
      <w:tr>
        <w:trPr>
          <w:cantSplit/>
        </w:trPr>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password_hash</w:t>
            </w:r>
          </w:p>
        </w:tc>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VARCHAR(128)</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bcrypt 密码哈希</w:t>
            </w:r>
          </w:p>
        </w:tc>
      </w:tr>
      <w:tr>
        <w:trPr>
          <w:cantSplit/>
        </w:trPr>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name</w:t>
            </w:r>
          </w:p>
        </w:tc>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VARCHAR(64)</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姓名</w:t>
            </w:r>
          </w:p>
        </w:tc>
      </w:tr>
      <w:tr>
        <w:trPr>
          <w:cantSplit/>
        </w:trPr>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role</w:t>
            </w:r>
          </w:p>
        </w:tc>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ENUM(super/admin/viewer)</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角色，默认 admin</w:t>
            </w:r>
          </w:p>
        </w:tc>
      </w:tr>
      <w:tr>
        <w:trPr>
          <w:cantSplit/>
        </w:trPr>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status</w:t>
            </w:r>
          </w:p>
        </w:tc>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TINYINT(1)</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1 启用，0 禁用</w:t>
            </w:r>
          </w:p>
        </w:tc>
      </w:tr>
      <w:tr>
        <w:trPr>
          <w:cantSplit/>
        </w:trPr>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last_login_at</w:t>
            </w:r>
          </w:p>
        </w:tc>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DATETIME</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最近登录时间</w:t>
            </w:r>
          </w:p>
        </w:tc>
      </w:tr>
    </w:tbl>
    <w:p>
      <w:pPr>
        <w:pStyle w:val="Heading3"/>
        <w:spacing w:after="100" w:before="240" w:line="312"/>
      </w:pPr>
      <w:bookmarkStart w:id="100047" w:name="_Toc100047"/>
      <w:r>
        <w:rPr>
          <w:rFonts w:ascii="Times New Roman" w:eastAsia="SimHei"/>
          <w:b/>
          <w:bCs/>
          <w:color w:val="000000"/>
          <w:sz w:val="28"/>
          <w:szCs w:val="28"/>
        </w:rPr>
        <w:t xml:space="preserve">3.3.2 设备分类表 recycle_categories 与品牌表 recycle_brands</w:t>
      </w:r>
      <w:bookmarkEnd w:id="100047"/>
    </w:p>
    <w:p>
      <w:pPr>
        <w:spacing w:after="40" w:line="440" w:lineRule="exact"/>
        <w:ind w:firstLine="480"/>
        <w:jc w:val="both"/>
      </w:pPr>
      <w:r>
        <w:rPr>
          <w:rFonts w:ascii="Times New Roman" w:eastAsia="SimSun"/>
          <w:b w:val="false"/>
          <w:bCs w:val="false"/>
          <w:color w:val="000000"/>
          <w:sz w:val="24"/>
          <w:szCs w:val="24"/>
        </w:rPr>
        <w:t xml:space="preserve">分类表维护回收品类的基础信息，编码唯一，支持图标与主题色定制及上架/下架状态；品牌表通过分类外键隶属分类，支持品牌字标与品牌色。删除分类时校验其下是否仍有品牌，删除品牌时校验其下是否仍有型号，从应用层保证目录树完整性；数据库层同时设置级联删除外键作为兜底。</w:t>
      </w:r>
    </w:p>
    <w:p>
      <w:pPr>
        <w:keepNext/>
        <w:spacing w:after="80" w:before="160" w:line="312"/>
        <w:jc w:val="center"/>
      </w:pPr>
      <w:r>
        <w:rPr>
          <w:rFonts w:ascii="Times New Roman" w:eastAsia="SimSun"/>
          <w:b/>
          <w:bCs/>
          <w:color w:val="000000"/>
          <w:sz w:val="21"/>
          <w:szCs w:val="21"/>
        </w:rPr>
        <w:t xml:space="preserve">表 3-3 recycle_categories 主要字段</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gridCol w:w="100"/>
      </w:tblGrid>
      <w:tr>
        <w:trPr>
          <w:cantSplit/>
          <w:tblHeader/>
        </w:trPr>
        <w:tc>
          <w:tcPr>
            <w:tcW w:type="pct" w:w="26%"/>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字段</w:t>
            </w:r>
          </w:p>
        </w:tc>
        <w:tc>
          <w:tcPr>
            <w:tcW w:type="pct" w:w="28%"/>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类型</w:t>
            </w:r>
          </w:p>
        </w:tc>
        <w:tc>
          <w:tcPr>
            <w:tcW w:type="pct" w:w="46%"/>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说明</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id</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INT 自增主键</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分类标识</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code</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VARCHAR(32) 唯一</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分类编码（如 phone、computer）</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name / icon / color</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VARCHAR</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分类名称、图标、主题色</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sort_order</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INT</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排序权重</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status</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TINYINT(1)</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1 上架，0 下架</w:t>
            </w:r>
          </w:p>
        </w:tc>
      </w:tr>
    </w:tbl>
    <w:p>
      <w:pPr>
        <w:pStyle w:val="Heading3"/>
        <w:spacing w:after="100" w:before="240" w:line="312"/>
      </w:pPr>
      <w:bookmarkStart w:id="100048" w:name="_Toc100048"/>
      <w:r>
        <w:rPr>
          <w:rFonts w:ascii="Times New Roman" w:eastAsia="SimHei"/>
          <w:b/>
          <w:bCs/>
          <w:color w:val="000000"/>
          <w:sz w:val="28"/>
          <w:szCs w:val="28"/>
        </w:rPr>
        <w:t xml:space="preserve">3.3.3 型号配价表 recycle_models</w:t>
      </w:r>
      <w:bookmarkEnd w:id="100048"/>
    </w:p>
    <w:p>
      <w:pPr>
        <w:spacing w:after="40" w:line="440" w:lineRule="exact"/>
        <w:ind w:firstLine="480"/>
        <w:jc w:val="both"/>
      </w:pPr>
      <w:r>
        <w:rPr>
          <w:rFonts w:ascii="Times New Roman" w:eastAsia="SimSun"/>
          <w:b w:val="false"/>
          <w:bCs w:val="false"/>
          <w:color w:val="000000"/>
          <w:sz w:val="24"/>
          <w:szCs w:val="24"/>
        </w:rPr>
        <w:t xml:space="preserve">配价核心表，每个型号记录回收基准价（最高回收价）与二手市场参考价，支持热门机型标记、上架/下架与排序；updated_by 记录最后调价的管理员，配合调价记录表实现价格责任可追溯。</w:t>
      </w:r>
    </w:p>
    <w:p>
      <w:pPr>
        <w:keepNext/>
        <w:spacing w:after="80" w:before="160" w:line="312"/>
        <w:jc w:val="center"/>
      </w:pPr>
      <w:r>
        <w:rPr>
          <w:rFonts w:ascii="Times New Roman" w:eastAsia="SimSun"/>
          <w:b/>
          <w:bCs/>
          <w:color w:val="000000"/>
          <w:sz w:val="21"/>
          <w:szCs w:val="21"/>
        </w:rPr>
        <w:t xml:space="preserve">表 3-4 recycle_models 主要字段</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gridCol w:w="100"/>
      </w:tblGrid>
      <w:tr>
        <w:trPr>
          <w:cantSplit/>
          <w:tblHeader/>
        </w:trPr>
        <w:tc>
          <w:tcPr>
            <w:tcW w:type="pct" w:w="26%"/>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字段</w:t>
            </w:r>
          </w:p>
        </w:tc>
        <w:tc>
          <w:tcPr>
            <w:tcW w:type="pct" w:w="28%"/>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类型</w:t>
            </w:r>
          </w:p>
        </w:tc>
        <w:tc>
          <w:tcPr>
            <w:tcW w:type="pct" w:w="46%"/>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说明</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id</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INT 自增主键</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型号标识</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brand_id</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INT 外键</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所属品牌</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name / specs</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VARCHAR</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型号名称、规格说明</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base_price</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DECIMAL(10,2)</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回收基准价</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market_price</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DECIMAL(10,2) 可空</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二手市场参考价</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hot</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TINYINT(1)</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是否热门机型</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status</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TINYINT(1)</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1 上架，0 下架</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updated_by</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INT</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最后调价管理员</w:t>
            </w:r>
          </w:p>
        </w:tc>
      </w:tr>
    </w:tbl>
    <w:p>
      <w:pPr>
        <w:pStyle w:val="Heading3"/>
        <w:spacing w:after="100" w:before="240" w:line="312"/>
      </w:pPr>
      <w:bookmarkStart w:id="100049" w:name="_Toc100049"/>
      <w:r>
        <w:rPr>
          <w:rFonts w:ascii="Times New Roman" w:eastAsia="SimHei"/>
          <w:b/>
          <w:bCs/>
          <w:color w:val="000000"/>
          <w:sz w:val="28"/>
          <w:szCs w:val="28"/>
        </w:rPr>
        <w:t xml:space="preserve">3.3.4 调价记录表 recycle_price_logs</w:t>
      </w:r>
      <w:bookmarkEnd w:id="100049"/>
    </w:p>
    <w:p>
      <w:pPr>
        <w:spacing w:after="60" w:line="440" w:lineRule="exact"/>
        <w:ind w:firstLine="480"/>
        <w:jc w:val="both"/>
      </w:pPr>
      <w:r>
        <w:rPr>
          <w:rFonts w:ascii="Times New Roman" w:eastAsia="SimSun"/>
          <w:b w:val="false"/>
          <w:bCs w:val="false"/>
          <w:color w:val="000000"/>
          <w:sz w:val="24"/>
          <w:szCs w:val="24"/>
        </w:rPr>
        <w:t xml:space="preserve">记录每一次配价变动，包括新增型号的初始定价与批量调价中的每个型号，字段涵盖调价前后价格、调价原因、操作管理员与时间，按型号与时间建立索引，支撑价格走势查询与审计。</w:t>
      </w:r>
    </w:p>
    <w:p>
      <w:pPr>
        <w:pStyle w:val="Heading3"/>
        <w:spacing w:after="100" w:before="240" w:line="312"/>
      </w:pPr>
      <w:bookmarkStart w:id="100050" w:name="_Toc100050"/>
      <w:r>
        <w:rPr>
          <w:rFonts w:ascii="Times New Roman" w:eastAsia="SimHei"/>
          <w:b/>
          <w:bCs/>
          <w:color w:val="000000"/>
          <w:sz w:val="28"/>
          <w:szCs w:val="28"/>
        </w:rPr>
        <w:t xml:space="preserve">3.3.5 平台档案表 recycle_platforms 与采购链接表 recycle_procurement_links</w:t>
      </w:r>
      <w:bookmarkEnd w:id="100050"/>
    </w:p>
    <w:p>
      <w:pPr>
        <w:spacing w:after="60" w:line="440" w:lineRule="exact"/>
        <w:ind w:firstLine="480"/>
        <w:jc w:val="both"/>
      </w:pPr>
      <w:r>
        <w:rPr>
          <w:rFonts w:ascii="Times New Roman" w:eastAsia="SimSun"/>
          <w:b w:val="false"/>
          <w:bCs w:val="false"/>
          <w:color w:val="000000"/>
          <w:sz w:val="24"/>
          <w:szCs w:val="24"/>
        </w:rPr>
        <w:t xml:space="preserve">平台档案表存储外部回收平台信息，类型分为回收平台、采购渠道、比价参考三类，字段覆盖平台网址、服务方式（上门/邮寄/到店）、结算方式、佣金说明与联系方式，并累计跳转点击量。采购链接表存储按设备分类或机型关键词归类的采购与比价链接，可关联平台档案，记录参考价格区间、备注与点击统计。两张表配合跳转日志表 recycle_click_logs（记录来源为后台或小程序）形成渠道引流数据闭环。</w:t>
      </w:r>
    </w:p>
    <w:p>
      <w:pPr>
        <w:pStyle w:val="Heading3"/>
        <w:spacing w:after="100" w:before="240" w:line="312"/>
      </w:pPr>
      <w:bookmarkStart w:id="100051" w:name="_Toc100051"/>
      <w:r>
        <w:rPr>
          <w:rFonts w:ascii="Times New Roman" w:eastAsia="SimHei"/>
          <w:b/>
          <w:bCs/>
          <w:color w:val="000000"/>
          <w:sz w:val="28"/>
          <w:szCs w:val="28"/>
        </w:rPr>
        <w:t xml:space="preserve">3.3.6 估价系数表 recycle_condition_rates</w:t>
      </w:r>
      <w:bookmarkEnd w:id="100051"/>
    </w:p>
    <w:p>
      <w:pPr>
        <w:spacing w:after="60" w:line="440" w:lineRule="exact"/>
        <w:ind w:firstLine="480"/>
        <w:jc w:val="both"/>
      </w:pPr>
      <w:r>
        <w:rPr>
          <w:rFonts w:ascii="Times New Roman" w:eastAsia="SimSun"/>
          <w:b w:val="false"/>
          <w:bCs w:val="false"/>
          <w:color w:val="000000"/>
          <w:sz w:val="24"/>
          <w:szCs w:val="24"/>
        </w:rPr>
        <w:t xml:space="preserve">按估价因子分组存储各选项的价格系数，每条记录包含因子键（condition/screen/function/version/accessories/repair-history）、选项文案、选项匹配值与系数值，同一因子下按排序字段决定小程序端展示顺序。管理后台对系数的增删改即时生效，小程序端估价前拉取最新配置。</w:t>
      </w:r>
    </w:p>
    <w:p>
      <w:pPr>
        <w:pStyle w:val="Heading3"/>
        <w:spacing w:after="100" w:before="240" w:line="312"/>
      </w:pPr>
      <w:bookmarkStart w:id="100052" w:name="_Toc100052"/>
      <w:r>
        <w:rPr>
          <w:rFonts w:ascii="Times New Roman" w:eastAsia="SimHei"/>
          <w:b/>
          <w:bCs/>
          <w:color w:val="000000"/>
          <w:sz w:val="28"/>
          <w:szCs w:val="28"/>
        </w:rPr>
        <w:t xml:space="preserve">3.3.7 系统参数表 recycle_settings</w:t>
      </w:r>
      <w:bookmarkEnd w:id="100052"/>
    </w:p>
    <w:p>
      <w:pPr>
        <w:spacing w:after="40" w:line="440" w:lineRule="exact"/>
        <w:ind w:firstLine="480"/>
        <w:jc w:val="both"/>
      </w:pPr>
      <w:r>
        <w:rPr>
          <w:rFonts w:ascii="Times New Roman" w:eastAsia="SimSun"/>
          <w:b w:val="false"/>
          <w:bCs w:val="false"/>
          <w:color w:val="000000"/>
          <w:sz w:val="24"/>
          <w:szCs w:val="24"/>
        </w:rPr>
        <w:t xml:space="preserve">以键值对方式存储平台运行参数，键唯一。预置参数包括二手回收基准系数、AI 估价开关、配价有效期、回收服务电话、回收须知、单次调价幅度上限、环保换算系数等；品类估价系数亦以 cat_factor_ 前缀键存于本表。参数支持在线修改并记录更新人。</w:t>
      </w:r>
    </w:p>
    <w:p>
      <w:pPr>
        <w:keepNext/>
        <w:spacing w:after="80" w:before="160" w:line="312"/>
        <w:jc w:val="center"/>
      </w:pPr>
      <w:r>
        <w:rPr>
          <w:rFonts w:ascii="Times New Roman" w:eastAsia="SimSun"/>
          <w:b/>
          <w:bCs/>
          <w:color w:val="000000"/>
          <w:sz w:val="21"/>
          <w:szCs w:val="21"/>
        </w:rPr>
        <w:t xml:space="preserve">表 3-5 预置系统参数</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gridCol w:w="100"/>
      </w:tblGrid>
      <w:tr>
        <w:trPr>
          <w:cantSplit/>
          <w:tblHeader/>
        </w:trPr>
        <w:tc>
          <w:tcPr>
            <w:tcW w:type="pct" w:w="30%"/>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参数键</w:t>
            </w:r>
          </w:p>
        </w:tc>
        <w:tc>
          <w:tcPr>
            <w:tcW w:type="pct" w:w="26%"/>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默认值</w:t>
            </w:r>
          </w:p>
        </w:tc>
        <w:tc>
          <w:tcPr>
            <w:tcW w:type="pct" w:w="44%"/>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说明</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base_factor</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0.9</w:t>
            </w:r>
          </w:p>
        </w:tc>
        <w:tc>
          <w:tcPr>
            <w:tcW w:type="pct" w:w="4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二手回收基准系数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ai_evaluate_enabled</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1</w:t>
            </w:r>
          </w:p>
        </w:tc>
        <w:tc>
          <w:tcPr>
            <w:tcW w:type="pct" w:w="4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小程序端 AI 估价开关（1 开 0 关）</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price_valid_days</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3</w:t>
            </w:r>
          </w:p>
        </w:tc>
        <w:tc>
          <w:tcPr>
            <w:tcW w:type="pct" w:w="4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配价有效期（天）</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service_phone</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400-888-8888</w:t>
            </w:r>
          </w:p>
        </w:tc>
        <w:tc>
          <w:tcPr>
            <w:tcW w:type="pct" w:w="4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回收服务电话</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recycle_notice</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回收前请备份数据并退出账号</w:t>
            </w:r>
          </w:p>
        </w:tc>
        <w:tc>
          <w:tcPr>
            <w:tcW w:type="pct" w:w="4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回收须知文案</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max_price_adjust_percent</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20</w:t>
            </w:r>
          </w:p>
        </w:tc>
        <w:tc>
          <w:tcPr>
            <w:tcW w:type="pct" w:w="4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单次调价幅度上限（%）</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eco_co2_per_device</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25</w:t>
            </w:r>
          </w:p>
        </w:tc>
        <w:tc>
          <w:tcPr>
            <w:tcW w:type="pct" w:w="4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每台设备回收减少碳排放（kg CO2e）</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eco_tree_co2_year</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18</w:t>
            </w:r>
          </w:p>
        </w:tc>
        <w:tc>
          <w:tcPr>
            <w:tcW w:type="pct" w:w="4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一棵树年吸收二氧化碳（kg）</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eco_energy_per_device</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8.7</w:t>
            </w:r>
          </w:p>
        </w:tc>
        <w:tc>
          <w:tcPr>
            <w:tcW w:type="pct" w:w="4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每台设备回收节省电能（kWh）</w:t>
            </w:r>
          </w:p>
        </w:tc>
      </w:tr>
    </w:tbl>
    <w:p>
      <w:pPr>
        <w:pStyle w:val="Heading3"/>
        <w:spacing w:after="100" w:before="240" w:line="312"/>
      </w:pPr>
      <w:bookmarkStart w:id="100053" w:name="_Toc100053"/>
      <w:r>
        <w:rPr>
          <w:rFonts w:ascii="Times New Roman" w:eastAsia="SimHei"/>
          <w:b/>
          <w:bCs/>
          <w:color w:val="000000"/>
          <w:sz w:val="28"/>
          <w:szCs w:val="28"/>
        </w:rPr>
        <w:t xml:space="preserve">3.3.8 操作日志表 recycle_operation_logs</w:t>
      </w:r>
      <w:bookmarkEnd w:id="100053"/>
    </w:p>
    <w:p>
      <w:pPr>
        <w:spacing w:after="60" w:line="440" w:lineRule="exact"/>
        <w:ind w:firstLine="480"/>
        <w:jc w:val="both"/>
      </w:pPr>
      <w:r>
        <w:rPr>
          <w:rFonts w:ascii="Times New Roman" w:eastAsia="SimSun"/>
          <w:b w:val="false"/>
          <w:bCs w:val="false"/>
          <w:color w:val="000000"/>
          <w:sz w:val="24"/>
          <w:szCs w:val="24"/>
        </w:rPr>
        <w:t xml:space="preserve">记录后台全部写操作，字段包括操作管理员、模块（order/catalog/platform/link/setting/auth）、动作、明细、来源 IP 与时间，按模块与时间索引。日志写入与业务操作同事务提交，明细内容超长时自动截断至一千字符。</w:t>
      </w:r>
    </w:p>
    <w:p>
      <w:pPr>
        <w:pStyle w:val="Heading3"/>
        <w:spacing w:after="100" w:before="240" w:line="312"/>
      </w:pPr>
      <w:bookmarkStart w:id="100054" w:name="_Toc100054"/>
      <w:r>
        <w:rPr>
          <w:rFonts w:ascii="Times New Roman" w:eastAsia="SimHei"/>
          <w:b/>
          <w:bCs/>
          <w:color w:val="000000"/>
          <w:sz w:val="28"/>
          <w:szCs w:val="28"/>
        </w:rPr>
        <w:t xml:space="preserve">3.3.9 业务订单表 orders（共享）</w:t>
      </w:r>
      <w:bookmarkEnd w:id="100054"/>
    </w:p>
    <w:p>
      <w:pPr>
        <w:spacing w:after="60" w:line="440" w:lineRule="exact"/>
        <w:ind w:firstLine="480"/>
        <w:jc w:val="both"/>
      </w:pPr>
      <w:r>
        <w:rPr>
          <w:rFonts w:ascii="Times New Roman" w:eastAsia="SimSun"/>
          <w:b w:val="false"/>
          <w:bCs w:val="false"/>
          <w:color w:val="000000"/>
          <w:sz w:val="24"/>
          <w:szCs w:val="24"/>
        </w:rPr>
        <w:t xml:space="preserve">回收订单复用业务订单表，以 order_type 字段区分业务类型。回收订单使用的主要字段包括：订单号 order_id、用户 user_id、设备型号 device_model、设备成色 device_condition、预估价 estimated_price、成交价 actual_price、报价说明 quote_description、订单状态 status、进度 progress、图片 images、取消原因 cancel_reason 以及支付状态 payment_status 等；内部回收申请另以设备来源 device_source 与免付款标记区分。管理后台查询时按订单类型过滤并联查用户昵称、真实姓名与手机号，订单详情额外联查收货地址。</w:t>
      </w:r>
    </w:p>
    <w:p>
      <w:pPr>
        <w:pStyle w:val="Heading2"/>
        <w:spacing w:after="140" w:before="300" w:line="312"/>
      </w:pPr>
      <w:bookmarkStart w:id="100055" w:name="_Toc100055"/>
      <w:r>
        <w:rPr>
          <w:rFonts w:ascii="Times New Roman" w:eastAsia="SimHei"/>
          <w:b/>
          <w:bCs/>
          <w:color w:val="000000"/>
          <w:sz w:val="30"/>
          <w:szCs w:val="30"/>
        </w:rPr>
        <w:t xml:space="preserve">3.4 数据一致性设计</w:t>
      </w:r>
      <w:bookmarkEnd w:id="100055"/>
    </w:p>
    <w:p>
      <w:pPr>
        <w:pStyle w:val="Heading3"/>
        <w:spacing w:after="100" w:before="240" w:line="312"/>
      </w:pPr>
      <w:bookmarkStart w:id="100056" w:name="_Toc100056"/>
      <w:r>
        <w:rPr>
          <w:rFonts w:ascii="Times New Roman" w:eastAsia="SimHei"/>
          <w:b/>
          <w:bCs/>
          <w:color w:val="000000"/>
          <w:sz w:val="28"/>
          <w:szCs w:val="28"/>
        </w:rPr>
        <w:t xml:space="preserve">3.4.1 幂等初始化</w:t>
      </w:r>
      <w:bookmarkEnd w:id="100056"/>
    </w:p>
    <w:p>
      <w:pPr>
        <w:spacing w:after="60" w:line="440" w:lineRule="exact"/>
        <w:ind w:firstLine="480"/>
        <w:jc w:val="both"/>
      </w:pPr>
      <w:r>
        <w:rPr>
          <w:rFonts w:ascii="Times New Roman" w:eastAsia="SimSun"/>
          <w:b w:val="false"/>
          <w:bCs w:val="false"/>
          <w:color w:val="000000"/>
          <w:sz w:val="24"/>
          <w:szCs w:val="24"/>
        </w:rPr>
        <w:t xml:space="preserve">建表语句全部采用 CREATE TABLE IF NOT EXISTS 形式；种子数据写入前先判断目标表是否为空，系统参数采用 INSERT IGNORE 忽略重复键。服务可安全重复启动与升级重启，不会产生重复数据或覆盖已有业务配置。</w:t>
      </w:r>
    </w:p>
    <w:p>
      <w:pPr>
        <w:pStyle w:val="Heading3"/>
        <w:spacing w:after="100" w:before="240" w:line="312"/>
      </w:pPr>
      <w:bookmarkStart w:id="100057" w:name="_Toc100057"/>
      <w:r>
        <w:rPr>
          <w:rFonts w:ascii="Times New Roman" w:eastAsia="SimHei"/>
          <w:b/>
          <w:bCs/>
          <w:color w:val="000000"/>
          <w:sz w:val="28"/>
          <w:szCs w:val="28"/>
        </w:rPr>
        <w:t xml:space="preserve">3.4.2 引用完整性校验</w:t>
      </w:r>
      <w:bookmarkEnd w:id="100057"/>
    </w:p>
    <w:p>
      <w:pPr>
        <w:spacing w:after="60" w:line="440" w:lineRule="exact"/>
        <w:ind w:firstLine="480"/>
        <w:jc w:val="both"/>
      </w:pPr>
      <w:r>
        <w:rPr>
          <w:rFonts w:ascii="Times New Roman" w:eastAsia="SimSun"/>
          <w:b w:val="false"/>
          <w:bCs w:val="false"/>
          <w:color w:val="000000"/>
          <w:sz w:val="24"/>
          <w:szCs w:val="24"/>
        </w:rPr>
        <w:t xml:space="preserve">配价目录删除操作在应用层前置引用校验：分类下存在品牌时禁止删除分类，品牌下存在型号时禁止删除品牌；数据库层另设外键级联删除作为兜底约束。订单详情联查的用户与地址数据均使用左连接，用户数据异常时不影响订单主信息展示。</w:t>
      </w:r>
    </w:p>
    <w:p>
      <w:pPr>
        <w:pStyle w:val="Heading3"/>
        <w:spacing w:after="100" w:before="240" w:line="312"/>
      </w:pPr>
      <w:bookmarkStart w:id="100058" w:name="_Toc100058"/>
      <w:r>
        <w:rPr>
          <w:rFonts w:ascii="Times New Roman" w:eastAsia="SimHei"/>
          <w:b/>
          <w:bCs/>
          <w:color w:val="000000"/>
          <w:sz w:val="28"/>
          <w:szCs w:val="28"/>
        </w:rPr>
        <w:t xml:space="preserve">3.4.3 业务保护规则</w:t>
      </w:r>
      <w:bookmarkEnd w:id="100058"/>
    </w:p>
    <w:p>
      <w:pPr>
        <w:spacing w:after="60" w:line="440" w:lineRule="exact"/>
        <w:ind w:firstLine="480"/>
        <w:jc w:val="both"/>
      </w:pPr>
      <w:r>
        <w:rPr>
          <w:rFonts w:ascii="Times New Roman" w:eastAsia="SimSun"/>
          <w:b w:val="false"/>
          <w:bCs w:val="false"/>
          <w:color w:val="000000"/>
          <w:sz w:val="24"/>
          <w:szCs w:val="24"/>
        </w:rPr>
        <w:t xml:space="preserve">系统在多处实施数据保护：估价系数每个因子至少保留两个选项，删除时校验剩余数量；管理员删除时校验系统至少保留一个超级管理员，且不允许删除或禁用自己的账号；调价幅度超限需强制确认；订单完结后拒绝报价与状态变更。上述规则与操作日志配合，保证数据变化始终处于受控状态。</w:t>
      </w:r>
    </w:p>
    <w:p>
      <w:pPr>
        <w:pStyle w:val="Heading3"/>
        <w:spacing w:after="100" w:before="240" w:line="312"/>
      </w:pPr>
      <w:bookmarkStart w:id="100059" w:name="_Toc100059"/>
      <w:r>
        <w:rPr>
          <w:rFonts w:ascii="Times New Roman" w:eastAsia="SimHei"/>
          <w:b/>
          <w:bCs/>
          <w:color w:val="000000"/>
          <w:sz w:val="28"/>
          <w:szCs w:val="28"/>
        </w:rPr>
        <w:t xml:space="preserve">3.5 索引与查询性能设计</w:t>
      </w:r>
      <w:bookmarkEnd w:id="100059"/>
    </w:p>
    <w:p>
      <w:pPr>
        <w:pStyle w:val="Heading4"/>
        <w:spacing w:after="80" w:before="200" w:line="312"/>
      </w:pPr>
      <w:bookmarkStart w:id="100060" w:name="_Toc100060"/>
      <w:r>
        <w:rPr>
          <w:rFonts w:ascii="Times New Roman" w:eastAsia="SimHei"/>
          <w:b/>
          <w:bCs/>
          <w:color w:val="000000"/>
          <w:sz w:val="24"/>
          <w:szCs w:val="24"/>
        </w:rPr>
        <w:t xml:space="preserve">3.5.1 索引设计</w:t>
      </w:r>
      <w:bookmarkEnd w:id="100060"/>
    </w:p>
    <w:p>
      <w:pPr>
        <w:spacing w:after="60" w:line="440" w:lineRule="exact"/>
        <w:ind w:firstLine="480"/>
        <w:jc w:val="both"/>
      </w:pPr>
      <w:r>
        <w:rPr>
          <w:rFonts w:ascii="Times New Roman" w:eastAsia="SimSun"/>
          <w:b w:val="false"/>
          <w:bCs w:val="false"/>
          <w:color w:val="000000"/>
          <w:sz w:val="24"/>
          <w:szCs w:val="24"/>
        </w:rPr>
        <w:t xml:space="preserve">平台按实际查询模式建立索引：分类表对分类编码建唯一索引，支撑编码查重与小程序端按编码合并视觉资源；品牌表按分类外键、型号表按品牌外键建索引，支撑目录树组装与联表查询；型号表另对状态与热门标记建复合索引，支撑上架热门机型的快速筛选；调价记录表按型号与时间、跳转日志表按目标与时间分别建索引，支撑价格走势与点击趋势统计；系统参数表按键唯一索引、操作日志表按模块与时间索引，加速点查与范围检索。全部索引随建表语句一并创建，无需人工维护。</w:t>
      </w:r>
    </w:p>
    <w:p>
      <w:pPr>
        <w:pStyle w:val="Heading4"/>
        <w:spacing w:after="80" w:before="200" w:line="312"/>
      </w:pPr>
      <w:bookmarkStart w:id="100061" w:name="_Toc100061"/>
      <w:r>
        <w:rPr>
          <w:rFonts w:ascii="Times New Roman" w:eastAsia="SimHei"/>
          <w:b/>
          <w:bCs/>
          <w:color w:val="000000"/>
          <w:sz w:val="24"/>
          <w:szCs w:val="24"/>
        </w:rPr>
        <w:t xml:space="preserve">3.5.2 查询优化策略</w:t>
      </w:r>
      <w:bookmarkEnd w:id="100061"/>
    </w:p>
    <w:p>
      <w:pPr>
        <w:spacing w:after="60" w:line="440" w:lineRule="exact"/>
        <w:ind w:firstLine="480"/>
        <w:jc w:val="both"/>
      </w:pPr>
      <w:r>
        <w:rPr>
          <w:rFonts w:ascii="Times New Roman" w:eastAsia="SimSun"/>
          <w:b w:val="false"/>
          <w:bCs w:val="false"/>
          <w:color w:val="000000"/>
          <w:sz w:val="24"/>
          <w:szCs w:val="24"/>
        </w:rPr>
        <w:t xml:space="preserve">高频列表接口统一采用条件数组参数化拼装加并行查询：数据列表与计数统计两条 SQL 同时发出，一次往返同时拿到结果与汇总；配价目录树接口不做递归联表，而是将分类、品牌、型号三表全量取出后在内存中按主键映射组装树结构，避免深层级联查询的开销；统计接口以条件聚合将多指标合并进单条 SQL，减少往返次数。分页参数在服务端钳制、导出接口设置上限，防止大结果集拖垮服务。</w:t>
      </w:r>
    </w:p>
    <w:p>
      <w:pPr>
        <w:pStyle w:val="Heading4"/>
        <w:spacing w:after="80" w:before="200" w:line="312"/>
      </w:pPr>
      <w:bookmarkStart w:id="100062" w:name="_Toc100062"/>
      <w:r>
        <w:rPr>
          <w:rFonts w:ascii="Times New Roman" w:eastAsia="SimHei"/>
          <w:b/>
          <w:bCs/>
          <w:color w:val="000000"/>
          <w:sz w:val="24"/>
          <w:szCs w:val="24"/>
        </w:rPr>
        <w:t xml:space="preserve">3.5.3 数据量控制</w:t>
      </w:r>
      <w:bookmarkEnd w:id="100062"/>
    </w:p>
    <w:p>
      <w:pPr>
        <w:spacing w:after="60" w:line="440" w:lineRule="exact"/>
        <w:ind w:firstLine="480"/>
        <w:jc w:val="both"/>
      </w:pPr>
      <w:r>
        <w:rPr>
          <w:rFonts w:ascii="Times New Roman" w:eastAsia="SimSun"/>
          <w:b w:val="false"/>
          <w:bCs w:val="false"/>
          <w:color w:val="000000"/>
          <w:sz w:val="24"/>
          <w:szCs w:val="24"/>
        </w:rPr>
        <w:t xml:space="preserve">系统在各环节内置数据量控制：操作日志明细自动截断至一千字符、单次导出上限五千条、用户下拉检索最多返回三十条、小程序比价平台最多展示二十个、搜索结果最多展示五十条。控制策略既保证长期运行下的响应稳定，也约束了日志与缓存数据的存储增长。</w:t>
      </w:r>
    </w:p>
    <w:p>
      <w:pPr>
        <w:pStyle w:val="Heading1"/>
        <w:pageBreakBefore/>
        <w:spacing w:after="240" w:before="240" w:line="312"/>
        <w:jc w:val="center"/>
      </w:pPr>
      <w:bookmarkStart w:id="100063" w:name="_Toc100063"/>
      <w:r>
        <w:rPr>
          <w:rFonts w:ascii="Times New Roman" w:eastAsia="SimHei"/>
          <w:b/>
          <w:bCs/>
          <w:color w:val="000000"/>
          <w:sz w:val="32"/>
          <w:szCs w:val="32"/>
        </w:rPr>
        <w:t xml:space="preserve">第四章 接口设计</w:t>
      </w:r>
      <w:bookmarkEnd w:id="100063"/>
    </w:p>
    <w:p>
      <w:pPr>
        <w:pStyle w:val="Heading2"/>
        <w:spacing w:after="140" w:before="300" w:line="312"/>
      </w:pPr>
      <w:bookmarkStart w:id="100064" w:name="_Toc100064"/>
      <w:r>
        <w:rPr>
          <w:rFonts w:ascii="Times New Roman" w:eastAsia="SimHei"/>
          <w:b/>
          <w:bCs/>
          <w:color w:val="000000"/>
          <w:sz w:val="30"/>
          <w:szCs w:val="30"/>
        </w:rPr>
        <w:t xml:space="preserve">4.1 接口规范</w:t>
      </w:r>
      <w:bookmarkEnd w:id="100064"/>
    </w:p>
    <w:p>
      <w:pPr>
        <w:pStyle w:val="Heading3"/>
        <w:spacing w:after="100" w:before="240" w:line="312"/>
      </w:pPr>
      <w:bookmarkStart w:id="100065" w:name="_Toc100065"/>
      <w:r>
        <w:rPr>
          <w:rFonts w:ascii="Times New Roman" w:eastAsia="SimHei"/>
          <w:b/>
          <w:bCs/>
          <w:color w:val="000000"/>
          <w:sz w:val="28"/>
          <w:szCs w:val="28"/>
        </w:rPr>
        <w:t xml:space="preserve">4.1.1 请求规范</w:t>
      </w:r>
      <w:bookmarkEnd w:id="100065"/>
    </w:p>
    <w:p>
      <w:pPr>
        <w:spacing w:after="60" w:line="440" w:lineRule="exact"/>
        <w:ind w:firstLine="480"/>
        <w:jc w:val="both"/>
      </w:pPr>
      <w:r>
        <w:rPr>
          <w:rFonts w:ascii="Times New Roman" w:eastAsia="SimSun"/>
          <w:b w:val="false"/>
          <w:bCs w:val="false"/>
          <w:color w:val="000000"/>
          <w:sz w:val="24"/>
          <w:szCs w:val="24"/>
        </w:rPr>
        <w:t xml:space="preserve">管理后台接口统一以 /api 为前缀，采用 JSON 报文，请求体上限 5MB。列表类接口统一接受 page 与 pageSize 分页参数，pageSize 在服务端强制收敛（订单、日志类上限 100 条），防止大结果集拖垮服务。查询类接口通过查询参数传递筛选条件，写操作通过 JSON 请求体传递业务字段。</w:t>
      </w:r>
    </w:p>
    <w:p>
      <w:pPr>
        <w:pStyle w:val="Heading3"/>
        <w:spacing w:after="100" w:before="240" w:line="312"/>
      </w:pPr>
      <w:bookmarkStart w:id="100066" w:name="_Toc100066"/>
      <w:r>
        <w:rPr>
          <w:rFonts w:ascii="Times New Roman" w:eastAsia="SimHei"/>
          <w:b/>
          <w:bCs/>
          <w:color w:val="000000"/>
          <w:sz w:val="28"/>
          <w:szCs w:val="28"/>
        </w:rPr>
        <w:t xml:space="preserve">4.1.2 响应规范</w:t>
      </w:r>
      <w:bookmarkEnd w:id="100066"/>
    </w:p>
    <w:p>
      <w:pPr>
        <w:spacing w:after="60" w:line="440" w:lineRule="exact"/>
        <w:ind w:firstLine="480"/>
        <w:jc w:val="both"/>
      </w:pPr>
      <w:r>
        <w:rPr>
          <w:rFonts w:ascii="Times New Roman" w:eastAsia="SimSun"/>
          <w:b w:val="false"/>
          <w:bCs w:val="false"/>
          <w:color w:val="000000"/>
          <w:sz w:val="24"/>
          <w:szCs w:val="24"/>
        </w:rPr>
        <w:t xml:space="preserve">响应统一为 success（布尔，标识业务成败）、message（人类可读提示）与 data（业务数据）三段结构；列表类接口的 data 内含 list、total、page、pageSize 分页结构。错误响应携带对应 HTTP 状态码（400 参数错误、401 未登录或登录过期、403 无权限或账号禁用、404 资源不存在、500 服务器错误），前端据此统一弹提示与跳转登录。</w:t>
      </w:r>
    </w:p>
    <w:p>
      <w:pPr>
        <w:pStyle w:val="Heading3"/>
        <w:spacing w:after="100" w:before="240" w:line="312"/>
      </w:pPr>
      <w:bookmarkStart w:id="100067" w:name="_Toc100067"/>
      <w:r>
        <w:rPr>
          <w:rFonts w:ascii="Times New Roman" w:eastAsia="SimHei"/>
          <w:b/>
          <w:bCs/>
          <w:color w:val="000000"/>
          <w:sz w:val="28"/>
          <w:szCs w:val="28"/>
        </w:rPr>
        <w:t xml:space="preserve">4.1.3 鉴权机制</w:t>
      </w:r>
      <w:bookmarkEnd w:id="100067"/>
    </w:p>
    <w:p>
      <w:pPr>
        <w:spacing w:after="60" w:line="440" w:lineRule="exact"/>
        <w:ind w:firstLine="480"/>
        <w:jc w:val="both"/>
      </w:pPr>
      <w:r>
        <w:rPr>
          <w:rFonts w:ascii="Times New Roman" w:eastAsia="SimSun"/>
          <w:b w:val="false"/>
          <w:bCs w:val="false"/>
          <w:color w:val="000000"/>
          <w:sz w:val="24"/>
          <w:szCs w:val="24"/>
        </w:rPr>
        <w:t xml:space="preserve">除登录、单点登录与健康检查外，全部接口要求携带 Authorization: Bearer 令牌；令牌经服务端校验签名、有效期并回查账号状态与角色。文件下载类接口（订单导出、配价导出）另支持以查询参数 token 传递令牌，适配浏览器新窗口直接下载场景。写操作接口在认证之外叠加角色校验：只读账号被拒绝执行，管理员管理接口仅超级管理员可调用。</w:t>
      </w:r>
    </w:p>
    <w:p>
      <w:pPr>
        <w:pStyle w:val="Heading3"/>
        <w:spacing w:after="100" w:before="240" w:line="312"/>
      </w:pPr>
      <w:bookmarkStart w:id="100068" w:name="_Toc100068"/>
      <w:r>
        <w:rPr>
          <w:rFonts w:ascii="Times New Roman" w:eastAsia="SimHei"/>
          <w:b/>
          <w:bCs/>
          <w:color w:val="000000"/>
          <w:sz w:val="28"/>
          <w:szCs w:val="28"/>
        </w:rPr>
        <w:t xml:space="preserve">4.1.4 通用错误响应</w:t>
      </w:r>
      <w:bookmarkEnd w:id="100068"/>
    </w:p>
    <w:p>
      <w:pPr>
        <w:spacing w:after="40" w:line="440" w:lineRule="exact"/>
        <w:ind w:firstLine="480"/>
        <w:jc w:val="both"/>
      </w:pPr>
      <w:r>
        <w:rPr>
          <w:rFonts w:ascii="Times New Roman" w:eastAsia="SimSun"/>
          <w:b w:val="false"/>
          <w:bCs w:val="false"/>
          <w:color w:val="000000"/>
          <w:sz w:val="24"/>
          <w:szCs w:val="24"/>
        </w:rPr>
        <w:t xml:space="preserve">接口错误以标准 HTTP 状态码标识类别、响应体携业务提示信息，两类信号的组合覆盖平台的全部错误场景。</w:t>
      </w:r>
    </w:p>
    <w:p>
      <w:pPr>
        <w:keepNext/>
        <w:spacing w:after="80" w:before="160" w:line="312"/>
        <w:jc w:val="center"/>
      </w:pPr>
      <w:r>
        <w:rPr>
          <w:rFonts w:ascii="Times New Roman" w:eastAsia="SimSun"/>
          <w:b/>
          <w:bCs/>
          <w:color w:val="000000"/>
          <w:sz w:val="21"/>
          <w:szCs w:val="21"/>
        </w:rPr>
        <w:t xml:space="preserve">表 4-1 HTTP 状态码与业务含义</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gridCol w:w="100"/>
      </w:tblGrid>
      <w:tr>
        <w:trPr>
          <w:cantSplit/>
          <w:tblHeader/>
        </w:trPr>
        <w:tc>
          <w:tcPr>
            <w:tcW w:type="pct" w:w="12%"/>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状态码</w:t>
            </w:r>
          </w:p>
        </w:tc>
        <w:tc>
          <w:tcPr>
            <w:tcW w:type="pct" w:w="16%"/>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含义</w:t>
            </w:r>
          </w:p>
        </w:tc>
        <w:tc>
          <w:tcPr>
            <w:tcW w:type="pct" w:w="72%"/>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典型场景</w:t>
            </w:r>
          </w:p>
        </w:tc>
      </w:tr>
      <w:tr>
        <w:trPr>
          <w:cantSplit/>
        </w:trPr>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200</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请求成功</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正常返回数据；业务性失败时仍返回 200，由 success=false 与 message 表达</w:t>
            </w:r>
          </w:p>
        </w:tc>
      </w:tr>
      <w:tr>
        <w:trPr>
          <w:cantSplit/>
        </w:trPr>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400</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参数错误</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缺少必填字段、金额无效、目标状态非法、编码重复等</w:t>
            </w:r>
          </w:p>
        </w:tc>
      </w:tr>
      <w:tr>
        <w:trPr>
          <w:cantSplit/>
        </w:trPr>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401</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未认证</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未携带令牌、令牌过期、账号不存在</w:t>
            </w:r>
          </w:p>
        </w:tc>
      </w:tr>
      <w:tr>
        <w:trPr>
          <w:cantSplit/>
        </w:trPr>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403</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无权限</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账号已禁用、只读账号执行写操作、非超管访问管理员接口</w:t>
            </w:r>
          </w:p>
        </w:tc>
      </w:tr>
      <w:tr>
        <w:trPr>
          <w:cantSplit/>
        </w:trPr>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404</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资源不存在</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订单、型号、平台等目标不存在</w:t>
            </w:r>
          </w:p>
        </w:tc>
      </w:tr>
      <w:tr>
        <w:trPr>
          <w:cantSplit/>
        </w:trPr>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500</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服务器错误</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内部异常，统一提示，不向客户端暴露堆栈细节</w:t>
            </w:r>
          </w:p>
        </w:tc>
      </w:tr>
    </w:tbl>
    <w:p>
      <w:pPr>
        <w:spacing w:after="60" w:line="440" w:lineRule="exact"/>
        <w:ind w:firstLine="480"/>
        <w:jc w:val="both"/>
      </w:pPr>
      <w:r>
        <w:rPr>
          <w:rFonts w:ascii="Times New Roman" w:eastAsia="SimSun"/>
          <w:b w:val="false"/>
          <w:bCs w:val="false"/>
          <w:color w:val="000000"/>
          <w:sz w:val="24"/>
          <w:szCs w:val="24"/>
        </w:rPr>
        <w:t xml:space="preserve">前端按状态码统一分流处理：401 时清理本地凭证并跳转登录页；400、403、404 时弹出服务端返回的提示信息；500 时提示服务器错误。服务端统一错误处理中间件捕获全部未处理异常，生产环境仅返回通用提示。</w:t>
      </w:r>
    </w:p>
    <w:p>
      <w:pPr>
        <w:pStyle w:val="Heading2"/>
        <w:spacing w:after="140" w:before="300" w:line="312"/>
      </w:pPr>
      <w:bookmarkStart w:id="100069" w:name="_Toc100069"/>
      <w:r>
        <w:rPr>
          <w:rFonts w:ascii="Times New Roman" w:eastAsia="SimHei"/>
          <w:b/>
          <w:bCs/>
          <w:color w:val="000000"/>
          <w:sz w:val="30"/>
          <w:szCs w:val="30"/>
        </w:rPr>
        <w:t xml:space="preserve">4.2 认证与账号接口</w:t>
      </w:r>
      <w:bookmarkEnd w:id="100069"/>
    </w:p>
    <w:p>
      <w:pPr>
        <w:keepNext/>
        <w:spacing w:after="80" w:before="160" w:line="312"/>
        <w:jc w:val="center"/>
      </w:pPr>
      <w:r>
        <w:rPr>
          <w:rFonts w:ascii="Times New Roman" w:eastAsia="SimSun"/>
          <w:b/>
          <w:bCs/>
          <w:color w:val="000000"/>
          <w:sz w:val="21"/>
          <w:szCs w:val="21"/>
        </w:rPr>
        <w:t xml:space="preserve">表 4-2 认证接口清单</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tblGrid>
      <w:tr>
        <w:trPr>
          <w:cantSplit/>
          <w:tblHeader/>
        </w:trPr>
        <w:tc>
          <w:tcPr>
            <w:tcW w:type="pct" w:w="38%"/>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方法与路径</w:t>
            </w:r>
          </w:p>
        </w:tc>
        <w:tc>
          <w:tcPr>
            <w:tcW w:type="pct" w:w="62%"/>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功能说明</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/api/auth/login</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账号密码登录，校验 bcrypt 哈希与账号状态，签发 12 小时 JWT</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/api/auth/sso</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以维修后台令牌置换回收后台会话，无账号时自动开通</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/api/auth/me</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获取当前登录管理员信息</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/api/auth/change-password</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修改自身密码，新密码不少于 6 位</w:t>
            </w:r>
          </w:p>
        </w:tc>
      </w:tr>
    </w:tbl>
    <w:p>
      <w:pPr>
        <w:pStyle w:val="Heading2"/>
        <w:spacing w:after="140" w:before="300" w:line="312"/>
      </w:pPr>
      <w:bookmarkStart w:id="100070" w:name="_Toc100070"/>
      <w:r>
        <w:rPr>
          <w:rFonts w:ascii="Times New Roman" w:eastAsia="SimHei"/>
          <w:b/>
          <w:bCs/>
          <w:color w:val="000000"/>
          <w:sz w:val="30"/>
          <w:szCs w:val="30"/>
        </w:rPr>
        <w:t xml:space="preserve">4.3 回收订单接口</w:t>
      </w:r>
      <w:bookmarkEnd w:id="100070"/>
    </w:p>
    <w:p>
      <w:pPr>
        <w:keepNext/>
        <w:spacing w:after="80" w:before="160" w:line="312"/>
        <w:jc w:val="center"/>
      </w:pPr>
      <w:r>
        <w:rPr>
          <w:rFonts w:ascii="Times New Roman" w:eastAsia="SimSun"/>
          <w:b/>
          <w:bCs/>
          <w:color w:val="000000"/>
          <w:sz w:val="21"/>
          <w:szCs w:val="21"/>
        </w:rPr>
        <w:t xml:space="preserve">表 4-3 回收订单接口清单</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tblGrid>
      <w:tr>
        <w:trPr>
          <w:cantSplit/>
          <w:tblHeader/>
        </w:trPr>
        <w:tc>
          <w:tcPr>
            <w:tcW w:type="pct" w:w="38%"/>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方法与路径</w:t>
            </w:r>
          </w:p>
        </w:tc>
        <w:tc>
          <w:tcPr>
            <w:tcW w:type="pct" w:w="62%"/>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功能说明</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/api/orders</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分页查询回收订单，支持关键词、状态、成色、日期区间筛选，返回列表与成交额汇总</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/api/orders/:id</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订单详情，含用户联系信息与收货地址拼接</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/api/orders/:id/quote</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提交回收报价，校验金额有效性并写操作日志</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/api/orders/:id/status</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订单状态流转，完结态校验与取消原因记录</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/api/orders</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手动创建线下回收订单，生成 REC 前缀订单号</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/api/orders/export/list</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按当前筛选条件导出 CSV（带 BOM，Excel 直接打开）</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/api/orders/meta/options</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用户搜索下拉（按昵称/姓名/手机号检索）</w:t>
            </w:r>
          </w:p>
        </w:tc>
      </w:tr>
    </w:tbl>
    <w:p>
      <w:pPr>
        <w:pStyle w:val="Heading2"/>
        <w:spacing w:after="140" w:before="300" w:line="312"/>
      </w:pPr>
      <w:bookmarkStart w:id="100071" w:name="_Toc100071"/>
      <w:r>
        <w:rPr>
          <w:rFonts w:ascii="Times New Roman" w:eastAsia="SimHei"/>
          <w:b/>
          <w:bCs/>
          <w:color w:val="000000"/>
          <w:sz w:val="30"/>
          <w:szCs w:val="30"/>
        </w:rPr>
        <w:t xml:space="preserve">4.4 配价库接口</w:t>
      </w:r>
      <w:bookmarkEnd w:id="100071"/>
    </w:p>
    <w:p>
      <w:pPr>
        <w:keepNext/>
        <w:spacing w:after="80" w:before="160" w:line="312"/>
        <w:jc w:val="center"/>
      </w:pPr>
      <w:r>
        <w:rPr>
          <w:rFonts w:ascii="Times New Roman" w:eastAsia="SimSun"/>
          <w:b/>
          <w:bCs/>
          <w:color w:val="000000"/>
          <w:sz w:val="21"/>
          <w:szCs w:val="21"/>
        </w:rPr>
        <w:t xml:space="preserve">表 4-4 配价库接口清单</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tblGrid>
      <w:tr>
        <w:trPr>
          <w:cantSplit/>
          <w:tblHeader/>
        </w:trPr>
        <w:tc>
          <w:tcPr>
            <w:tcW w:type="pct" w:w="42%"/>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方法与路径</w:t>
            </w:r>
          </w:p>
        </w:tc>
        <w:tc>
          <w:tcPr>
            <w:tcW w:type="pct" w:w="58%"/>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功能说明</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/api/catalog/tree</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完整目录树（分类—品牌—型号，含配价）</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/api/catalog/models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型号分页查询，支持分类/品牌/关键词/状态/热门筛选</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/api/catalog/export/models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配价库全量 CSV 导出</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POST/PUT/DELETE /api/catalog/categories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分类增删改（删除前置品牌引用校验）</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POST/PUT/DELETE /api/catalog/brands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品牌增删改（删除前置型号引用校验）</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POST/PUT/DELETE /api/catalog/models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型号增删改，新增即记初始定价</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PUT /api/catalog/models/:id/price</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单型号调价，幅度超限需 force 二次确认</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/api/catalog/models/batch-price</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批量调价（百分比/固定值两种模式）</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GET/PUT /api/catalog/category-factors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品类估价系数查询与修改（0.1~2）</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/api/catalog/price-logs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调价记录分页查询，支持按型号过滤查看走势</w:t>
            </w:r>
          </w:p>
        </w:tc>
      </w:tr>
    </w:tbl>
    <w:p>
      <w:pPr>
        <w:pStyle w:val="Heading2"/>
        <w:spacing w:after="140" w:before="300" w:line="312"/>
      </w:pPr>
      <w:bookmarkStart w:id="100072" w:name="_Toc100072"/>
      <w:r>
        <w:rPr>
          <w:rFonts w:ascii="Times New Roman" w:eastAsia="SimHei"/>
          <w:b/>
          <w:bCs/>
          <w:color w:val="000000"/>
          <w:sz w:val="30"/>
          <w:szCs w:val="30"/>
        </w:rPr>
        <w:t xml:space="preserve">4.5 平台与链接接口</w:t>
      </w:r>
      <w:bookmarkEnd w:id="100072"/>
    </w:p>
    <w:p>
      <w:pPr>
        <w:keepNext/>
        <w:spacing w:after="80" w:before="160" w:line="312"/>
        <w:jc w:val="center"/>
      </w:pPr>
      <w:r>
        <w:rPr>
          <w:rFonts w:ascii="Times New Roman" w:eastAsia="SimSun"/>
          <w:b/>
          <w:bCs/>
          <w:color w:val="000000"/>
          <w:sz w:val="21"/>
          <w:szCs w:val="21"/>
        </w:rPr>
        <w:t xml:space="preserve">表 4-5 平台与链接接口清单</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tblGrid>
      <w:tr>
        <w:trPr>
          <w:cantSplit/>
          <w:tblHeader/>
        </w:trPr>
        <w:tc>
          <w:tcPr>
            <w:tcW w:type="pct" w:w="42%"/>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方法与路径</w:t>
            </w:r>
          </w:p>
        </w:tc>
        <w:tc>
          <w:tcPr>
            <w:tcW w:type="pct" w:w="58%"/>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功能说明</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GET/POST/PUT/DELETE /api/platforms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回收平台档案增删改查，网址格式校验</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/api/platforms/:id/click</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记录平台跳转点击并返回目标地址</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GET/POST/PUT/DELETE /api/links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采购链接增删改查，支持分类/关键词/状态筛选</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/api/links/:id/click</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记录链接跳转点击并返回目标地址</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/api/links/click-stats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近 30 天跳转趋势与点击 TOP10 统计</w:t>
            </w:r>
          </w:p>
        </w:tc>
      </w:tr>
    </w:tbl>
    <w:p>
      <w:pPr>
        <w:pStyle w:val="Heading2"/>
        <w:spacing w:after="140" w:before="300" w:line="312"/>
      </w:pPr>
      <w:bookmarkStart w:id="100073" w:name="_Toc100073"/>
      <w:r>
        <w:rPr>
          <w:rFonts w:ascii="Times New Roman" w:eastAsia="SimHei"/>
          <w:b/>
          <w:bCs/>
          <w:color w:val="000000"/>
          <w:sz w:val="30"/>
          <w:szCs w:val="30"/>
        </w:rPr>
        <w:t xml:space="preserve">4.6 统计接口</w:t>
      </w:r>
      <w:bookmarkEnd w:id="100073"/>
    </w:p>
    <w:p>
      <w:pPr>
        <w:keepNext/>
        <w:spacing w:after="80" w:before="160" w:line="312"/>
        <w:jc w:val="center"/>
      </w:pPr>
      <w:r>
        <w:rPr>
          <w:rFonts w:ascii="Times New Roman" w:eastAsia="SimSun"/>
          <w:b/>
          <w:bCs/>
          <w:color w:val="000000"/>
          <w:sz w:val="21"/>
          <w:szCs w:val="21"/>
        </w:rPr>
        <w:t xml:space="preserve">表 4-6 统计接口清单</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tblGrid>
      <w:tr>
        <w:trPr>
          <w:cantSplit/>
          <w:tblHeader/>
        </w:trPr>
        <w:tc>
          <w:tcPr>
            <w:tcW w:type="pct" w:w="38%"/>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方法与路径</w:t>
            </w:r>
          </w:p>
        </w:tc>
        <w:tc>
          <w:tcPr>
            <w:tcW w:type="pct" w:w="62%"/>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功能说明</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/api/stats/dashboard</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看板概览：订单与成交额汇总、30 天趋势、机型排行、类型分布、最新订单、配价与跳转概况、环保贡献折算</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/api/stats/orders</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自定义区间统计：按日/月粒度趋势、状态分布、成色分布、价格段分布、机型 TOP15</w:t>
            </w:r>
          </w:p>
        </w:tc>
      </w:tr>
    </w:tbl>
    <w:p>
      <w:pPr>
        <w:pStyle w:val="Heading2"/>
        <w:spacing w:after="140" w:before="300" w:line="312"/>
      </w:pPr>
      <w:bookmarkStart w:id="100074" w:name="_Toc100074"/>
      <w:r>
        <w:rPr>
          <w:rFonts w:ascii="Times New Roman" w:eastAsia="SimHei"/>
          <w:b/>
          <w:bCs/>
          <w:color w:val="000000"/>
          <w:sz w:val="30"/>
          <w:szCs w:val="30"/>
        </w:rPr>
        <w:t xml:space="preserve">4.7 系统设置与日志接口</w:t>
      </w:r>
      <w:bookmarkEnd w:id="100074"/>
    </w:p>
    <w:p>
      <w:pPr>
        <w:keepNext/>
        <w:spacing w:after="80" w:before="160" w:line="312"/>
        <w:jc w:val="center"/>
      </w:pPr>
      <w:r>
        <w:rPr>
          <w:rFonts w:ascii="Times New Roman" w:eastAsia="SimSun"/>
          <w:b/>
          <w:bCs/>
          <w:color w:val="000000"/>
          <w:sz w:val="21"/>
          <w:szCs w:val="21"/>
        </w:rPr>
        <w:t xml:space="preserve">表 4-7 系统设置与日志接口清单</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tblGrid>
      <w:tr>
        <w:trPr>
          <w:cantSplit/>
          <w:tblHeader/>
        </w:trPr>
        <w:tc>
          <w:tcPr>
            <w:tcW w:type="pct" w:w="46%"/>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方法与路径</w:t>
            </w:r>
          </w:p>
        </w:tc>
        <w:tc>
          <w:tcPr>
            <w:tcW w:type="pct" w:w="54%"/>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功能说明</w:t>
            </w:r>
          </w:p>
        </w:tc>
      </w:tr>
      <w:tr>
        <w:trPr>
          <w:cantSplit/>
        </w:trPr>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GET/PUT /api/system/settings</w:t>
            </w:r>
          </w:p>
        </w:tc>
        <w:tc>
          <w:tcPr>
            <w:tcW w:type="pct" w:w="5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系统参数查询与批量保存</w:t>
            </w:r>
          </w:p>
        </w:tc>
      </w:tr>
      <w:tr>
        <w:trPr>
          <w:cantSplit/>
        </w:trPr>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GET/POST/PUT/DELETE /api/system/condition-rates</w:t>
            </w:r>
          </w:p>
        </w:tc>
        <w:tc>
          <w:tcPr>
            <w:tcW w:type="pct" w:w="5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估价因子系数的分组查询、修改、增删（每因子至少保留两项）</w:t>
            </w:r>
          </w:p>
        </w:tc>
      </w:tr>
      <w:tr>
        <w:trPr>
          <w:cantSplit/>
        </w:trPr>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GET/POST/PUT/DELETE /api/system/admins</w:t>
            </w:r>
          </w:p>
        </w:tc>
        <w:tc>
          <w:tcPr>
            <w:tcW w:type="pct" w:w="5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管理员管理，仅超级管理员可操作</w:t>
            </w:r>
          </w:p>
        </w:tc>
      </w:tr>
      <w:tr>
        <w:trPr>
          <w:cantSplit/>
        </w:trPr>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/api/system/operation-logs</w:t>
            </w:r>
          </w:p>
        </w:tc>
        <w:tc>
          <w:tcPr>
            <w:tcW w:type="pct" w:w="5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操作日志分页查询（按模块过滤）</w:t>
            </w:r>
          </w:p>
        </w:tc>
      </w:tr>
      <w:tr>
        <w:trPr>
          <w:cantSplit/>
        </w:trPr>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/api/logs</w:t>
            </w:r>
          </w:p>
        </w:tc>
        <w:tc>
          <w:tcPr>
            <w:tcW w:type="pct" w:w="5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操作日志多条件检索（模块/关键词/日期）</w:t>
            </w:r>
          </w:p>
        </w:tc>
      </w:tr>
    </w:tbl>
    <w:p>
      <w:pPr>
        <w:pStyle w:val="Heading2"/>
        <w:spacing w:after="140" w:before="300" w:line="312"/>
      </w:pPr>
      <w:bookmarkStart w:id="100075" w:name="_Toc100075"/>
      <w:r>
        <w:rPr>
          <w:rFonts w:ascii="Times New Roman" w:eastAsia="SimHei"/>
          <w:b/>
          <w:bCs/>
          <w:color w:val="000000"/>
          <w:sz w:val="30"/>
          <w:szCs w:val="30"/>
        </w:rPr>
        <w:t xml:space="preserve">4.8 小程序端公开接口</w:t>
      </w:r>
      <w:bookmarkEnd w:id="100075"/>
    </w:p>
    <w:p>
      <w:pPr>
        <w:spacing w:after="40" w:line="440" w:lineRule="exact"/>
        <w:ind w:firstLine="480"/>
        <w:jc w:val="both"/>
      </w:pPr>
      <w:r>
        <w:rPr>
          <w:rFonts w:ascii="Times New Roman" w:eastAsia="SimSun"/>
          <w:b w:val="false"/>
          <w:bCs w:val="false"/>
          <w:color w:val="000000"/>
          <w:sz w:val="24"/>
          <w:szCs w:val="24"/>
        </w:rPr>
        <w:t xml:space="preserve">以下接口由小程序服务端提供，不要求管理后台令牌，供小程序回收模块拉取后台维护的公共数据。当配价表尚未初始化时返回 managed=false 标记，小程序端自动回退本地内置数据，保证离线与冷启动可用。</w:t>
      </w:r>
    </w:p>
    <w:p>
      <w:pPr>
        <w:keepNext/>
        <w:spacing w:after="80" w:before="160" w:line="312"/>
        <w:jc w:val="center"/>
      </w:pPr>
      <w:r>
        <w:rPr>
          <w:rFonts w:ascii="Times New Roman" w:eastAsia="SimSun"/>
          <w:b/>
          <w:bCs/>
          <w:color w:val="000000"/>
          <w:sz w:val="21"/>
          <w:szCs w:val="21"/>
        </w:rPr>
        <w:t xml:space="preserve">表 4-8 小程序回收公开接口清单</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tblGrid>
      <w:tr>
        <w:trPr>
          <w:cantSplit/>
          <w:tblHeader/>
        </w:trPr>
        <w:tc>
          <w:tcPr>
            <w:tcW w:type="pct" w:w="38%"/>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方法与路径</w:t>
            </w:r>
          </w:p>
        </w:tc>
        <w:tc>
          <w:tcPr>
            <w:tcW w:type="pct" w:w="62%"/>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功能说明</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/api/recycle/catalog</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上架配价目录（分类—品牌—型号），结构与小程序本地数据一致</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/api/recycle/platforms</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启用中的回收平台列表（比价区数据源）</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/api/recycle/click</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上报平台/链接跳转点击（来源标记 mini）</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/api/recycle/config</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估价配置（系统参数与因子系数），供小程序热更新</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/api/recycle/evaluate</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AI 回收估价（DeepSeek），失败返回降级提示</w:t>
            </w:r>
          </w:p>
        </w:tc>
      </w:tr>
    </w:tbl>
    <w:p>
      <w:pPr>
        <w:pStyle w:val="Heading1"/>
        <w:pageBreakBefore/>
        <w:spacing w:after="240" w:before="240" w:line="312"/>
        <w:jc w:val="center"/>
      </w:pPr>
      <w:bookmarkStart w:id="100076" w:name="_Toc100076"/>
      <w:r>
        <w:rPr>
          <w:rFonts w:ascii="Times New Roman" w:eastAsia="SimHei"/>
          <w:b/>
          <w:bCs/>
          <w:color w:val="000000"/>
          <w:sz w:val="32"/>
          <w:szCs w:val="32"/>
        </w:rPr>
        <w:t xml:space="preserve">第五章 小程序端功能设计与说明</w:t>
      </w:r>
      <w:bookmarkEnd w:id="100076"/>
    </w:p>
    <w:p>
      <w:pPr>
        <w:pStyle w:val="Heading2"/>
        <w:spacing w:after="140" w:before="300" w:line="312"/>
      </w:pPr>
      <w:bookmarkStart w:id="100077" w:name="_Toc100077"/>
      <w:r>
        <w:rPr>
          <w:rFonts w:ascii="Times New Roman" w:eastAsia="SimHei"/>
          <w:b/>
          <w:bCs/>
          <w:color w:val="000000"/>
          <w:sz w:val="30"/>
          <w:szCs w:val="30"/>
        </w:rPr>
        <w:t xml:space="preserve">5.1 回收主页</w:t>
      </w:r>
      <w:bookmarkEnd w:id="100077"/>
    </w:p>
    <w:p>
      <w:pPr>
        <w:pStyle w:val="Heading3"/>
        <w:spacing w:after="100" w:before="240" w:line="312"/>
      </w:pPr>
      <w:bookmarkStart w:id="100078" w:name="_Toc100078"/>
      <w:r>
        <w:rPr>
          <w:rFonts w:ascii="Times New Roman" w:eastAsia="SimHei"/>
          <w:b/>
          <w:bCs/>
          <w:color w:val="000000"/>
          <w:sz w:val="28"/>
          <w:szCs w:val="28"/>
        </w:rPr>
        <w:t xml:space="preserve">5.1.1 页面布局与视觉设计</w:t>
      </w:r>
      <w:bookmarkEnd w:id="100078"/>
    </w:p>
    <w:p>
      <w:pPr>
        <w:pStyle w:val="Heading4"/>
        <w:spacing w:after="80" w:before="200" w:line="312"/>
      </w:pPr>
      <w:bookmarkStart w:id="100079" w:name="_Toc100079"/>
      <w:r>
        <w:rPr>
          <w:rFonts w:ascii="Times New Roman" w:eastAsia="SimHei"/>
          <w:b/>
          <w:bCs/>
          <w:color w:val="000000"/>
          <w:sz w:val="24"/>
          <w:szCs w:val="24"/>
        </w:rPr>
        <w:t xml:space="preserve">5.1.1.1 页面信息架构</w:t>
      </w:r>
      <w:bookmarkEnd w:id="100079"/>
    </w:p>
    <w:p>
      <w:pPr>
        <w:spacing w:after="60" w:line="440" w:lineRule="exact"/>
        <w:ind w:firstLine="480"/>
        <w:jc w:val="both"/>
      </w:pPr>
      <w:r>
        <w:rPr>
          <w:rFonts w:ascii="Times New Roman" w:eastAsia="SimSun"/>
          <w:b w:val="false"/>
          <w:bCs w:val="false"/>
          <w:color w:val="000000"/>
          <w:sz w:val="24"/>
          <w:szCs w:val="24"/>
        </w:rPr>
        <w:t xml:space="preserve">回收主页自上而下分为四个功能区域：顶部搜索区（常驻搜索栏，点击唤起全屏搜索面板）、分类导航区（横滑分类条，每项含图标与分类名）、品牌型号区（按品牌分组的型号卡片瀑布，为主体区域）与平台比价区（页面底部的回收平台卡片列表）。页面首次进入即以本地数据完成首屏渲染，随后静默更新云端配价，用户无感知。小程序整体开启深色模式适配，页面配色跟随系统外观自动切换，夜间环境下浏览体验一致。</w:t>
      </w:r>
    </w:p>
    <w:p>
      <w:pPr>
        <w:pStyle w:val="Heading4"/>
        <w:spacing w:after="80" w:before="200" w:line="312"/>
      </w:pPr>
      <w:bookmarkStart w:id="100080" w:name="_Toc100080"/>
      <w:r>
        <w:rPr>
          <w:rFonts w:ascii="Times New Roman" w:eastAsia="SimHei"/>
          <w:b/>
          <w:bCs/>
          <w:color w:val="000000"/>
          <w:sz w:val="24"/>
          <w:szCs w:val="24"/>
        </w:rPr>
        <w:t xml:space="preserve">5.1.1.2 分类视觉体系</w:t>
      </w:r>
      <w:bookmarkEnd w:id="100080"/>
    </w:p>
    <w:p>
      <w:pPr>
        <w:spacing w:after="60" w:line="440" w:lineRule="exact"/>
        <w:ind w:firstLine="480"/>
        <w:jc w:val="both"/>
      </w:pPr>
      <w:r>
        <w:rPr>
          <w:rFonts w:ascii="Times New Roman" w:eastAsia="SimSun"/>
          <w:b w:val="false"/>
          <w:bCs w:val="false"/>
          <w:color w:val="000000"/>
          <w:sz w:val="24"/>
          <w:szCs w:val="24"/>
        </w:rPr>
        <w:t xml:space="preserve">平台为十二个回收分类建立统一视觉档案，每个分类绑定图标、场景化文案与身份徽标三要素：例如手机分类对应图标 📱、场景文案「双摄旗舰」、徽标「手机」；显卡分类对应场景文案「图形算力」等。场景文案概括该品类最具回收价值的特征，在分类主图上叠加展示，强化用户对品类价值的感知。</w:t>
      </w:r>
    </w:p>
    <w:p>
      <w:pPr>
        <w:keepNext/>
        <w:spacing w:after="80" w:before="160" w:line="312"/>
        <w:jc w:val="center"/>
      </w:pPr>
      <w:r>
        <w:rPr>
          <w:rFonts w:ascii="Times New Roman" w:eastAsia="SimSun"/>
          <w:b/>
          <w:bCs/>
          <w:color w:val="000000"/>
          <w:sz w:val="21"/>
          <w:szCs w:val="21"/>
        </w:rPr>
        <w:t xml:space="preserve">表 5-1 回收分类视觉体系</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gridCol w:w="100"/>
        <w:gridCol w:w="100"/>
        <w:gridCol w:w="100"/>
        <w:gridCol w:w="100"/>
      </w:tblGrid>
      <w:tr>
        <w:trPr>
          <w:cantSplit/>
          <w:tblHeader/>
        </w:trPr>
        <w:tc>
          <w:tcPr>
            <w:tcW w:type="pct" w:w="15%"/>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分类</w:t>
            </w:r>
          </w:p>
        </w:tc>
        <w:tc>
          <w:tcPr>
            <w:tcW w:type="pct" w:w="19%"/>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场景文案</w:t>
            </w:r>
          </w:p>
        </w:tc>
        <w:tc>
          <w:tcPr>
            <w:tcW w:type="pct" w:w="12%"/>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徽标</w:t>
            </w:r>
          </w:p>
        </w:tc>
        <w:tc>
          <w:tcPr>
            <w:tcW w:type="pct" w:w="18%"/>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分类</w:t>
            </w:r>
          </w:p>
        </w:tc>
        <w:tc>
          <w:tcPr>
            <w:tcW w:type="pct" w:w="20%"/>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场景文案</w:t>
            </w:r>
          </w:p>
        </w:tc>
        <w:tc>
          <w:tcPr>
            <w:tcW w:type="pct" w:w="16%"/>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徽标</w:t>
            </w:r>
          </w:p>
        </w:tc>
      </w:tr>
      <w:tr>
        <w:trPr>
          <w:cantSplit/>
        </w:trPr>
        <w:tc>
          <w:tcPr>
            <w:tcW w:type="pct" w:w="15%"/>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手机</w:t>
            </w:r>
          </w:p>
        </w:tc>
        <w:tc>
          <w:tcPr>
            <w:tcW w:type="pct" w:w="19%"/>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双摄旗舰</w:t>
            </w:r>
          </w:p>
        </w:tc>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手机</w:t>
            </w:r>
          </w:p>
        </w:tc>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相机</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影像器材</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相机</w:t>
            </w:r>
          </w:p>
        </w:tc>
      </w:tr>
      <w:tr>
        <w:trPr>
          <w:cantSplit/>
        </w:trPr>
        <w:tc>
          <w:tcPr>
            <w:tcW w:type="pct" w:w="15%"/>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电脑</w:t>
            </w:r>
          </w:p>
        </w:tc>
        <w:tc>
          <w:tcPr>
            <w:tcW w:type="pct" w:w="19%"/>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轻薄性能</w:t>
            </w:r>
          </w:p>
        </w:tc>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电脑</w:t>
            </w:r>
          </w:p>
        </w:tc>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游戏机</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娱乐主机</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游戏</w:t>
            </w:r>
          </w:p>
        </w:tc>
      </w:tr>
      <w:tr>
        <w:trPr>
          <w:cantSplit/>
        </w:trPr>
        <w:tc>
          <w:tcPr>
            <w:tcW w:type="pct" w:w="15%"/>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平板</w:t>
            </w:r>
          </w:p>
        </w:tc>
        <w:tc>
          <w:tcPr>
            <w:tcW w:type="pct" w:w="19%"/>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大屏便携</w:t>
            </w:r>
          </w:p>
        </w:tc>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平板</w:t>
            </w:r>
          </w:p>
        </w:tc>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无人机</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航拍飞行</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无人机</w:t>
            </w:r>
          </w:p>
        </w:tc>
      </w:tr>
      <w:tr>
        <w:trPr>
          <w:cantSplit/>
        </w:trPr>
        <w:tc>
          <w:tcPr>
            <w:tcW w:type="pct" w:w="15%"/>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智能穿戴</w:t>
            </w:r>
          </w:p>
        </w:tc>
        <w:tc>
          <w:tcPr>
            <w:tcW w:type="pct" w:w="19%"/>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腕上智能</w:t>
            </w:r>
          </w:p>
        </w:tc>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穿戴</w:t>
            </w:r>
          </w:p>
        </w:tc>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服务器</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企业算力</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服务器</w:t>
            </w:r>
          </w:p>
        </w:tc>
      </w:tr>
      <w:tr>
        <w:trPr>
          <w:cantSplit/>
        </w:trPr>
        <w:tc>
          <w:tcPr>
            <w:tcW w:type="pct" w:w="15%"/>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显示器</w:t>
            </w:r>
          </w:p>
        </w:tc>
        <w:tc>
          <w:tcPr>
            <w:tcW w:type="pct" w:w="19%"/>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高清大屏</w:t>
            </w:r>
          </w:p>
        </w:tc>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显示器</w:t>
            </w:r>
          </w:p>
        </w:tc>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网络设备</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网络互联</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网络设备</w:t>
            </w:r>
          </w:p>
        </w:tc>
      </w:tr>
      <w:tr>
        <w:trPr>
          <w:cantSplit/>
        </w:trPr>
        <w:tc>
          <w:tcPr>
            <w:tcW w:type="pct" w:w="15%"/>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生活数码</w:t>
            </w:r>
          </w:p>
        </w:tc>
        <w:tc>
          <w:tcPr>
            <w:tcW w:type="pct" w:w="19%"/>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生活设备</w:t>
            </w:r>
          </w:p>
        </w:tc>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数码</w:t>
            </w:r>
          </w:p>
        </w:tc>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显卡</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图形算力</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显卡</w:t>
            </w:r>
          </w:p>
        </w:tc>
      </w:tr>
    </w:tbl>
    <w:p>
      <w:pPr>
        <w:pStyle w:val="Heading4"/>
        <w:spacing w:after="80" w:before="200" w:line="312"/>
      </w:pPr>
      <w:bookmarkStart w:id="100081" w:name="_Toc100081"/>
      <w:r>
        <w:rPr>
          <w:rFonts w:ascii="Times New Roman" w:eastAsia="SimHei"/>
          <w:b/>
          <w:bCs/>
          <w:color w:val="000000"/>
          <w:sz w:val="24"/>
          <w:szCs w:val="24"/>
        </w:rPr>
        <w:t xml:space="preserve">5.1.1.3 色彩继承与降级</w:t>
      </w:r>
      <w:bookmarkEnd w:id="100081"/>
    </w:p>
    <w:p>
      <w:pPr>
        <w:spacing w:after="60" w:line="440" w:lineRule="exact"/>
        <w:ind w:firstLine="480"/>
        <w:jc w:val="both"/>
      </w:pPr>
      <w:r>
        <w:rPr>
          <w:rFonts w:ascii="Times New Roman" w:eastAsia="SimSun"/>
          <w:b w:val="false"/>
          <w:bCs w:val="false"/>
          <w:color w:val="000000"/>
          <w:sz w:val="24"/>
          <w:szCs w:val="24"/>
        </w:rPr>
        <w:t xml:space="preserve">型号卡片主题色优先取云端型号自带颜色；云端未携带颜色时，自动沿用同品牌本地目录第一个型号的颜色，保证同品牌卡片观感一致；品牌整体无色时回退分类主题色。分类主图加载失败时清空图片地址并以图标兜底显示，避免出现破图。</w:t>
      </w:r>
    </w:p>
    <w:p>
      <w:pPr>
        <w:pStyle w:val="Heading3"/>
        <w:spacing w:after="100" w:before="240" w:line="312"/>
      </w:pPr>
      <w:bookmarkStart w:id="100082" w:name="_Toc100082"/>
      <w:r>
        <w:rPr>
          <w:rFonts w:ascii="Times New Roman" w:eastAsia="SimHei"/>
          <w:b/>
          <w:bCs/>
          <w:color w:val="000000"/>
          <w:sz w:val="28"/>
          <w:szCs w:val="28"/>
        </w:rPr>
        <w:t xml:space="preserve">5.1.2 分类浏览</w:t>
      </w:r>
      <w:bookmarkEnd w:id="100082"/>
    </w:p>
    <w:p>
      <w:pPr>
        <w:pStyle w:val="Heading4"/>
        <w:spacing w:after="80" w:before="200" w:line="312"/>
      </w:pPr>
      <w:bookmarkStart w:id="100083" w:name="_Toc100083"/>
      <w:r>
        <w:rPr>
          <w:rFonts w:ascii="Times New Roman" w:eastAsia="SimHei"/>
          <w:b/>
          <w:bCs/>
          <w:color w:val="000000"/>
          <w:sz w:val="24"/>
          <w:szCs w:val="24"/>
        </w:rPr>
        <w:t xml:space="preserve">5.1.2.1 分类导航交互</w:t>
      </w:r>
      <w:bookmarkEnd w:id="100083"/>
    </w:p>
    <w:p>
      <w:pPr>
        <w:spacing w:after="60" w:line="440" w:lineRule="exact"/>
        <w:ind w:firstLine="480"/>
        <w:jc w:val="both"/>
      </w:pPr>
      <w:r>
        <w:rPr>
          <w:rFonts w:ascii="Times New Roman" w:eastAsia="SimSun"/>
          <w:b w:val="false"/>
          <w:bCs w:val="false"/>
          <w:color w:val="000000"/>
          <w:sz w:val="24"/>
          <w:szCs w:val="24"/>
        </w:rPr>
        <w:t xml:space="preserve">分类导航条支持横向滑动，点击任一分类后，主体区域立即切换为该分类的品牌型号列表，同时重置品牌选中态与滚动锚点。当前分类高亮显示，切换过程无网络等待（数据已在本地/缓存就绪）。</w:t>
      </w:r>
    </w:p>
    <w:p>
      <w:pPr>
        <w:pStyle w:val="Heading4"/>
        <w:spacing w:after="80" w:before="200" w:line="312"/>
      </w:pPr>
      <w:bookmarkStart w:id="100084" w:name="_Toc100084"/>
      <w:r>
        <w:rPr>
          <w:rFonts w:ascii="Times New Roman" w:eastAsia="SimHei"/>
          <w:b/>
          <w:bCs/>
          <w:color w:val="000000"/>
          <w:sz w:val="24"/>
          <w:szCs w:val="24"/>
        </w:rPr>
        <w:t xml:space="preserve">5.1.2.2 品牌分区定位</w:t>
      </w:r>
      <w:bookmarkEnd w:id="100084"/>
    </w:p>
    <w:p>
      <w:pPr>
        <w:spacing w:after="60" w:line="440" w:lineRule="exact"/>
        <w:ind w:firstLine="480"/>
        <w:jc w:val="both"/>
      </w:pPr>
      <w:r>
        <w:rPr>
          <w:rFonts w:ascii="Times New Roman" w:eastAsia="SimSun"/>
          <w:b w:val="false"/>
          <w:bCs w:val="false"/>
          <w:color w:val="000000"/>
          <w:sz w:val="24"/>
          <w:szCs w:val="24"/>
        </w:rPr>
        <w:t xml:space="preserve">每个分类下按品牌分区展示，分区头部含品牌字标、品牌名与该品牌型号数量；点击分区头部时，页面平滑滚动定位至对应品牌区块（锚点滚动后三百毫秒自动复位锚点状态，保证重复点击仍可定位），方便在型号较多的分类中快速跳转。</w:t>
      </w:r>
    </w:p>
    <w:p>
      <w:pPr>
        <w:pStyle w:val="Heading3"/>
        <w:spacing w:after="100" w:before="240" w:line="312"/>
      </w:pPr>
      <w:bookmarkStart w:id="100085" w:name="_Toc100085"/>
      <w:r>
        <w:rPr>
          <w:rFonts w:ascii="Times New Roman" w:eastAsia="SimHei"/>
          <w:b/>
          <w:bCs/>
          <w:color w:val="000000"/>
          <w:sz w:val="28"/>
          <w:szCs w:val="28"/>
        </w:rPr>
        <w:t xml:space="preserve">5.1.3 型号选择与估价入口</w:t>
      </w:r>
      <w:bookmarkEnd w:id="100085"/>
    </w:p>
    <w:p>
      <w:pPr>
        <w:pStyle w:val="Heading4"/>
        <w:spacing w:after="80" w:before="200" w:line="312"/>
      </w:pPr>
      <w:bookmarkStart w:id="100086" w:name="_Toc100086"/>
      <w:r>
        <w:rPr>
          <w:rFonts w:ascii="Times New Roman" w:eastAsia="SimHei"/>
          <w:b/>
          <w:bCs/>
          <w:color w:val="000000"/>
          <w:sz w:val="24"/>
          <w:szCs w:val="24"/>
        </w:rPr>
        <w:t xml:space="preserve">5.1.3.1 型号卡片信息结构</w:t>
      </w:r>
      <w:bookmarkEnd w:id="100086"/>
    </w:p>
    <w:p>
      <w:pPr>
        <w:spacing w:after="60" w:line="440" w:lineRule="exact"/>
        <w:ind w:firstLine="480"/>
        <w:jc w:val="both"/>
      </w:pPr>
      <w:r>
        <w:rPr>
          <w:rFonts w:ascii="Times New Roman" w:eastAsia="SimSun"/>
          <w:b w:val="false"/>
          <w:bCs w:val="false"/>
          <w:color w:val="000000"/>
          <w:sz w:val="24"/>
          <w:szCs w:val="24"/>
        </w:rPr>
        <w:t xml:space="preserve">型号卡片展示四类信息：型号名称（截取前两个语义词作为家族标签，如「iPhone 17」）、规格要点（按分隔符拆分为标签数组，如「A19 Pro芯片」「6.9英寸」）、回收基准价（醒目大字）与品类视觉元素（图标/主图/场景文案）。基准价即该型号最佳成色的最高回收价，为用户建立价格锚点。</w:t>
      </w:r>
    </w:p>
    <w:p>
      <w:pPr>
        <w:pStyle w:val="Heading4"/>
        <w:spacing w:after="80" w:before="200" w:line="312"/>
      </w:pPr>
      <w:bookmarkStart w:id="100087" w:name="_Toc100087"/>
      <w:r>
        <w:rPr>
          <w:rFonts w:ascii="Times New Roman" w:eastAsia="SimHei"/>
          <w:b/>
          <w:bCs/>
          <w:color w:val="000000"/>
          <w:sz w:val="24"/>
          <w:szCs w:val="24"/>
        </w:rPr>
        <w:t xml:space="preserve">5.1.3.2 跳转参数传递</w:t>
      </w:r>
      <w:bookmarkEnd w:id="100087"/>
    </w:p>
    <w:p>
      <w:pPr>
        <w:spacing w:after="60" w:line="440" w:lineRule="exact"/>
        <w:ind w:firstLine="480"/>
        <w:jc w:val="both"/>
      </w:pPr>
      <w:r>
        <w:rPr>
          <w:rFonts w:ascii="Times New Roman" w:eastAsia="SimSun"/>
          <w:b w:val="false"/>
          <w:bCs w:val="false"/>
          <w:color w:val="000000"/>
          <w:sz w:val="24"/>
          <w:szCs w:val="24"/>
        </w:rPr>
        <w:t xml:space="preserve">点击型号卡片跳转估价引导页时，以查询参数完整传递估价所需上下文：分类标识与名称、品牌标识/名称/字标/品牌色、型号标识/名称/基准价/规格/主题色、品类视觉元素及内部人员标记，全部参数经 URI 编码，估价页解码后即可独立运行，支持从搜索结果等多种入口进入。</w:t>
      </w:r>
    </w:p>
    <w:p>
      <w:pPr>
        <w:pStyle w:val="Heading3"/>
        <w:spacing w:after="100" w:before="240" w:line="312"/>
      </w:pPr>
      <w:bookmarkStart w:id="100088" w:name="_Toc100088"/>
      <w:r>
        <w:rPr>
          <w:rFonts w:ascii="Times New Roman" w:eastAsia="SimHei"/>
          <w:b/>
          <w:bCs/>
          <w:color w:val="000000"/>
          <w:sz w:val="28"/>
          <w:szCs w:val="28"/>
        </w:rPr>
        <w:t xml:space="preserve">5.1.4 全局型号搜索</w:t>
      </w:r>
      <w:bookmarkEnd w:id="100088"/>
    </w:p>
    <w:p>
      <w:pPr>
        <w:pStyle w:val="Heading4"/>
        <w:spacing w:after="80" w:before="200" w:line="312"/>
      </w:pPr>
      <w:bookmarkStart w:id="100089" w:name="_Toc100089"/>
      <w:r>
        <w:rPr>
          <w:rFonts w:ascii="Times New Roman" w:eastAsia="SimHei"/>
          <w:b/>
          <w:bCs/>
          <w:color w:val="000000"/>
          <w:sz w:val="24"/>
          <w:szCs w:val="24"/>
        </w:rPr>
        <w:t xml:space="preserve">5.1.4.1 搜索入口与面板</w:t>
      </w:r>
      <w:bookmarkEnd w:id="100089"/>
    </w:p>
    <w:p>
      <w:pPr>
        <w:spacing w:after="60" w:line="440" w:lineRule="exact"/>
        <w:ind w:firstLine="480"/>
        <w:jc w:val="both"/>
      </w:pPr>
      <w:r>
        <w:rPr>
          <w:rFonts w:ascii="Times New Roman" w:eastAsia="SimSun"/>
          <w:b w:val="false"/>
          <w:bCs w:val="false"/>
          <w:color w:val="000000"/>
          <w:sz w:val="24"/>
          <w:szCs w:val="24"/>
        </w:rPr>
        <w:t xml:space="preserve">点击主页顶部搜索栏唤起全屏搜索面板，面板自上而下包含输入框（带清空按钮）、搜索结果列表与搜索历史三区。输入过程按三百毫秒防抖触发检索，避免高频计算；软键盘确认搜索时保存搜索词；点击面板空白区或取消按钮关闭面板并清空输入。</w:t>
      </w:r>
    </w:p>
    <w:p>
      <w:pPr>
        <w:pStyle w:val="Heading4"/>
        <w:spacing w:after="80" w:before="200" w:line="312"/>
      </w:pPr>
      <w:bookmarkStart w:id="100090" w:name="_Toc100090"/>
      <w:r>
        <w:rPr>
          <w:rFonts w:ascii="Times New Roman" w:eastAsia="SimHei"/>
          <w:b/>
          <w:bCs/>
          <w:color w:val="000000"/>
          <w:sz w:val="24"/>
          <w:szCs w:val="24"/>
        </w:rPr>
        <w:t xml:space="preserve">5.1.4.2 全局搜索索引</w:t>
      </w:r>
      <w:bookmarkEnd w:id="100090"/>
    </w:p>
    <w:p>
      <w:pPr>
        <w:spacing w:after="60" w:line="440" w:lineRule="exact"/>
        <w:ind w:firstLine="480"/>
        <w:jc w:val="both"/>
      </w:pPr>
      <w:r>
        <w:rPr>
          <w:rFonts w:ascii="Times New Roman" w:eastAsia="SimSun"/>
          <w:b w:val="false"/>
          <w:bCs w:val="false"/>
          <w:color w:val="000000"/>
          <w:sz w:val="24"/>
          <w:szCs w:val="24"/>
        </w:rPr>
        <w:t xml:space="preserve">目录数据加载完成后，页面将全部型号扁平化为全局搜索索引，每条索引记录型号标识、型号名、规格、基准价、主题色、品牌信息、分类信息与品类视觉元素。索引构建一次、内存复用，检索时不产生额外网络请求，搜索结果可直接携带完整上下文跳转估价页。</w:t>
      </w:r>
    </w:p>
    <w:p>
      <w:pPr>
        <w:pStyle w:val="Heading4"/>
        <w:spacing w:after="80" w:before="200" w:line="312"/>
      </w:pPr>
      <w:bookmarkStart w:id="100091" w:name="_Toc100091"/>
      <w:r>
        <w:rPr>
          <w:rFonts w:ascii="Times New Roman" w:eastAsia="SimHei"/>
          <w:b/>
          <w:bCs/>
          <w:color w:val="000000"/>
          <w:sz w:val="24"/>
          <w:szCs w:val="24"/>
        </w:rPr>
        <w:t xml:space="preserve">5.1.4.3 多关键词模糊匹配</w:t>
      </w:r>
      <w:bookmarkEnd w:id="100091"/>
    </w:p>
    <w:p>
      <w:pPr>
        <w:spacing w:after="60" w:line="440" w:lineRule="exact"/>
        <w:ind w:firstLine="480"/>
        <w:jc w:val="both"/>
      </w:pPr>
      <w:r>
        <w:rPr>
          <w:rFonts w:ascii="Times New Roman" w:eastAsia="SimSun"/>
          <w:b w:val="false"/>
          <w:bCs w:val="false"/>
          <w:color w:val="000000"/>
          <w:sz w:val="24"/>
          <w:szCs w:val="24"/>
        </w:rPr>
        <w:t xml:space="preserve">检索策略第一通道为多关键词 AND 匹配：将输入按空格拆分为多个搜索词，要求每个搜索词都出现在由型号名、品牌名、规格、分类名拼接的组合文本中。例如输入「苹果 15」可同时命中品牌「苹果」与型号包含「15」的机型，多条件组合逐步收敛结果。匹配全程忽略大小写。</w:t>
      </w:r>
    </w:p>
    <w:p>
      <w:pPr>
        <w:pStyle w:val="Heading4"/>
        <w:spacing w:after="80" w:before="200" w:line="312"/>
      </w:pPr>
      <w:bookmarkStart w:id="100092" w:name="_Toc100092"/>
      <w:r>
        <w:rPr>
          <w:rFonts w:ascii="Times New Roman" w:eastAsia="SimHei"/>
          <w:b/>
          <w:bCs/>
          <w:color w:val="000000"/>
          <w:sz w:val="24"/>
          <w:szCs w:val="24"/>
        </w:rPr>
        <w:t xml:space="preserve">5.1.4.4 无空格模糊匹配</w:t>
      </w:r>
      <w:bookmarkEnd w:id="100092"/>
    </w:p>
    <w:p>
      <w:pPr>
        <w:spacing w:after="60" w:line="440" w:lineRule="exact"/>
        <w:ind w:firstLine="480"/>
        <w:jc w:val="both"/>
      </w:pPr>
      <w:r>
        <w:rPr>
          <w:rFonts w:ascii="Times New Roman" w:eastAsia="SimSun"/>
          <w:b w:val="false"/>
          <w:bCs w:val="false"/>
          <w:color w:val="000000"/>
          <w:sz w:val="24"/>
          <w:szCs w:val="24"/>
        </w:rPr>
        <w:t xml:space="preserve">第二通道为无空格模糊匹配：将输入与组合文本分别去除全部空格后整体包含匹配，弥补用户连拼输入的习惯差异——输入「iphone17」即可命中「iPhone 17」。两通道任一命中即保留，合并结果最多展示五十条，兼顾召回率与页面性能。</w:t>
      </w:r>
    </w:p>
    <w:p>
      <w:pPr>
        <w:pStyle w:val="Heading4"/>
        <w:spacing w:after="80" w:before="200" w:line="312"/>
      </w:pPr>
      <w:bookmarkStart w:id="100093" w:name="_Toc100093"/>
      <w:r>
        <w:rPr>
          <w:rFonts w:ascii="Times New Roman" w:eastAsia="SimHei"/>
          <w:b/>
          <w:bCs/>
          <w:color w:val="000000"/>
          <w:sz w:val="24"/>
          <w:szCs w:val="24"/>
        </w:rPr>
        <w:t xml:space="preserve">5.1.4.5 搜索历史管理</w:t>
      </w:r>
      <w:bookmarkEnd w:id="100093"/>
    </w:p>
    <w:p>
      <w:pPr>
        <w:spacing w:after="60" w:line="440" w:lineRule="exact"/>
        <w:ind w:firstLine="480"/>
        <w:jc w:val="both"/>
      </w:pPr>
      <w:r>
        <w:rPr>
          <w:rFonts w:ascii="Times New Roman" w:eastAsia="SimSun"/>
          <w:b w:val="false"/>
          <w:bCs w:val="false"/>
          <w:color w:val="000000"/>
          <w:sz w:val="24"/>
          <w:szCs w:val="24"/>
        </w:rPr>
        <w:t xml:space="preserve">搜索词经确认或点击结果后保存至本地存储：按最近使用排序、自动去重、最多保留十条。点击历史词立即以该词执行检索；长按或点击清空按钮（带确认弹窗）可整体清除。历史数据存于设备本地，不上传服务器。</w:t>
      </w:r>
    </w:p>
    <w:p>
      <w:pPr>
        <w:pBdr>
          <w:top w:val="dashed" w:color="999999" w:sz="4" w:space="10"/>
          <w:bottom w:val="dashed" w:color="999999" w:sz="4" w:space="10"/>
          <w:left w:val="dashed" w:color="999999" w:sz="4" w:space="30"/>
          <w:right w:val="dashed" w:color="999999"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000000"/>
          <w:sz w:val="21"/>
          <w:szCs w:val="21"/>
        </w:rPr>
        <w:t xml:space="preserve">图 5-1 型号搜索面板（可插入截图）</w:t>
      </w:r>
    </w:p>
    <w:p>
      <w:pPr>
        <w:pStyle w:val="Heading3"/>
        <w:spacing w:after="100" w:before="240" w:line="312"/>
      </w:pPr>
      <w:bookmarkStart w:id="100094" w:name="_Toc100094"/>
      <w:r>
        <w:rPr>
          <w:rFonts w:ascii="Times New Roman" w:eastAsia="SimHei"/>
          <w:b/>
          <w:bCs/>
          <w:color w:val="000000"/>
          <w:sz w:val="28"/>
          <w:szCs w:val="28"/>
        </w:rPr>
        <w:t xml:space="preserve">5.1.5 平台比价</w:t>
      </w:r>
      <w:bookmarkEnd w:id="100094"/>
    </w:p>
    <w:p>
      <w:pPr>
        <w:pStyle w:val="Heading4"/>
        <w:spacing w:after="80" w:before="200" w:line="312"/>
      </w:pPr>
      <w:bookmarkStart w:id="100095" w:name="_Toc100095"/>
      <w:r>
        <w:rPr>
          <w:rFonts w:ascii="Times New Roman" w:eastAsia="SimHei"/>
          <w:b/>
          <w:bCs/>
          <w:color w:val="000000"/>
          <w:sz w:val="24"/>
          <w:szCs w:val="24"/>
        </w:rPr>
        <w:t xml:space="preserve">5.1.5.1 比价区数据来源</w:t>
      </w:r>
      <w:bookmarkEnd w:id="100095"/>
    </w:p>
    <w:p>
      <w:pPr>
        <w:spacing w:after="60" w:line="440" w:lineRule="exact"/>
        <w:ind w:firstLine="480"/>
        <w:jc w:val="both"/>
      </w:pPr>
      <w:r>
        <w:rPr>
          <w:rFonts w:ascii="Times New Roman" w:eastAsia="SimSun"/>
          <w:b w:val="false"/>
          <w:bCs w:val="false"/>
          <w:color w:val="000000"/>
          <w:sz w:val="24"/>
          <w:szCs w:val="24"/>
        </w:rPr>
        <w:t xml:space="preserve">主页底部比价区展示后台「回收平台管理」中处于启用状态的平台档案，每张卡片呈现平台字标（品牌色圆形底）、平台名称、类型标签（回收平台/采购渠道/比价参考）、平台说明、服务方式与结算方式，帮助用户横向了解各平台回收条件。数据加载失败时比价区整体隐藏，不占页面空间。</w:t>
      </w:r>
    </w:p>
    <w:p>
      <w:pPr>
        <w:pStyle w:val="Heading4"/>
        <w:spacing w:after="80" w:before="200" w:line="312"/>
      </w:pPr>
      <w:bookmarkStart w:id="100096" w:name="_Toc100096"/>
      <w:r>
        <w:rPr>
          <w:rFonts w:ascii="Times New Roman" w:eastAsia="SimHei"/>
          <w:b/>
          <w:bCs/>
          <w:color w:val="000000"/>
          <w:sz w:val="24"/>
          <w:szCs w:val="24"/>
        </w:rPr>
        <w:t xml:space="preserve">5.1.5.2 跳转与剪贴板交互</w:t>
      </w:r>
      <w:bookmarkEnd w:id="100096"/>
    </w:p>
    <w:p>
      <w:pPr>
        <w:spacing w:after="60" w:line="440" w:lineRule="exact"/>
        <w:ind w:firstLine="480"/>
        <w:jc w:val="both"/>
      </w:pPr>
      <w:r>
        <w:rPr>
          <w:rFonts w:ascii="Times New Roman" w:eastAsia="SimSun"/>
          <w:b w:val="false"/>
          <w:bCs w:val="false"/>
          <w:color w:val="000000"/>
          <w:sz w:val="24"/>
          <w:szCs w:val="24"/>
        </w:rPr>
        <w:t xml:space="preserve">受小程序运行环境限制，无法直接跳转外部网址。点击平台卡片时弹出说明弹窗，展示平台名称与完整网址，用户点击「复制链接」后网址写入剪贴板并可粘贴到浏览器打开，弹窗文案明确引导操作路径，降低使用门槛。</w:t>
      </w:r>
    </w:p>
    <w:p>
      <w:pPr>
        <w:pStyle w:val="Heading4"/>
        <w:spacing w:after="80" w:before="200" w:line="312"/>
      </w:pPr>
      <w:bookmarkStart w:id="100097" w:name="_Toc100097"/>
      <w:r>
        <w:rPr>
          <w:rFonts w:ascii="Times New Roman" w:eastAsia="SimHei"/>
          <w:b/>
          <w:bCs/>
          <w:color w:val="000000"/>
          <w:sz w:val="24"/>
          <w:szCs w:val="24"/>
        </w:rPr>
        <w:t xml:space="preserve">5.1.5.3 点击上报</w:t>
      </w:r>
      <w:bookmarkEnd w:id="100097"/>
    </w:p>
    <w:p>
      <w:pPr>
        <w:spacing w:after="60" w:line="440" w:lineRule="exact"/>
        <w:ind w:firstLine="480"/>
        <w:jc w:val="both"/>
      </w:pPr>
      <w:r>
        <w:rPr>
          <w:rFonts w:ascii="Times New Roman" w:eastAsia="SimSun"/>
          <w:b w:val="false"/>
          <w:bCs w:val="false"/>
          <w:color w:val="000000"/>
          <w:sz w:val="24"/>
          <w:szCs w:val="24"/>
        </w:rPr>
        <w:t xml:space="preserve">平台卡片被点击时，无论用户最终是否复制链接，小程序均异步上报一次跳转点击（来源标记为小程序端）。点击数据汇入后台跳转统计，与后台发起的跳转点击共同构成平台引流效果分析的数据基础。</w:t>
      </w:r>
    </w:p>
    <w:p>
      <w:pPr>
        <w:pStyle w:val="Heading3"/>
        <w:spacing w:after="100" w:before="240" w:line="312"/>
      </w:pPr>
      <w:bookmarkStart w:id="100098" w:name="_Toc100098"/>
      <w:r>
        <w:rPr>
          <w:rFonts w:ascii="Times New Roman" w:eastAsia="SimHei"/>
          <w:b/>
          <w:bCs/>
          <w:color w:val="000000"/>
          <w:sz w:val="28"/>
          <w:szCs w:val="28"/>
        </w:rPr>
        <w:t xml:space="preserve">5.1.6 云端配价加载机制</w:t>
      </w:r>
      <w:bookmarkEnd w:id="100098"/>
    </w:p>
    <w:p>
      <w:pPr>
        <w:pStyle w:val="Heading4"/>
        <w:spacing w:after="80" w:before="200" w:line="312"/>
      </w:pPr>
      <w:bookmarkStart w:id="100099" w:name="_Toc100099"/>
      <w:r>
        <w:rPr>
          <w:rFonts w:ascii="Times New Roman" w:eastAsia="SimHei"/>
          <w:b/>
          <w:bCs/>
          <w:color w:val="000000"/>
          <w:sz w:val="24"/>
          <w:szCs w:val="24"/>
        </w:rPr>
        <w:t xml:space="preserve">5.1.6.1 三步加载时序</w:t>
      </w:r>
      <w:bookmarkEnd w:id="100099"/>
    </w:p>
    <w:p>
      <w:pPr>
        <w:spacing w:after="60" w:line="440" w:lineRule="exact"/>
        <w:ind w:firstLine="480"/>
        <w:jc w:val="both"/>
      </w:pPr>
      <w:r>
        <w:rPr>
          <w:rFonts w:ascii="Times New Roman" w:eastAsia="SimSun"/>
          <w:b w:val="false"/>
          <w:bCs w:val="false"/>
          <w:color w:val="000000"/>
          <w:sz w:val="24"/>
          <w:szCs w:val="24"/>
        </w:rPr>
        <w:t xml:space="preserve">主页启动按固定时序执行三步加载：第一步，同步应用本地内置配价目录渲染页面，保证冷启动秒开与完全离线可用；第二步，异步请求云端配价接口，云端返回有效目录时重新渲染并标记为后台托管状态；第三步，异步加载平台比价数据。三步之间互不阻塞，任何一步失败均不影响已渲染内容。</w:t>
      </w:r>
    </w:p>
    <w:p>
      <w:pPr>
        <w:pStyle w:val="Heading4"/>
        <w:spacing w:after="80" w:before="200" w:line="312"/>
      </w:pPr>
      <w:bookmarkStart w:id="100100" w:name="_Toc100100"/>
      <w:r>
        <w:rPr>
          <w:rFonts w:ascii="Times New Roman" w:eastAsia="SimHei"/>
          <w:b/>
          <w:bCs/>
          <w:color w:val="000000"/>
          <w:sz w:val="24"/>
          <w:szCs w:val="24"/>
        </w:rPr>
        <w:t xml:space="preserve">5.1.6.2 本地缓存策略</w:t>
      </w:r>
      <w:bookmarkEnd w:id="100100"/>
    </w:p>
    <w:p>
      <w:pPr>
        <w:spacing w:after="60" w:line="440" w:lineRule="exact"/>
        <w:ind w:firstLine="480"/>
        <w:jc w:val="both"/>
      </w:pPr>
      <w:r>
        <w:rPr>
          <w:rFonts w:ascii="Times New Roman" w:eastAsia="SimSun"/>
          <w:b w:val="false"/>
          <w:bCs w:val="false"/>
          <w:color w:val="000000"/>
          <w:sz w:val="24"/>
          <w:szCs w:val="24"/>
        </w:rPr>
        <w:t xml:space="preserve">云端目录拉取成功后连同过期时间戳写入本地缓存，缓存有效期十分钟。有效期内再次进入主页直接使用缓存目录，不发网络请求；缓存过期或不存在时才重新拉取。该策略在配价时效性与接口压力之间取得平衡——后台调价后最迟十分钟内在用户端生效。</w:t>
      </w:r>
    </w:p>
    <w:p>
      <w:pPr>
        <w:pStyle w:val="Heading4"/>
        <w:spacing w:after="80" w:before="200" w:line="312"/>
      </w:pPr>
      <w:bookmarkStart w:id="100101" w:name="_Toc100101"/>
      <w:r>
        <w:rPr>
          <w:rFonts w:ascii="Times New Roman" w:eastAsia="SimHei"/>
          <w:b/>
          <w:bCs/>
          <w:color w:val="000000"/>
          <w:sz w:val="24"/>
          <w:szCs w:val="24"/>
        </w:rPr>
        <w:t xml:space="preserve">5.1.6.3 视觉资源合并</w:t>
      </w:r>
      <w:bookmarkEnd w:id="100101"/>
    </w:p>
    <w:p>
      <w:pPr>
        <w:spacing w:after="60" w:line="440" w:lineRule="exact"/>
        <w:ind w:firstLine="480"/>
        <w:jc w:val="both"/>
      </w:pPr>
      <w:r>
        <w:rPr>
          <w:rFonts w:ascii="Times New Roman" w:eastAsia="SimSun"/>
          <w:b w:val="false"/>
          <w:bCs w:val="false"/>
          <w:color w:val="000000"/>
          <w:sz w:val="24"/>
          <w:szCs w:val="24"/>
        </w:rPr>
        <w:t xml:space="preserve">云端目录仅承载业务数据（分类、品牌、型号、价格），不含图片等视觉资源。拉取成功后，页面按分类编码将本地视觉档案（场景主图、图标、场景文案、徽标）与云端目录合并：分类层合并场景图与图标，品牌层合并品牌字标，型号层在云端未带颜色时回填本地同品牌颜色，保证云端数据驱动的界面与本地渲染观感完全一致。</w:t>
      </w:r>
    </w:p>
    <w:p>
      <w:pPr>
        <w:pStyle w:val="Heading4"/>
        <w:spacing w:after="80" w:before="200" w:line="312"/>
      </w:pPr>
      <w:bookmarkStart w:id="100102" w:name="_Toc100102"/>
      <w:r>
        <w:rPr>
          <w:rFonts w:ascii="Times New Roman" w:eastAsia="SimHei"/>
          <w:b/>
          <w:bCs/>
          <w:color w:val="000000"/>
          <w:sz w:val="24"/>
          <w:szCs w:val="24"/>
        </w:rPr>
        <w:t xml:space="preserve">5.1.6.4 请求去重</w:t>
      </w:r>
      <w:bookmarkEnd w:id="100102"/>
    </w:p>
    <w:p>
      <w:pPr>
        <w:spacing w:after="60" w:line="440" w:lineRule="exact"/>
        <w:ind w:firstLine="480"/>
        <w:jc w:val="both"/>
      </w:pPr>
      <w:r>
        <w:rPr>
          <w:rFonts w:ascii="Times New Roman" w:eastAsia="SimSun"/>
          <w:b w:val="false"/>
          <w:bCs w:val="false"/>
          <w:color w:val="000000"/>
          <w:sz w:val="24"/>
          <w:szCs w:val="24"/>
        </w:rPr>
        <w:t xml:space="preserve">目录加载采用进行中请求去重：同一时刻若已有未完成的目录请求，后续调用直接复用该请求的结果，避免并发进入页面时重复拉取与重复渲染。请求结束后（无论成败）自动清去重标记，下次进入重新发起。</w:t>
      </w:r>
    </w:p>
    <w:p>
      <w:pPr>
        <w:pStyle w:val="Heading2"/>
        <w:spacing w:after="140" w:before="300" w:line="312"/>
      </w:pPr>
      <w:bookmarkStart w:id="100103" w:name="_Toc100103"/>
      <w:r>
        <w:rPr>
          <w:rFonts w:ascii="Times New Roman" w:eastAsia="SimHei"/>
          <w:b/>
          <w:bCs/>
          <w:color w:val="000000"/>
          <w:sz w:val="30"/>
          <w:szCs w:val="30"/>
        </w:rPr>
        <w:t xml:space="preserve">5.2 估价引导</w:t>
      </w:r>
      <w:bookmarkEnd w:id="100103"/>
    </w:p>
    <w:p>
      <w:pPr>
        <w:pStyle w:val="Heading3"/>
        <w:spacing w:after="100" w:before="240" w:line="312"/>
      </w:pPr>
      <w:bookmarkStart w:id="100104" w:name="_Toc100104"/>
      <w:r>
        <w:rPr>
          <w:rFonts w:ascii="Times New Roman" w:eastAsia="SimHei"/>
          <w:b/>
          <w:bCs/>
          <w:color w:val="000000"/>
          <w:sz w:val="28"/>
          <w:szCs w:val="28"/>
        </w:rPr>
        <w:t xml:space="preserve">5.2.1 评估流程设计</w:t>
      </w:r>
      <w:bookmarkEnd w:id="100104"/>
    </w:p>
    <w:p>
      <w:pPr>
        <w:pStyle w:val="Heading4"/>
        <w:spacing w:after="80" w:before="200" w:line="312"/>
      </w:pPr>
      <w:bookmarkStart w:id="100105" w:name="_Toc100105"/>
      <w:r>
        <w:rPr>
          <w:rFonts w:ascii="Times New Roman" w:eastAsia="SimHei"/>
          <w:b/>
          <w:bCs/>
          <w:color w:val="000000"/>
          <w:sz w:val="24"/>
          <w:szCs w:val="24"/>
        </w:rPr>
        <w:t xml:space="preserve">5.2.1.1 题目结构</w:t>
      </w:r>
      <w:bookmarkEnd w:id="100105"/>
    </w:p>
    <w:p>
      <w:pPr>
        <w:spacing w:after="60" w:line="440" w:lineRule="exact"/>
        <w:ind w:firstLine="480"/>
        <w:jc w:val="both"/>
      </w:pPr>
      <w:r>
        <w:rPr>
          <w:rFonts w:ascii="Times New Roman" w:eastAsia="SimSun"/>
          <w:b w:val="false"/>
          <w:bCs w:val="false"/>
          <w:color w:val="000000"/>
          <w:sz w:val="24"/>
          <w:szCs w:val="24"/>
        </w:rPr>
        <w:t xml:space="preserve">估价引导共七题：前六题为设备状况单选题（成色、屏幕、功能、版本、配件、维修史），每题选项附系数与说明文案；第七题为可选文本补充题（如进水、摔过、电池鼓包等特殊情况），支持填写说明或跳过，不参与系数计算。每屏一题，顶部显示步骤进度，整体流程通常一分钟内完成。</w:t>
      </w:r>
    </w:p>
    <w:p>
      <w:pPr>
        <w:pStyle w:val="Heading4"/>
        <w:spacing w:after="80" w:before="200" w:line="312"/>
      </w:pPr>
      <w:bookmarkStart w:id="100106" w:name="_Toc100106"/>
      <w:r>
        <w:rPr>
          <w:rFonts w:ascii="Times New Roman" w:eastAsia="SimHei"/>
          <w:b/>
          <w:bCs/>
          <w:color w:val="000000"/>
          <w:sz w:val="24"/>
          <w:szCs w:val="24"/>
        </w:rPr>
        <w:t xml:space="preserve">5.2.1.2 动画与状态管理</w:t>
      </w:r>
      <w:bookmarkEnd w:id="100106"/>
    </w:p>
    <w:p>
      <w:pPr>
        <w:spacing w:after="60" w:line="440" w:lineRule="exact"/>
        <w:ind w:firstLine="480"/>
        <w:jc w:val="both"/>
      </w:pPr>
      <w:r>
        <w:rPr>
          <w:rFonts w:ascii="Times New Roman" w:eastAsia="SimSun"/>
          <w:b w:val="false"/>
          <w:bCs w:val="false"/>
          <w:color w:val="000000"/>
          <w:sz w:val="24"/>
          <w:szCs w:val="24"/>
        </w:rPr>
        <w:t xml:space="preserve">题目切换采用三态动画（进入/可见/离场）：用户点选选项后当前题目卡片执行离场动画，三百五十毫秒后切入下一题并播放进入动画；动画期间锁定交互（防连点），避免快速点击导致的漏答或跳题。估价进行中与提交中同样设置状态锁。</w:t>
      </w:r>
    </w:p>
    <w:p>
      <w:pPr>
        <w:pStyle w:val="Heading4"/>
        <w:spacing w:after="80" w:before="200" w:line="312"/>
      </w:pPr>
      <w:bookmarkStart w:id="100107" w:name="_Toc100107"/>
      <w:r>
        <w:rPr>
          <w:rFonts w:ascii="Times New Roman" w:eastAsia="SimHei"/>
          <w:b/>
          <w:bCs/>
          <w:color w:val="000000"/>
          <w:sz w:val="24"/>
          <w:szCs w:val="24"/>
        </w:rPr>
        <w:t xml:space="preserve">5.2.1.3 中途退出保护</w:t>
      </w:r>
      <w:bookmarkEnd w:id="100107"/>
    </w:p>
    <w:p>
      <w:pPr>
        <w:spacing w:after="60" w:line="440" w:lineRule="exact"/>
        <w:ind w:firstLine="480"/>
        <w:jc w:val="both"/>
      </w:pPr>
      <w:r>
        <w:rPr>
          <w:rFonts w:ascii="Times New Roman" w:eastAsia="SimSun"/>
          <w:b w:val="false"/>
          <w:bCs w:val="false"/>
          <w:color w:val="000000"/>
          <w:sz w:val="24"/>
          <w:szCs w:val="24"/>
        </w:rPr>
        <w:t xml:space="preserve">用户在作答中途点击返回时弹出确认弹窗，提示已填写信息将丢失；仅在估价已完成或尚未作答时允许直接返回，防止误触退出导致重复作答。</w:t>
      </w:r>
    </w:p>
    <w:p>
      <w:pPr>
        <w:pBdr>
          <w:top w:val="dashed" w:color="999999" w:sz="4" w:space="10"/>
          <w:bottom w:val="dashed" w:color="999999" w:sz="4" w:space="10"/>
          <w:left w:val="dashed" w:color="999999" w:sz="4" w:space="30"/>
          <w:right w:val="dashed" w:color="999999"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000000"/>
          <w:sz w:val="21"/>
          <w:szCs w:val="21"/>
        </w:rPr>
        <w:t xml:space="preserve">图 5-2 估价问答界面（可插入截图）</w:t>
      </w:r>
    </w:p>
    <w:p>
      <w:pPr>
        <w:pStyle w:val="Heading3"/>
        <w:spacing w:after="100" w:before="240" w:line="312"/>
      </w:pPr>
      <w:bookmarkStart w:id="100108" w:name="_Toc100108"/>
      <w:r>
        <w:rPr>
          <w:rFonts w:ascii="Times New Roman" w:eastAsia="SimHei"/>
          <w:b/>
          <w:bCs/>
          <w:color w:val="000000"/>
          <w:sz w:val="28"/>
          <w:szCs w:val="28"/>
        </w:rPr>
        <w:t xml:space="preserve">5.2.2 评估因子设计</w:t>
      </w:r>
      <w:bookmarkEnd w:id="100108"/>
    </w:p>
    <w:p>
      <w:pPr>
        <w:spacing w:after="40" w:line="440" w:lineRule="exact"/>
        <w:ind w:firstLine="480"/>
        <w:jc w:val="both"/>
      </w:pPr>
      <w:r>
        <w:rPr>
          <w:rFonts w:ascii="Times New Roman" w:eastAsia="SimSun"/>
          <w:b w:val="false"/>
          <w:bCs w:val="false"/>
          <w:color w:val="000000"/>
          <w:sz w:val="24"/>
          <w:szCs w:val="24"/>
        </w:rPr>
        <w:t xml:space="preserve">六项选择题因子及其选项系数如下表所示（系数可由后台在线调整，下表为默认值）。因子设计覆盖二手设备价值评估的完整维度：成色与屏幕决定外观折价，功能决定可用性折价，版本影响流通价，配件与维修史影响收货后的整备成本。</w:t>
      </w:r>
    </w:p>
    <w:p>
      <w:pPr>
        <w:keepNext/>
        <w:spacing w:after="80" w:before="160" w:line="312"/>
        <w:jc w:val="center"/>
      </w:pPr>
      <w:r>
        <w:rPr>
          <w:rFonts w:ascii="Times New Roman" w:eastAsia="SimSun"/>
          <w:b/>
          <w:bCs/>
          <w:color w:val="000000"/>
          <w:sz w:val="21"/>
          <w:szCs w:val="21"/>
        </w:rPr>
        <w:t xml:space="preserve">表 5-2 估价评估因子与默认系数</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gridCol w:w="100"/>
      </w:tblGrid>
      <w:tr>
        <w:trPr>
          <w:cantSplit/>
          <w:tblHeader/>
        </w:trPr>
        <w:tc>
          <w:tcPr>
            <w:tcW w:type="pct" w:w="14%"/>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因子</w:t>
            </w:r>
          </w:p>
        </w:tc>
        <w:tc>
          <w:tcPr>
            <w:tcW w:type="pct" w:w="22%"/>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问题</w:t>
            </w:r>
          </w:p>
        </w:tc>
        <w:tc>
          <w:tcPr>
            <w:tcW w:type="pct" w:w="64%"/>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选项与默认系数</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设备成色</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您的设备成色如何</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全新未使用 1.0；九成新 0.9；八成新 0.8；七成新 0.7；六成新及以下 0.55</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屏幕状况</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屏幕状况如何</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完好无损 1.0；轻微划痕 0.9；明显划痕 0.75；碎裂/坏点 0.4；完全损坏 0.15</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功能状况</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设备功能是否正常</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全部正常 1.0；部分小问题 0.7；较大故障 0.4；无法使用 0.15</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设备版本</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设备是什么版本</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国行 1.0；港版/澳版 0.95；国际版 0.85；不确定 0.9</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配件状况</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配件是否齐全</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原装全配 1.0；有充电器数据线 0.98；仅裸机 0.93</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维修史</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设备是否有维修史</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从未维修 1.0；官方维修 0.92；第三方维修 0.75；不确定 0.85</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补充说明</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其他需要说明的问题</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文本输入，可选，不参与系数计算</w:t>
            </w:r>
          </w:p>
        </w:tc>
      </w:tr>
    </w:tbl>
    <w:p>
      <w:pPr>
        <w:pStyle w:val="Heading3"/>
        <w:spacing w:after="100" w:before="240" w:line="312"/>
      </w:pPr>
      <w:bookmarkStart w:id="100109" w:name="_Toc100109"/>
      <w:r>
        <w:rPr>
          <w:rFonts w:ascii="Times New Roman" w:eastAsia="SimHei"/>
          <w:b/>
          <w:bCs/>
          <w:color w:val="000000"/>
          <w:sz w:val="28"/>
          <w:szCs w:val="28"/>
        </w:rPr>
        <w:t xml:space="preserve">5.2.3 本地估价算法</w:t>
      </w:r>
      <w:bookmarkEnd w:id="100109"/>
    </w:p>
    <w:p>
      <w:pPr>
        <w:pStyle w:val="Heading4"/>
        <w:spacing w:after="80" w:before="200" w:line="312"/>
      </w:pPr>
      <w:bookmarkStart w:id="100110" w:name="_Toc100110"/>
      <w:r>
        <w:rPr>
          <w:rFonts w:ascii="Times New Roman" w:eastAsia="SimHei"/>
          <w:b/>
          <w:bCs/>
          <w:color w:val="000000"/>
          <w:sz w:val="24"/>
          <w:szCs w:val="24"/>
        </w:rPr>
        <w:t xml:space="preserve">5.2.3.1 实时估价</w:t>
      </w:r>
      <w:bookmarkEnd w:id="100110"/>
    </w:p>
    <w:p>
      <w:pPr>
        <w:spacing w:after="60" w:line="440" w:lineRule="exact"/>
        <w:ind w:firstLine="480"/>
        <w:jc w:val="both"/>
      </w:pPr>
      <w:r>
        <w:rPr>
          <w:rFonts w:ascii="Times New Roman" w:eastAsia="SimSun"/>
          <w:b w:val="false"/>
          <w:bCs w:val="false"/>
          <w:color w:val="000000"/>
          <w:sz w:val="24"/>
          <w:szCs w:val="24"/>
        </w:rPr>
        <w:t xml:space="preserve">用户每作答一题，页面即时重算当前预估价：以型号基准价为基础，将已作答因子的系数依次连乘，再乘以二手基准系数（默认 0.9，后台可调），结果四舍五入显示。实时估价让用户在作答过程中即可感知各项状况对价格的影响，形成合理预期。</w:t>
      </w:r>
    </w:p>
    <w:p>
      <w:pPr>
        <w:pStyle w:val="Heading4"/>
        <w:spacing w:after="80" w:before="200" w:line="312"/>
      </w:pPr>
      <w:bookmarkStart w:id="100111" w:name="_Toc100111"/>
      <w:r>
        <w:rPr>
          <w:rFonts w:ascii="Times New Roman" w:eastAsia="SimHei"/>
          <w:b/>
          <w:bCs/>
          <w:color w:val="000000"/>
          <w:sz w:val="24"/>
          <w:szCs w:val="24"/>
        </w:rPr>
        <w:t xml:space="preserve">5.2.3.2 结算估价与价格区间</w:t>
      </w:r>
      <w:bookmarkEnd w:id="100111"/>
    </w:p>
    <w:p>
      <w:pPr>
        <w:spacing w:after="60" w:line="440" w:lineRule="exact"/>
        <w:ind w:firstLine="480"/>
        <w:jc w:val="both"/>
      </w:pPr>
      <w:r>
        <w:rPr>
          <w:rFonts w:ascii="Times New Roman" w:eastAsia="SimSun"/>
          <w:b w:val="false"/>
          <w:bCs w:val="false"/>
          <w:color w:val="000000"/>
          <w:sz w:val="24"/>
          <w:szCs w:val="24"/>
        </w:rPr>
        <w:t xml:space="preserve">全部问题作答完成后执行结算计算，算法与实时估价一致，逐项乘以成色、屏幕、功能、版本、配件、维修史六因子系数后叠加二手基准系数。在点估价基础上生成价格区间：下限为点估价的 90%，上限为 105%。区间围绕点估价小幅浮动而非放宽下限，避免低区间误导用户，符合回收报价「验机后按实际状况定价」的业务惯例。</w:t>
      </w:r>
    </w:p>
    <w:p>
      <w:pPr>
        <w:pStyle w:val="Heading4"/>
        <w:spacing w:after="80" w:before="200" w:line="312"/>
      </w:pPr>
      <w:bookmarkStart w:id="100112" w:name="_Toc100112"/>
      <w:r>
        <w:rPr>
          <w:rFonts w:ascii="Times New Roman" w:eastAsia="SimHei"/>
          <w:b/>
          <w:bCs/>
          <w:color w:val="000000"/>
          <w:sz w:val="24"/>
          <w:szCs w:val="24"/>
        </w:rPr>
        <w:t xml:space="preserve">5.2.3.3 估价说明生成</w:t>
      </w:r>
      <w:bookmarkEnd w:id="100112"/>
    </w:p>
    <w:p>
      <w:pPr>
        <w:spacing w:after="60" w:line="440" w:lineRule="exact"/>
        <w:ind w:firstLine="480"/>
        <w:jc w:val="both"/>
      </w:pPr>
      <w:r>
        <w:rPr>
          <w:rFonts w:ascii="Times New Roman" w:eastAsia="SimSun"/>
          <w:b w:val="false"/>
          <w:bCs w:val="false"/>
          <w:color w:val="000000"/>
          <w:sz w:val="24"/>
          <w:szCs w:val="24"/>
        </w:rPr>
        <w:t xml:space="preserve">系统自动生成结构化估价说明文字，概述品牌型号与成色、屏幕、功能、版本四项关键状况，并给出估价金额与区间。该说明在 AI 估价不可用时直接展示，保证任何情况下用户都能获得有依据的报价解释。</w:t>
      </w:r>
    </w:p>
    <w:p>
      <w:pPr>
        <w:pStyle w:val="Heading3"/>
        <w:spacing w:after="100" w:before="240" w:line="312"/>
      </w:pPr>
      <w:bookmarkStart w:id="100113" w:name="_Toc100113"/>
      <w:r>
        <w:rPr>
          <w:rFonts w:ascii="Times New Roman" w:eastAsia="SimHei"/>
          <w:b/>
          <w:bCs/>
          <w:color w:val="000000"/>
          <w:sz w:val="28"/>
          <w:szCs w:val="28"/>
        </w:rPr>
        <w:t xml:space="preserve">5.2.4 AI 大模型辅助估价</w:t>
      </w:r>
      <w:bookmarkEnd w:id="100113"/>
    </w:p>
    <w:p>
      <w:pPr>
        <w:pStyle w:val="Heading4"/>
        <w:spacing w:after="80" w:before="200" w:line="312"/>
      </w:pPr>
      <w:bookmarkStart w:id="100114" w:name="_Toc100114"/>
      <w:r>
        <w:rPr>
          <w:rFonts w:ascii="Times New Roman" w:eastAsia="SimHei"/>
          <w:b/>
          <w:bCs/>
          <w:color w:val="000000"/>
          <w:sz w:val="24"/>
          <w:szCs w:val="24"/>
        </w:rPr>
        <w:t xml:space="preserve">5.2.4.1 请求设计</w:t>
      </w:r>
      <w:bookmarkEnd w:id="100114"/>
    </w:p>
    <w:p>
      <w:pPr>
        <w:spacing w:after="60" w:line="440" w:lineRule="exact"/>
        <w:ind w:firstLine="480"/>
        <w:jc w:val="both"/>
      </w:pPr>
      <w:r>
        <w:rPr>
          <w:rFonts w:ascii="Times New Roman" w:eastAsia="SimSun"/>
          <w:b w:val="false"/>
          <w:bCs w:val="false"/>
          <w:color w:val="000000"/>
          <w:sz w:val="24"/>
          <w:szCs w:val="24"/>
        </w:rPr>
        <w:t xml:space="preserve">结算时页面将产品信息（分类、品牌、型号、基准价、规格）与全部作答摘要（因子名+选项文案）提交至小程序服务端的 AI 估价接口，请求携带用户登录令牌，超时时间与网络异常均有兜底处理，不会阻塞估价流程。</w:t>
      </w:r>
    </w:p>
    <w:p>
      <w:pPr>
        <w:pStyle w:val="Heading4"/>
        <w:spacing w:after="80" w:before="200" w:line="312"/>
      </w:pPr>
      <w:bookmarkStart w:id="100115" w:name="_Toc100115"/>
      <w:r>
        <w:rPr>
          <w:rFonts w:ascii="Times New Roman" w:eastAsia="SimHei"/>
          <w:b/>
          <w:bCs/>
          <w:color w:val="000000"/>
          <w:sz w:val="24"/>
          <w:szCs w:val="24"/>
        </w:rPr>
        <w:t xml:space="preserve">5.2.4.2 提示词设计</w:t>
      </w:r>
      <w:bookmarkEnd w:id="100115"/>
    </w:p>
    <w:p>
      <w:pPr>
        <w:spacing w:after="60" w:line="440" w:lineRule="exact"/>
        <w:ind w:firstLine="480"/>
        <w:jc w:val="both"/>
      </w:pPr>
      <w:r>
        <w:rPr>
          <w:rFonts w:ascii="Times New Roman" w:eastAsia="SimSun"/>
          <w:b w:val="false"/>
          <w:bCs w:val="false"/>
          <w:color w:val="000000"/>
          <w:sz w:val="24"/>
          <w:szCs w:val="24"/>
        </w:rPr>
        <w:t xml:space="preserve">服务端以系统提示词约束大模型扮演电子产品回收估价专家，要求综合型号市场二手行情、成色使用痕迹、屏幕状况、功能完好度、配件齐全度、维修史与设备版本七类因素估价；采样温度设为 0.3 以稳定输出；用户提示词中嵌入完整产品信息与逐项设备状况，并强制要求仅返回 JSON。</w:t>
      </w:r>
    </w:p>
    <w:p>
      <w:pPr>
        <w:pStyle w:val="Heading4"/>
        <w:spacing w:after="80" w:before="200" w:line="312"/>
      </w:pPr>
      <w:bookmarkStart w:id="100116" w:name="_Toc100116"/>
      <w:r>
        <w:rPr>
          <w:rFonts w:ascii="Times New Roman" w:eastAsia="SimHei"/>
          <w:b/>
          <w:bCs/>
          <w:color w:val="000000"/>
          <w:sz w:val="24"/>
          <w:szCs w:val="24"/>
        </w:rPr>
        <w:t xml:space="preserve">5.2.4.3 结果解析</w:t>
      </w:r>
      <w:bookmarkEnd w:id="100116"/>
    </w:p>
    <w:p>
      <w:pPr>
        <w:spacing w:after="60" w:line="440" w:lineRule="exact"/>
        <w:ind w:firstLine="480"/>
        <w:jc w:val="both"/>
      </w:pPr>
      <w:r>
        <w:rPr>
          <w:rFonts w:ascii="Times New Roman" w:eastAsia="SimSun"/>
          <w:b w:val="false"/>
          <w:bCs w:val="false"/>
          <w:color w:val="000000"/>
          <w:sz w:val="24"/>
          <w:szCs w:val="24"/>
        </w:rPr>
        <w:t xml:space="preserve">大模型返回文本经正则提取 JSON 对象后解析为三个字段：price（预估回收价，整数元，校验必须为数字后取整）、reason（估价说明，两百字以内，缺省时自动补默认文案）与 confidence（置信度 high/medium/low）。解析失败或价格无效即视为本次 AI 估价失败。</w:t>
      </w:r>
    </w:p>
    <w:p>
      <w:pPr>
        <w:pStyle w:val="Heading4"/>
        <w:spacing w:after="80" w:before="200" w:line="312"/>
      </w:pPr>
      <w:bookmarkStart w:id="100117" w:name="_Toc100117"/>
      <w:r>
        <w:rPr>
          <w:rFonts w:ascii="Times New Roman" w:eastAsia="SimHei"/>
          <w:b/>
          <w:bCs/>
          <w:color w:val="000000"/>
          <w:sz w:val="24"/>
          <w:szCs w:val="24"/>
        </w:rPr>
        <w:t xml:space="preserve">5.2.4.4 降级策略</w:t>
      </w:r>
      <w:bookmarkEnd w:id="100117"/>
    </w:p>
    <w:p>
      <w:pPr>
        <w:spacing w:after="60" w:line="440" w:lineRule="exact"/>
        <w:ind w:firstLine="480"/>
        <w:jc w:val="both"/>
      </w:pPr>
      <w:r>
        <w:rPr>
          <w:rFonts w:ascii="Times New Roman" w:eastAsia="SimSun"/>
          <w:b w:val="false"/>
          <w:bCs w:val="false"/>
          <w:color w:val="000000"/>
          <w:sz w:val="24"/>
          <w:szCs w:val="24"/>
        </w:rPr>
        <w:t xml:space="preserve">降级按三层设计：接口未配置 AI 密钥时直接抛出异常；调用失败、返回异常或超时（十五秒）时返回错误；前端收到任一失败信号即自动改用本地多因子模型估价结果与本地估价说明，估价流程不中断。后台另提供 AI 估价总开关，关闭后小程序端跳过 AI 调用直接本地估价。</w:t>
      </w:r>
    </w:p>
    <w:p>
      <w:pPr>
        <w:pBdr>
          <w:top w:val="dashed" w:color="999999" w:sz="4" w:space="10"/>
          <w:bottom w:val="dashed" w:color="999999" w:sz="4" w:space="10"/>
          <w:left w:val="dashed" w:color="999999" w:sz="4" w:space="30"/>
          <w:right w:val="dashed" w:color="999999"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000000"/>
          <w:sz w:val="21"/>
          <w:szCs w:val="21"/>
        </w:rPr>
        <w:t xml:space="preserve">图 5-3 估价结果展示（可插入截图）</w:t>
      </w:r>
    </w:p>
    <w:p>
      <w:pPr>
        <w:pStyle w:val="Heading3"/>
        <w:spacing w:after="100" w:before="240" w:line="312"/>
      </w:pPr>
      <w:bookmarkStart w:id="100118" w:name="_Toc100118"/>
      <w:r>
        <w:rPr>
          <w:rFonts w:ascii="Times New Roman" w:eastAsia="SimHei"/>
          <w:b/>
          <w:bCs/>
          <w:color w:val="000000"/>
          <w:sz w:val="28"/>
          <w:szCs w:val="28"/>
        </w:rPr>
        <w:t xml:space="preserve">5.2.5 估价配置热更新</w:t>
      </w:r>
      <w:bookmarkEnd w:id="100118"/>
    </w:p>
    <w:p>
      <w:pPr>
        <w:spacing w:after="60" w:line="440" w:lineRule="exact"/>
        <w:ind w:firstLine="480"/>
        <w:jc w:val="both"/>
      </w:pPr>
      <w:r>
        <w:rPr>
          <w:rFonts w:ascii="Times New Roman" w:eastAsia="SimSun"/>
          <w:b w:val="false"/>
          <w:bCs w:val="false"/>
          <w:color w:val="000000"/>
          <w:sz w:val="24"/>
          <w:szCs w:val="24"/>
        </w:rPr>
        <w:t xml:space="preserve">估价引导页启动时异步拉取后台估价配置接口：后台已初始化时，以返回的二手基准系数覆盖本地默认值，并按选项匹配值将后台维护的因子系数逐项覆盖本地题目选项（后台新增的选项档位同步生效）；未初始化或拉取失败时保持本地默认。该机制使后台调参后小程序端无需发版即可生效，估价口径始终与后台一致。</w:t>
      </w:r>
    </w:p>
    <w:p>
      <w:pPr>
        <w:pStyle w:val="Heading3"/>
        <w:spacing w:after="100" w:before="240" w:line="312"/>
      </w:pPr>
      <w:bookmarkStart w:id="100119" w:name="_Toc100119"/>
      <w:r>
        <w:rPr>
          <w:rFonts w:ascii="Times New Roman" w:eastAsia="SimHei"/>
          <w:b/>
          <w:bCs/>
          <w:color w:val="000000"/>
          <w:sz w:val="28"/>
          <w:szCs w:val="28"/>
        </w:rPr>
        <w:t xml:space="preserve">5.2.6 回收地址选择</w:t>
      </w:r>
      <w:bookmarkEnd w:id="100119"/>
    </w:p>
    <w:p>
      <w:pPr>
        <w:pStyle w:val="Heading4"/>
        <w:spacing w:after="80" w:before="200" w:line="312"/>
      </w:pPr>
      <w:bookmarkStart w:id="100120" w:name="_Toc100120"/>
      <w:r>
        <w:rPr>
          <w:rFonts w:ascii="Times New Roman" w:eastAsia="SimHei"/>
          <w:b/>
          <w:bCs/>
          <w:color w:val="000000"/>
          <w:sz w:val="24"/>
          <w:szCs w:val="24"/>
        </w:rPr>
        <w:t xml:space="preserve">5.2.6.1 地址加载与格式化</w:t>
      </w:r>
      <w:bookmarkEnd w:id="100120"/>
    </w:p>
    <w:p>
      <w:pPr>
        <w:spacing w:after="60" w:line="440" w:lineRule="exact"/>
        <w:ind w:firstLine="480"/>
        <w:jc w:val="both"/>
      </w:pPr>
      <w:r>
        <w:rPr>
          <w:rFonts w:ascii="Times New Roman" w:eastAsia="SimSun"/>
          <w:b w:val="false"/>
          <w:bCs w:val="false"/>
          <w:color w:val="000000"/>
          <w:sz w:val="24"/>
          <w:szCs w:val="24"/>
        </w:rPr>
        <w:t xml:space="preserve">页面展示时自动拉取当前登录用户的地址簿并做字段归一化格式化（兼容多端字段命名差异），默认选中标记为默认的地址；无默认地址时选中第一条；地址为空时引导用户新增。地址加载失败时清空选择并提示，不阻塞估价流程。</w:t>
      </w:r>
    </w:p>
    <w:p>
      <w:pPr>
        <w:pStyle w:val="Heading4"/>
        <w:spacing w:after="80" w:before="200" w:line="312"/>
      </w:pPr>
      <w:bookmarkStart w:id="100121" w:name="_Toc100121"/>
      <w:r>
        <w:rPr>
          <w:rFonts w:ascii="Times New Roman" w:eastAsia="SimHei"/>
          <w:b/>
          <w:bCs/>
          <w:color w:val="000000"/>
          <w:sz w:val="24"/>
          <w:szCs w:val="24"/>
        </w:rPr>
        <w:t xml:space="preserve">5.2.6.2 地址选择与新增</w:t>
      </w:r>
      <w:bookmarkEnd w:id="100121"/>
    </w:p>
    <w:p>
      <w:pPr>
        <w:spacing w:after="60" w:line="440" w:lineRule="exact"/>
        <w:ind w:firstLine="480"/>
        <w:jc w:val="both"/>
      </w:pPr>
      <w:r>
        <w:rPr>
          <w:rFonts w:ascii="Times New Roman" w:eastAsia="SimSun"/>
          <w:b w:val="false"/>
          <w:bCs w:val="false"/>
          <w:color w:val="000000"/>
          <w:sz w:val="24"/>
          <w:szCs w:val="24"/>
        </w:rPr>
        <w:t xml:space="preserve">点击地址区打开地址选择弹层，列表展示联系人、电话与省市区详址，点选即切换；弹层内提供「新增地址」入口跳转地址编辑页，新增完成返回后自动刷新地址列表并保持弹层状态。提交订单前未选择地址时给予明确提示。</w:t>
      </w:r>
    </w:p>
    <w:p>
      <w:pPr>
        <w:pStyle w:val="Heading4"/>
        <w:spacing w:after="80" w:before="200" w:line="312"/>
      </w:pPr>
      <w:bookmarkStart w:id="100122" w:name="_Toc100122"/>
      <w:r>
        <w:rPr>
          <w:rFonts w:ascii="Times New Roman" w:eastAsia="SimHei"/>
          <w:b/>
          <w:bCs/>
          <w:color w:val="000000"/>
          <w:sz w:val="24"/>
          <w:szCs w:val="24"/>
        </w:rPr>
        <w:t xml:space="preserve">5.2.6.3 联系客服入口</w:t>
      </w:r>
      <w:bookmarkEnd w:id="100122"/>
    </w:p>
    <w:p>
      <w:pPr>
        <w:spacing w:after="60" w:line="440" w:lineRule="exact"/>
        <w:ind w:firstLine="480"/>
        <w:jc w:val="both"/>
      </w:pPr>
      <w:r>
        <w:rPr>
          <w:rFonts w:ascii="Times New Roman" w:eastAsia="SimSun"/>
          <w:b w:val="false"/>
          <w:bCs w:val="false"/>
          <w:color w:val="000000"/>
          <w:sz w:val="24"/>
          <w:szCs w:val="24"/>
        </w:rPr>
        <w:t xml:space="preserve">估价与提交环节设有联系客服入口：用户对估价结果有疑问或需人工确认特殊机型时，点击后跳转客服页继续沟通。实现上注意小程序标签页必须以切换标签接口打开——普通页面跳转接口对标签页会静默失败，该平台特性已在实现中显式处理，保证入口在任何状态下均可正常到达客服会话。</w:t>
      </w:r>
    </w:p>
    <w:p>
      <w:pPr>
        <w:pStyle w:val="Heading3"/>
        <w:spacing w:after="100" w:before="240" w:line="312"/>
      </w:pPr>
      <w:bookmarkStart w:id="100123" w:name="_Toc100123"/>
      <w:r>
        <w:rPr>
          <w:rFonts w:ascii="Times New Roman" w:eastAsia="SimHei"/>
          <w:b/>
          <w:bCs/>
          <w:color w:val="000000"/>
          <w:sz w:val="28"/>
          <w:szCs w:val="28"/>
        </w:rPr>
        <w:t xml:space="preserve">5.2.7 订单提交与确认</w:t>
      </w:r>
      <w:bookmarkEnd w:id="100123"/>
    </w:p>
    <w:p>
      <w:pPr>
        <w:pStyle w:val="Heading4"/>
        <w:spacing w:after="80" w:before="200" w:line="312"/>
      </w:pPr>
      <w:bookmarkStart w:id="100124" w:name="_Toc100124"/>
      <w:r>
        <w:rPr>
          <w:rFonts w:ascii="Times New Roman" w:eastAsia="SimHei"/>
          <w:b/>
          <w:bCs/>
          <w:color w:val="000000"/>
          <w:sz w:val="24"/>
          <w:szCs w:val="24"/>
        </w:rPr>
        <w:t xml:space="preserve">5.2.7.1 订单数据组装</w:t>
      </w:r>
      <w:bookmarkEnd w:id="100124"/>
    </w:p>
    <w:p>
      <w:pPr>
        <w:spacing w:after="60" w:line="440" w:lineRule="exact"/>
        <w:ind w:firstLine="480"/>
        <w:jc w:val="both"/>
      </w:pPr>
      <w:r>
        <w:rPr>
          <w:rFonts w:ascii="Times New Roman" w:eastAsia="SimSun"/>
          <w:b w:val="false"/>
          <w:bCs w:val="false"/>
          <w:color w:val="000000"/>
          <w:sz w:val="24"/>
          <w:szCs w:val="24"/>
        </w:rPr>
        <w:t xml:space="preserve">提交时系统组装完整回收订单：订单类型 recycle、型号与分类标识、设备成色、估价金额、逐题评估明细（拼装为结构化描述文本）、回收服务方式、收货地址（联系人+电话+省市区+详址）、支付状态与内部标记。评估明细同时以人读格式写入订单描述，便于后台运营直接阅读用户作答内容。</w:t>
      </w:r>
    </w:p>
    <w:p>
      <w:pPr>
        <w:pStyle w:val="Heading4"/>
        <w:spacing w:after="80" w:before="200" w:line="312"/>
      </w:pPr>
      <w:bookmarkStart w:id="100125" w:name="_Toc100125"/>
      <w:r>
        <w:rPr>
          <w:rFonts w:ascii="Times New Roman" w:eastAsia="SimHei"/>
          <w:b/>
          <w:bCs/>
          <w:color w:val="000000"/>
          <w:sz w:val="24"/>
          <w:szCs w:val="24"/>
        </w:rPr>
        <w:t xml:space="preserve">5.2.7.2 普通用户金额确认</w:t>
      </w:r>
      <w:bookmarkEnd w:id="100125"/>
    </w:p>
    <w:p>
      <w:pPr>
        <w:spacing w:after="60" w:line="440" w:lineRule="exact"/>
        <w:ind w:firstLine="480"/>
        <w:jc w:val="both"/>
      </w:pPr>
      <w:r>
        <w:rPr>
          <w:rFonts w:ascii="Times New Roman" w:eastAsia="SimSun"/>
          <w:b w:val="false"/>
          <w:bCs w:val="false"/>
          <w:color w:val="000000"/>
          <w:sz w:val="24"/>
          <w:szCs w:val="24"/>
        </w:rPr>
        <w:t xml:space="preserve">普通用户点击提交后弹出金额确认弹窗，逐项展示市场基准价（全新）、设备成色、本次回收估价，以及估价相对基准价的百分比并注明属合理区间，帮助用户在提交前复核报价逻辑；确认后订单提交，成功提示并自动返回，失败给出具体原因。</w:t>
      </w:r>
    </w:p>
    <w:p>
      <w:pPr>
        <w:pBdr>
          <w:top w:val="dashed" w:color="999999" w:sz="4" w:space="10"/>
          <w:bottom w:val="dashed" w:color="999999" w:sz="4" w:space="10"/>
          <w:left w:val="dashed" w:color="999999" w:sz="4" w:space="30"/>
          <w:right w:val="dashed" w:color="999999"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000000"/>
          <w:sz w:val="21"/>
          <w:szCs w:val="21"/>
        </w:rPr>
        <w:t xml:space="preserve">图 5-4 回收金额确认弹窗（可插入截图）</w:t>
      </w:r>
    </w:p>
    <w:p>
      <w:pPr>
        <w:pStyle w:val="Heading4"/>
        <w:spacing w:after="80" w:before="200" w:line="312"/>
      </w:pPr>
      <w:bookmarkStart w:id="100126" w:name="_Toc100126"/>
      <w:r>
        <w:rPr>
          <w:rFonts w:ascii="Times New Roman" w:eastAsia="SimHei"/>
          <w:b/>
          <w:bCs/>
          <w:color w:val="000000"/>
          <w:sz w:val="24"/>
          <w:szCs w:val="24"/>
        </w:rPr>
        <w:t xml:space="preserve">5.2.7.3 内部人员免付款回收</w:t>
      </w:r>
      <w:bookmarkEnd w:id="100126"/>
    </w:p>
    <w:p>
      <w:pPr>
        <w:spacing w:after="60" w:line="440" w:lineRule="exact"/>
        <w:ind w:firstLine="480"/>
        <w:jc w:val="both"/>
      </w:pPr>
      <w:r>
        <w:rPr>
          <w:rFonts w:ascii="Times New Roman" w:eastAsia="SimSun"/>
          <w:b w:val="false"/>
          <w:bCs w:val="false"/>
          <w:color w:val="000000"/>
          <w:sz w:val="24"/>
          <w:szCs w:val="24"/>
        </w:rPr>
        <w:t xml:space="preserve">登录用户为公司内部人员（角色标记 internal）时，估价流程自动切换为内部回收模式：提交前必须选择设备来源（项目返修/仓库/固定资产），确认弹窗改为内部回收申请说明，订单以免付款状态提交，由管理员确认后安排回收。内部申请与普通订单共用同一订单表，通过免付款标记与设备来源字段区分，后台统一处理。</w:t>
      </w:r>
    </w:p>
    <w:p>
      <w:pPr>
        <w:pStyle w:val="Heading4"/>
        <w:spacing w:after="80" w:before="200" w:line="312"/>
      </w:pPr>
      <w:bookmarkStart w:id="100127" w:name="_Toc100127"/>
      <w:r>
        <w:rPr>
          <w:rFonts w:ascii="Times New Roman" w:eastAsia="SimHei"/>
          <w:b/>
          <w:bCs/>
          <w:color w:val="000000"/>
          <w:sz w:val="24"/>
          <w:szCs w:val="24"/>
        </w:rPr>
        <w:t xml:space="preserve">5.2.7.4 防重复提交</w:t>
      </w:r>
      <w:bookmarkEnd w:id="100127"/>
    </w:p>
    <w:p>
      <w:pPr>
        <w:spacing w:after="60" w:line="440" w:lineRule="exact"/>
        <w:ind w:firstLine="480"/>
        <w:jc w:val="both"/>
      </w:pPr>
      <w:r>
        <w:rPr>
          <w:rFonts w:ascii="Times New Roman" w:eastAsia="SimSun"/>
          <w:b w:val="false"/>
          <w:bCs w:val="false"/>
          <w:color w:val="000000"/>
          <w:sz w:val="24"/>
          <w:szCs w:val="24"/>
        </w:rPr>
        <w:t xml:space="preserve">提交全程设置提交中状态锁：锁定期内按钮点击、重复请求均被拦截；订单提交完成（成功或失败）后释放锁。配合按钮加载态提示，杜绝网络延迟导致的重复建单。</w:t>
      </w:r>
    </w:p>
    <w:p>
      <w:pPr>
        <w:pStyle w:val="Heading2"/>
        <w:spacing w:after="140" w:before="300" w:line="312"/>
      </w:pPr>
      <w:bookmarkStart w:id="100128" w:name="_Toc100128"/>
      <w:r>
        <w:rPr>
          <w:rFonts w:ascii="Times New Roman" w:eastAsia="SimHei"/>
          <w:b/>
          <w:bCs/>
          <w:color w:val="000000"/>
          <w:sz w:val="30"/>
          <w:szCs w:val="30"/>
        </w:rPr>
        <w:t xml:space="preserve">5.3 小程序端关键实现机制</w:t>
      </w:r>
      <w:bookmarkEnd w:id="100128"/>
    </w:p>
    <w:p>
      <w:pPr>
        <w:spacing w:after="60" w:line="440" w:lineRule="exact"/>
        <w:ind w:firstLine="480"/>
        <w:jc w:val="both"/>
      </w:pPr>
      <w:r>
        <w:rPr>
          <w:rFonts w:ascii="Times New Roman" w:eastAsia="SimSun"/>
          <w:b w:val="false"/>
          <w:bCs w:val="false"/>
          <w:color w:val="000000"/>
          <w:sz w:val="24"/>
          <w:szCs w:val="24"/>
        </w:rPr>
        <w:t xml:space="preserve">本节进一步说明回收主页与估价引导两个模块背后的核心实现机制，包括目录渲染管线、搜索匹配算法、估价引擎、云端加载与订单提交链路五个部分。</w:t>
      </w:r>
    </w:p>
    <w:p>
      <w:pPr>
        <w:pStyle w:val="Heading3"/>
        <w:spacing w:after="100" w:before="240" w:line="312"/>
      </w:pPr>
      <w:bookmarkStart w:id="100129" w:name="_Toc100129"/>
      <w:r>
        <w:rPr>
          <w:rFonts w:ascii="Times New Roman" w:eastAsia="SimHei"/>
          <w:b/>
          <w:bCs/>
          <w:color w:val="000000"/>
          <w:sz w:val="28"/>
          <w:szCs w:val="28"/>
        </w:rPr>
        <w:t xml:space="preserve">5.3.1 目录渲染管线实现</w:t>
      </w:r>
      <w:bookmarkEnd w:id="100129"/>
    </w:p>
    <w:p>
      <w:pPr>
        <w:spacing w:after="60" w:line="440" w:lineRule="exact"/>
        <w:ind w:firstLine="480"/>
        <w:jc w:val="both"/>
      </w:pPr>
      <w:r>
        <w:rPr>
          <w:rFonts w:ascii="Times New Roman" w:eastAsia="SimSun"/>
          <w:b w:val="false"/>
          <w:bCs w:val="false"/>
          <w:color w:val="000000"/>
          <w:sz w:val="24"/>
          <w:szCs w:val="24"/>
        </w:rPr>
        <w:t xml:space="preserve">目录数据无论来自本地内置还是云端，均经同一条渲染管线加工：单次遍历将配价数据构建为两份结构——渲染结构按分类、品牌、型号三级组织，逐层合并视觉资源（分类场景图与图标、品牌字标、型号颜色回退），并将规格文本按分隔符拆分为标签数组、截取型号名前两个语义词生成家族标签；搜索索引则将全部型号扁平化，每条记录附带品牌信息、分类信息与视觉上下文，供检索结果直接跳转使用。两份结构构建完成后一次性提交渲染框架，避免逐条更新带来的多次通信开销——这是回收主页在数百型号规模下仍能首屏秒开的关键。</w:t>
      </w:r>
    </w:p>
    <w:p>
      <w:pPr>
        <w:pStyle w:val="Heading3"/>
        <w:spacing w:after="100" w:before="240" w:line="312"/>
      </w:pPr>
      <w:bookmarkStart w:id="100130" w:name="_Toc100130"/>
      <w:r>
        <w:rPr>
          <w:rFonts w:ascii="Times New Roman" w:eastAsia="SimHei"/>
          <w:b/>
          <w:bCs/>
          <w:color w:val="000000"/>
          <w:sz w:val="28"/>
          <w:szCs w:val="28"/>
        </w:rPr>
        <w:t xml:space="preserve">5.3.2 搜索匹配算法实现</w:t>
      </w:r>
      <w:bookmarkEnd w:id="100130"/>
    </w:p>
    <w:p>
      <w:pPr>
        <w:spacing w:after="60" w:line="440" w:lineRule="exact"/>
        <w:ind w:firstLine="480"/>
        <w:jc w:val="both"/>
      </w:pPr>
      <w:r>
        <w:rPr>
          <w:rFonts w:ascii="Times New Roman" w:eastAsia="SimSun"/>
          <w:b w:val="false"/>
          <w:bCs w:val="false"/>
          <w:color w:val="000000"/>
          <w:sz w:val="24"/>
          <w:szCs w:val="24"/>
        </w:rPr>
        <w:t xml:space="preserve">检索函数首先将输入统一转为小写并按空白拆分为词数组，同时生成去除全部空格的紧凑串；对每条索引以型号名、品牌名、规格、分类名四字段拼接组合文本，并生成对应的紧凑版本。命中条件为双通道之一：其一，全部搜索词都在组合文本中出现（多关键词 AND 匹配）；其二，紧凑串被紧凑组合文本包含（无空格整体匹配，使连拼输入命中带空格词）。命中结果截取前五十条渲染。输入侧以三百毫秒定时器防抖，仅最后一次输入触发检索；索引构建一次后内存复用，整个搜索过程零网络请求、计算量可控。</w:t>
      </w:r>
    </w:p>
    <w:p>
      <w:pPr>
        <w:pStyle w:val="Heading3"/>
        <w:spacing w:after="100" w:before="240" w:line="312"/>
      </w:pPr>
      <w:bookmarkStart w:id="100131" w:name="_Toc100131"/>
      <w:r>
        <w:rPr>
          <w:rFonts w:ascii="Times New Roman" w:eastAsia="SimHei"/>
          <w:b/>
          <w:bCs/>
          <w:color w:val="000000"/>
          <w:sz w:val="28"/>
          <w:szCs w:val="28"/>
        </w:rPr>
        <w:t xml:space="preserve">5.3.3 估价引擎实现</w:t>
      </w:r>
      <w:bookmarkEnd w:id="100131"/>
    </w:p>
    <w:p>
      <w:pPr>
        <w:spacing w:after="60" w:line="440" w:lineRule="exact"/>
        <w:ind w:firstLine="480"/>
        <w:jc w:val="both"/>
      </w:pPr>
      <w:r>
        <w:rPr>
          <w:rFonts w:ascii="Times New Roman" w:eastAsia="SimSun"/>
          <w:b w:val="false"/>
          <w:bCs w:val="false"/>
          <w:color w:val="000000"/>
          <w:sz w:val="24"/>
          <w:szCs w:val="24"/>
        </w:rPr>
        <w:t xml:space="preserve">估价引擎以作答表为核心数据结构：用户每答一题，即以题目标识为键写入选项值、选项文案与系数三元组。实时估价在每次作答后遍历作答表，将已答因子系数连乘后叠加二手基准系数刷新显示；结算计算按成色、屏幕、功能、版本、配件、维修史六因子显式连乘，保证任一因子缺答时不参与折算；价格区间以点估价分别乘以 0.9 与 1.05 后取整生成。后台估价配置到达后，引擎按选项匹配值逐项覆盖本地系数——题目文案不变、仅系数热替换，实现估价口径的在线更新而无需小程序发版。</w:t>
      </w:r>
    </w:p>
    <w:p>
      <w:pPr>
        <w:pStyle w:val="Heading3"/>
        <w:spacing w:after="100" w:before="240" w:line="312"/>
      </w:pPr>
      <w:bookmarkStart w:id="100132" w:name="_Toc100132"/>
      <w:r>
        <w:rPr>
          <w:rFonts w:ascii="Times New Roman" w:eastAsia="SimHei"/>
          <w:b/>
          <w:bCs/>
          <w:color w:val="000000"/>
          <w:sz w:val="28"/>
          <w:szCs w:val="28"/>
        </w:rPr>
        <w:t xml:space="preserve">5.3.4 云端目录加载实现</w:t>
      </w:r>
      <w:bookmarkEnd w:id="100132"/>
    </w:p>
    <w:p>
      <w:pPr>
        <w:spacing w:after="60" w:line="440" w:lineRule="exact"/>
        <w:ind w:firstLine="480"/>
        <w:jc w:val="both"/>
      </w:pPr>
      <w:r>
        <w:rPr>
          <w:rFonts w:ascii="Times New Roman" w:eastAsia="SimSun"/>
          <w:b w:val="false"/>
          <w:bCs w:val="false"/>
          <w:color w:val="000000"/>
          <w:sz w:val="24"/>
          <w:szCs w:val="24"/>
        </w:rPr>
        <w:t xml:space="preserve">加载器以模块级进行中请求变量实现并发去重：请求发起期间后续调用直接复用同一承诺对象，结束后自动清空；请求成功且云端目录非空时，先按分类编码与品牌名两级映射将本地视觉档案合并进云端目录（场景图、图标、字标、颜色回退），再连同十分钟过期时间戳写入本地缓存；有效期内读取缓存直接返回，过期或云端未初始化时返回本地目录并标记非托管状态。加载器同时封装平台列表、估价配置与点击上报三类接口，失败一律静默降级，不向用户抛出错误提示。</w:t>
      </w:r>
    </w:p>
    <w:p>
      <w:pPr>
        <w:pStyle w:val="Heading3"/>
        <w:spacing w:after="100" w:before="240" w:line="312"/>
      </w:pPr>
      <w:bookmarkStart w:id="100133" w:name="_Toc100133"/>
      <w:r>
        <w:rPr>
          <w:rFonts w:ascii="Times New Roman" w:eastAsia="SimHei"/>
          <w:b/>
          <w:bCs/>
          <w:color w:val="000000"/>
          <w:sz w:val="28"/>
          <w:szCs w:val="28"/>
        </w:rPr>
        <w:t xml:space="preserve">5.3.5 订单提交链路实现</w:t>
      </w:r>
      <w:bookmarkEnd w:id="100133"/>
    </w:p>
    <w:p>
      <w:pPr>
        <w:spacing w:after="60" w:line="440" w:lineRule="exact"/>
        <w:ind w:firstLine="480"/>
        <w:jc w:val="both"/>
      </w:pPr>
      <w:r>
        <w:rPr>
          <w:rFonts w:ascii="Times New Roman" w:eastAsia="SimSun"/>
          <w:b w:val="false"/>
          <w:bCs w:val="false"/>
          <w:color w:val="000000"/>
          <w:sz w:val="24"/>
          <w:szCs w:val="24"/>
        </w:rPr>
        <w:t xml:space="preserve">提交链路依次完成五步：先做前置校验（未选地址、内部人员未选设备来源时中断并提示）；随后将逐题作答拼装为结构化评估描述（题面加作答文案以分号连接），组装完整订单数据（订单类型、设备标识、成色、估价金额、地址、支付状态与内部标记）；再以确认弹窗的承诺化封装等待用户确认——普通用户展示市场基准价对比与成色折算百分比，内部人员展示设备来源确认；确认后调用建单接口并按返回结果分别提示成功或具体失败原因；异常路径统一释放提交锁。全程以提交状态锁拦截重复点击，杜绝延迟重试造成的重复建单。</w:t>
      </w:r>
    </w:p>
    <w:p>
      <w:pPr>
        <w:pStyle w:val="Heading1"/>
        <w:pageBreakBefore/>
        <w:spacing w:after="240" w:before="240" w:line="312"/>
        <w:jc w:val="center"/>
      </w:pPr>
      <w:bookmarkStart w:id="100134" w:name="_Toc100134"/>
      <w:r>
        <w:rPr>
          <w:rFonts w:ascii="Times New Roman" w:eastAsia="SimHei"/>
          <w:b/>
          <w:bCs/>
          <w:color w:val="000000"/>
          <w:sz w:val="32"/>
          <w:szCs w:val="32"/>
        </w:rPr>
        <w:t xml:space="preserve">第六章 管理后台功能设计与说明</w:t>
      </w:r>
      <w:bookmarkEnd w:id="100134"/>
    </w:p>
    <w:p>
      <w:pPr>
        <w:pStyle w:val="Heading2"/>
        <w:spacing w:after="140" w:before="300" w:line="312"/>
      </w:pPr>
      <w:bookmarkStart w:id="100135" w:name="_Toc100135"/>
      <w:r>
        <w:rPr>
          <w:rFonts w:ascii="Times New Roman" w:eastAsia="SimHei"/>
          <w:b/>
          <w:bCs/>
          <w:color w:val="000000"/>
          <w:sz w:val="30"/>
          <w:szCs w:val="30"/>
        </w:rPr>
        <w:t xml:space="preserve">6.1 登录与认证</w:t>
      </w:r>
      <w:bookmarkEnd w:id="100135"/>
    </w:p>
    <w:p>
      <w:pPr>
        <w:pStyle w:val="Heading3"/>
        <w:spacing w:after="100" w:before="240" w:line="312"/>
      </w:pPr>
      <w:bookmarkStart w:id="100136" w:name="_Toc100136"/>
      <w:r>
        <w:rPr>
          <w:rFonts w:ascii="Times New Roman" w:eastAsia="SimHei"/>
          <w:b/>
          <w:bCs/>
          <w:color w:val="000000"/>
          <w:sz w:val="28"/>
          <w:szCs w:val="28"/>
        </w:rPr>
        <w:t xml:space="preserve">6.1.1 账号密码登录</w:t>
      </w:r>
      <w:bookmarkEnd w:id="100136"/>
    </w:p>
    <w:p>
      <w:pPr>
        <w:pStyle w:val="Heading4"/>
        <w:spacing w:after="80" w:before="200" w:line="312"/>
      </w:pPr>
      <w:bookmarkStart w:id="100137" w:name="_Toc100137"/>
      <w:r>
        <w:rPr>
          <w:rFonts w:ascii="Times New Roman" w:eastAsia="SimHei"/>
          <w:b/>
          <w:bCs/>
          <w:color w:val="000000"/>
          <w:sz w:val="24"/>
          <w:szCs w:val="24"/>
        </w:rPr>
        <w:t xml:space="preserve">6.1.1.1 校验流程</w:t>
      </w:r>
      <w:bookmarkEnd w:id="100137"/>
    </w:p>
    <w:p>
      <w:pPr>
        <w:spacing w:after="60" w:line="440" w:lineRule="exact"/>
        <w:ind w:firstLine="480"/>
        <w:jc w:val="both"/>
      </w:pPr>
      <w:r>
        <w:rPr>
          <w:rFonts w:ascii="Times New Roman" w:eastAsia="SimSun"/>
          <w:b w:val="false"/>
          <w:bCs w:val="false"/>
          <w:color w:val="000000"/>
          <w:sz w:val="24"/>
          <w:szCs w:val="24"/>
        </w:rPr>
        <w:t xml:space="preserve">管理员在登录页输入账号与密码提交后，服务端依次校验：账号存在性（不存在时统一返回账号或密码错误）、账号状态（禁用账号返回禁用提示）、bcrypt 哈希匹配（不匹配同样返回账号或密码错误）。校验通过后更新最近登录时间、记录登录操作日志并签发令牌，前端保存令牌与账号信息后按登录前目标路径跳转。</w:t>
      </w:r>
    </w:p>
    <w:p>
      <w:pPr>
        <w:pStyle w:val="Heading4"/>
        <w:spacing w:after="80" w:before="200" w:line="312"/>
      </w:pPr>
      <w:bookmarkStart w:id="100138" w:name="_Toc100138"/>
      <w:r>
        <w:rPr>
          <w:rFonts w:ascii="Times New Roman" w:eastAsia="SimHei"/>
          <w:b/>
          <w:bCs/>
          <w:color w:val="000000"/>
          <w:sz w:val="24"/>
          <w:szCs w:val="24"/>
        </w:rPr>
        <w:t xml:space="preserve">6.1.1.2 登录安全设计</w:t>
      </w:r>
      <w:bookmarkEnd w:id="100138"/>
    </w:p>
    <w:p>
      <w:pPr>
        <w:spacing w:after="60" w:line="440" w:lineRule="exact"/>
        <w:ind w:firstLine="480"/>
        <w:jc w:val="both"/>
      </w:pPr>
      <w:r>
        <w:rPr>
          <w:rFonts w:ascii="Times New Roman" w:eastAsia="SimSun"/>
          <w:b w:val="false"/>
          <w:bCs w:val="false"/>
          <w:color w:val="000000"/>
          <w:sz w:val="24"/>
          <w:szCs w:val="24"/>
        </w:rPr>
        <w:t xml:space="preserve">登录失败不区分具体原因，防止账号枚举探测；密码全程仅以哈希比对，日志中不落密码字段；令牌有效期为十二小时，到期后前端统一提示重新登录并携当前路径回跳，避免登录后丢失操作上下文。</w:t>
      </w:r>
    </w:p>
    <w:p>
      <w:pPr>
        <w:pBdr>
          <w:top w:val="dashed" w:color="999999" w:sz="4" w:space="10"/>
          <w:bottom w:val="dashed" w:color="999999" w:sz="4" w:space="10"/>
          <w:left w:val="dashed" w:color="999999" w:sz="4" w:space="30"/>
          <w:right w:val="dashed" w:color="999999"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000000"/>
          <w:sz w:val="21"/>
          <w:szCs w:val="21"/>
        </w:rPr>
        <w:t xml:space="preserve">图 6-1 管理后台登录页（可插入截图）</w:t>
      </w:r>
    </w:p>
    <w:p>
      <w:pPr>
        <w:pStyle w:val="Heading3"/>
        <w:spacing w:after="100" w:before="240" w:line="312"/>
      </w:pPr>
      <w:bookmarkStart w:id="100139" w:name="_Toc100139"/>
      <w:r>
        <w:rPr>
          <w:rFonts w:ascii="Times New Roman" w:eastAsia="SimHei"/>
          <w:b/>
          <w:bCs/>
          <w:color w:val="000000"/>
          <w:sz w:val="28"/>
          <w:szCs w:val="28"/>
        </w:rPr>
        <w:t xml:space="preserve">6.1.2 单点登录</w:t>
      </w:r>
      <w:bookmarkEnd w:id="100139"/>
    </w:p>
    <w:p>
      <w:pPr>
        <w:pStyle w:val="Heading4"/>
        <w:spacing w:after="80" w:before="200" w:line="312"/>
      </w:pPr>
      <w:bookmarkStart w:id="100140" w:name="_Toc100140"/>
      <w:r>
        <w:rPr>
          <w:rFonts w:ascii="Times New Roman" w:eastAsia="SimHei"/>
          <w:b/>
          <w:bCs/>
          <w:color w:val="000000"/>
          <w:sz w:val="24"/>
          <w:szCs w:val="24"/>
        </w:rPr>
        <w:t xml:space="preserve">6.1.2.1 令牌置换流程</w:t>
      </w:r>
      <w:bookmarkEnd w:id="100140"/>
    </w:p>
    <w:p>
      <w:pPr>
        <w:spacing w:after="60" w:line="440" w:lineRule="exact"/>
        <w:ind w:firstLine="480"/>
        <w:jc w:val="both"/>
      </w:pPr>
      <w:r>
        <w:rPr>
          <w:rFonts w:ascii="Times New Roman" w:eastAsia="SimSun"/>
          <w:b w:val="false"/>
          <w:bCs w:val="false"/>
          <w:color w:val="000000"/>
          <w:sz w:val="24"/>
          <w:szCs w:val="24"/>
        </w:rPr>
        <w:t xml:space="preserve">管理后台与维修后台管理系统同域部署。用户已在维修后台登录时，回收后台前端读取维修后台令牌并调用单点登录接口：服务端携带该令牌向维修后台用户信息接口发起服务端对服务端校验（不走前端、不可伪造），主系统校验通过后才认可该凭证，随后为对应用户签发回收后台自己的会话令牌。</w:t>
      </w:r>
    </w:p>
    <w:p>
      <w:pPr>
        <w:pStyle w:val="Heading4"/>
        <w:spacing w:after="80" w:before="200" w:line="312"/>
      </w:pPr>
      <w:bookmarkStart w:id="100141" w:name="_Toc100141"/>
      <w:r>
        <w:rPr>
          <w:rFonts w:ascii="Times New Roman" w:eastAsia="SimHei"/>
          <w:b/>
          <w:bCs/>
          <w:color w:val="000000"/>
          <w:sz w:val="24"/>
          <w:szCs w:val="24"/>
        </w:rPr>
        <w:t xml:space="preserve">6.1.2.2 自动开户</w:t>
      </w:r>
      <w:bookmarkEnd w:id="100141"/>
    </w:p>
    <w:p>
      <w:pPr>
        <w:spacing w:after="60" w:line="440" w:lineRule="exact"/>
        <w:ind w:firstLine="480"/>
        <w:jc w:val="both"/>
      </w:pPr>
      <w:r>
        <w:rPr>
          <w:rFonts w:ascii="Times New Roman" w:eastAsia="SimSun"/>
          <w:b w:val="false"/>
          <w:bCs w:val="false"/>
          <w:color w:val="000000"/>
          <w:sz w:val="24"/>
          <w:szCs w:val="24"/>
        </w:rPr>
        <w:t xml:space="preserve">以维修后台用户名匹配回收账号：账号已存在且启用时直接发放会话；账号不存在时自动开通（默认管理员角色、随机高强度密码，仅可经单点登录进入，无需知晓密码），实现维修后台用户首次进入即用；账号被禁用时拒绝并提示联系超级管理员。单点登录成功同样记录操作日志。</w:t>
      </w:r>
    </w:p>
    <w:p>
      <w:pPr>
        <w:pStyle w:val="Heading3"/>
        <w:spacing w:after="100" w:before="240" w:line="312"/>
      </w:pPr>
      <w:bookmarkStart w:id="100142" w:name="_Toc100142"/>
      <w:r>
        <w:rPr>
          <w:rFonts w:ascii="Times New Roman" w:eastAsia="SimHei"/>
          <w:b/>
          <w:bCs/>
          <w:color w:val="000000"/>
          <w:sz w:val="28"/>
          <w:szCs w:val="28"/>
        </w:rPr>
        <w:t xml:space="preserve">6.1.3 角色权限体系</w:t>
      </w:r>
      <w:bookmarkEnd w:id="100142"/>
    </w:p>
    <w:p>
      <w:pPr>
        <w:pStyle w:val="Heading4"/>
        <w:spacing w:after="80" w:before="200" w:line="312"/>
      </w:pPr>
      <w:bookmarkStart w:id="100143" w:name="_Toc100143"/>
      <w:r>
        <w:rPr>
          <w:rFonts w:ascii="Times New Roman" w:eastAsia="SimHei"/>
          <w:b/>
          <w:bCs/>
          <w:color w:val="000000"/>
          <w:sz w:val="24"/>
          <w:szCs w:val="24"/>
        </w:rPr>
        <w:t xml:space="preserve">6.1.3.1 角色定义</w:t>
      </w:r>
      <w:bookmarkEnd w:id="100143"/>
    </w:p>
    <w:p>
      <w:pPr>
        <w:keepNext/>
        <w:spacing w:after="80" w:before="160" w:line="312"/>
        <w:jc w:val="center"/>
      </w:pPr>
      <w:r>
        <w:rPr>
          <w:rFonts w:ascii="Times New Roman" w:eastAsia="SimSun"/>
          <w:b/>
          <w:bCs/>
          <w:color w:val="000000"/>
          <w:sz w:val="21"/>
          <w:szCs w:val="21"/>
        </w:rPr>
        <w:t xml:space="preserve">表 6-1 后台角色权限矩阵</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gridCol w:w="100"/>
        <w:gridCol w:w="100"/>
        <w:gridCol w:w="100"/>
      </w:tblGrid>
      <w:tr>
        <w:trPr>
          <w:cantSplit/>
          <w:tblHeader/>
        </w:trPr>
        <w:tc>
          <w:tcPr>
            <w:tcW w:type="pct" w:w="24%"/>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角色</w:t>
            </w:r>
          </w:p>
        </w:tc>
        <w:tc>
          <w:tcPr>
            <w:tcW w:type="pct" w:w="18%"/>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查询与导出</w:t>
            </w:r>
          </w:p>
        </w:tc>
        <w:tc>
          <w:tcPr>
            <w:tcW w:type="pct" w:w="18%"/>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业务写操作</w:t>
            </w:r>
          </w:p>
        </w:tc>
        <w:tc>
          <w:tcPr>
            <w:tcW w:type="pct" w:w="16%"/>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管理员管理</w:t>
            </w:r>
          </w:p>
        </w:tc>
        <w:tc>
          <w:tcPr>
            <w:tcW w:type="pct" w:w="24%"/>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说明</w:t>
            </w:r>
          </w:p>
        </w:tc>
      </w:tr>
      <w:tr>
        <w:trPr>
          <w:cantSplit/>
        </w:trPr>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super 超级管理员</w:t>
            </w:r>
          </w:p>
        </w:tc>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允许</w:t>
            </w:r>
          </w:p>
        </w:tc>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允许</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允许</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系统全部权限，含账号管理</w:t>
            </w:r>
          </w:p>
        </w:tc>
      </w:tr>
      <w:tr>
        <w:trPr>
          <w:cantSplit/>
        </w:trPr>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admin 管理员</w:t>
            </w:r>
          </w:p>
        </w:tc>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允许</w:t>
            </w:r>
          </w:p>
        </w:tc>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允许</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拒绝</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全部业务操作权限</w:t>
            </w:r>
          </w:p>
        </w:tc>
      </w:tr>
      <w:tr>
        <w:trPr>
          <w:cantSplit/>
        </w:trPr>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viewer 只读账号</w:t>
            </w:r>
          </w:p>
        </w:tc>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允许</w:t>
            </w:r>
          </w:p>
        </w:tc>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拒绝</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拒绝</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仅查询、查看与导出</w:t>
            </w:r>
          </w:p>
        </w:tc>
      </w:tr>
    </w:tbl>
    <w:p>
      <w:pPr>
        <w:pStyle w:val="Heading4"/>
        <w:spacing w:after="80" w:before="200" w:line="312"/>
      </w:pPr>
      <w:bookmarkStart w:id="100144" w:name="_Toc100144"/>
      <w:r>
        <w:rPr>
          <w:rFonts w:ascii="Times New Roman" w:eastAsia="SimHei"/>
          <w:b/>
          <w:bCs/>
          <w:color w:val="000000"/>
          <w:sz w:val="24"/>
          <w:szCs w:val="24"/>
        </w:rPr>
        <w:t xml:space="preserve">6.1.3.2 服务端实施</w:t>
      </w:r>
      <w:bookmarkEnd w:id="100144"/>
    </w:p>
    <w:p>
      <w:pPr>
        <w:spacing w:after="60" w:line="440" w:lineRule="exact"/>
        <w:ind w:firstLine="480"/>
        <w:jc w:val="both"/>
      </w:pPr>
      <w:r>
        <w:rPr>
          <w:rFonts w:ascii="Times New Roman" w:eastAsia="SimSun"/>
          <w:b w:val="false"/>
          <w:bCs w:val="false"/>
          <w:color w:val="000000"/>
          <w:sz w:val="24"/>
          <w:szCs w:val="24"/>
        </w:rPr>
        <w:t xml:space="preserve">权限在服务端三级中间件实施：认证中间件校验令牌并实时回查账号最新状态与角色（账号禁用即刻生效）；写操作中间件拦截 viewer 角色的一切写请求；超管中间件保护管理员管理接口。即使绕过前端直接调用接口，越权请求也会被服务端拒绝并返回明确错误。</w:t>
      </w:r>
    </w:p>
    <w:p>
      <w:pPr>
        <w:pStyle w:val="Heading4"/>
        <w:spacing w:after="80" w:before="200" w:line="312"/>
      </w:pPr>
      <w:bookmarkStart w:id="100145" w:name="_Toc100145"/>
      <w:r>
        <w:rPr>
          <w:rFonts w:ascii="Times New Roman" w:eastAsia="SimHei"/>
          <w:b/>
          <w:bCs/>
          <w:color w:val="000000"/>
          <w:sz w:val="24"/>
          <w:szCs w:val="24"/>
        </w:rPr>
        <w:t xml:space="preserve">6.1.3.3 前端配合</w:t>
      </w:r>
      <w:bookmarkEnd w:id="100145"/>
    </w:p>
    <w:p>
      <w:pPr>
        <w:spacing w:after="60" w:line="440" w:lineRule="exact"/>
        <w:ind w:firstLine="480"/>
        <w:jc w:val="both"/>
      </w:pPr>
      <w:r>
        <w:rPr>
          <w:rFonts w:ascii="Times New Roman" w:eastAsia="SimSun"/>
          <w:b w:val="false"/>
          <w:bCs w:val="false"/>
          <w:color w:val="000000"/>
          <w:sz w:val="24"/>
          <w:szCs w:val="24"/>
        </w:rPr>
        <w:t xml:space="preserve">前端按角色控制界面呈现：只读账号隐藏或禁用写操作按钮，普通管理员不显示管理员管理入口；个人菜单展示当前角色标签。前端控制仅作为体验优化，安全边界始终在服务端。</w:t>
      </w:r>
    </w:p>
    <w:p>
      <w:pPr>
        <w:pStyle w:val="Heading3"/>
        <w:spacing w:after="100" w:before="240" w:line="312"/>
      </w:pPr>
      <w:bookmarkStart w:id="100146" w:name="_Toc100146"/>
      <w:r>
        <w:rPr>
          <w:rFonts w:ascii="Times New Roman" w:eastAsia="SimHei"/>
          <w:b/>
          <w:bCs/>
          <w:color w:val="000000"/>
          <w:sz w:val="28"/>
          <w:szCs w:val="28"/>
        </w:rPr>
        <w:t xml:space="preserve">6.1.4 修改密码</w:t>
      </w:r>
      <w:bookmarkEnd w:id="100146"/>
    </w:p>
    <w:p>
      <w:pPr>
        <w:spacing w:after="60" w:line="440" w:lineRule="exact"/>
        <w:ind w:firstLine="480"/>
        <w:jc w:val="both"/>
      </w:pPr>
      <w:r>
        <w:rPr>
          <w:rFonts w:ascii="Times New Roman" w:eastAsia="SimSun"/>
          <w:b w:val="false"/>
          <w:bCs w:val="false"/>
          <w:color w:val="000000"/>
          <w:sz w:val="24"/>
          <w:szCs w:val="24"/>
        </w:rPr>
        <w:t xml:space="preserve">任意管理员可在右上角个人菜单发起密码修改：需验证原密码，新密码不少于六位且需二次确认输入，修改成功后记录操作日志。密码修改即时生效，下次登录使用新密码。</w:t>
      </w:r>
    </w:p>
    <w:p>
      <w:pPr>
        <w:pStyle w:val="Heading2"/>
        <w:spacing w:after="140" w:before="300" w:line="312"/>
      </w:pPr>
      <w:bookmarkStart w:id="100147" w:name="_Toc100147"/>
      <w:r>
        <w:rPr>
          <w:rFonts w:ascii="Times New Roman" w:eastAsia="SimHei"/>
          <w:b/>
          <w:bCs/>
          <w:color w:val="000000"/>
          <w:sz w:val="30"/>
          <w:szCs w:val="30"/>
        </w:rPr>
        <w:t xml:space="preserve">6.2 数据看板</w:t>
      </w:r>
      <w:bookmarkEnd w:id="100147"/>
    </w:p>
    <w:p>
      <w:pPr>
        <w:spacing w:after="60" w:line="440" w:lineRule="exact"/>
        <w:ind w:firstLine="480"/>
        <w:jc w:val="both"/>
      </w:pPr>
      <w:r>
        <w:rPr>
          <w:rFonts w:ascii="Times New Roman" w:eastAsia="SimSun"/>
          <w:b w:val="false"/>
          <w:bCs w:val="false"/>
          <w:color w:val="000000"/>
          <w:sz w:val="24"/>
          <w:szCs w:val="24"/>
        </w:rPr>
        <w:t xml:space="preserve">数据看板为后台默认首页，面向运营人员的日常经营监控场景，自上而下分为环保贡献区、经营指标卡区、图表区与最新订单区四个部分，全部数据由统计概览接口一次返回，页面加载时整页loading、加载完成后各区块同时呈现。</w:t>
      </w:r>
    </w:p>
    <w:p>
      <w:pPr>
        <w:pStyle w:val="Heading3"/>
        <w:spacing w:after="100" w:before="240" w:line="312"/>
      </w:pPr>
      <w:bookmarkStart w:id="100148" w:name="_Toc100148"/>
      <w:r>
        <w:rPr>
          <w:rFonts w:ascii="Times New Roman" w:eastAsia="SimHei"/>
          <w:b/>
          <w:bCs/>
          <w:color w:val="000000"/>
          <w:sz w:val="28"/>
          <w:szCs w:val="28"/>
        </w:rPr>
        <w:t xml:space="preserve">6.2.1 环保贡献区</w:t>
      </w:r>
      <w:bookmarkEnd w:id="100148"/>
    </w:p>
    <w:p>
      <w:pPr>
        <w:pStyle w:val="Heading4"/>
        <w:spacing w:after="80" w:before="200" w:line="312"/>
      </w:pPr>
      <w:bookmarkStart w:id="100149" w:name="_Toc100149"/>
      <w:r>
        <w:rPr>
          <w:rFonts w:ascii="Times New Roman" w:eastAsia="SimHei"/>
          <w:b/>
          <w:bCs/>
          <w:color w:val="000000"/>
          <w:sz w:val="24"/>
          <w:szCs w:val="24"/>
        </w:rPr>
        <w:t xml:space="preserve">6.2.1.1 指标定义</w:t>
      </w:r>
      <w:bookmarkEnd w:id="100149"/>
    </w:p>
    <w:p>
      <w:pPr>
        <w:spacing w:after="60" w:line="440" w:lineRule="exact"/>
        <w:ind w:firstLine="480"/>
        <w:jc w:val="both"/>
      </w:pPr>
      <w:r>
        <w:rPr>
          <w:rFonts w:ascii="Times New Roman" w:eastAsia="SimSun"/>
          <w:b w:val="false"/>
          <w:bCs w:val="false"/>
          <w:color w:val="000000"/>
          <w:sz w:val="24"/>
          <w:szCs w:val="24"/>
        </w:rPr>
        <w:t xml:space="preserve">环保贡献区以四张主题卡片横排展示绿色回收成效：累计回收设备（台）、减少碳排放（kg CO2e）、等效一年植树量（棵）与节省电能（kWh）。每张卡片含主题图标、大数字与辅助说明文案（如减碳卡片附「相当于少开车绕城 N 公里」的生活化换算），将抽象环保数据转译为可感知的表达。</w:t>
      </w:r>
    </w:p>
    <w:p>
      <w:pPr>
        <w:pStyle w:val="Heading4"/>
        <w:spacing w:after="80" w:before="200" w:line="312"/>
      </w:pPr>
      <w:bookmarkStart w:id="100150" w:name="_Toc100150"/>
      <w:r>
        <w:rPr>
          <w:rFonts w:ascii="Times New Roman" w:eastAsia="SimHei"/>
          <w:b/>
          <w:bCs/>
          <w:color w:val="000000"/>
          <w:sz w:val="24"/>
          <w:szCs w:val="24"/>
        </w:rPr>
        <w:t xml:space="preserve">6.2.1.2 换算模型</w:t>
      </w:r>
      <w:bookmarkEnd w:id="100150"/>
    </w:p>
    <w:p>
      <w:pPr>
        <w:spacing w:after="60" w:line="440" w:lineRule="exact"/>
        <w:ind w:firstLine="480"/>
        <w:jc w:val="both"/>
      </w:pPr>
      <w:r>
        <w:rPr>
          <w:rFonts w:ascii="Times New Roman" w:eastAsia="SimSun"/>
          <w:b w:val="false"/>
          <w:bCs w:val="false"/>
          <w:color w:val="000000"/>
          <w:sz w:val="24"/>
          <w:szCs w:val="24"/>
        </w:rPr>
        <w:t xml:space="preserve">环保指标以累计回收完成台数为唯一基数，按系统设置中的三个行业换算系数折算：每台设备减少碳排放默认 25kg CO2e、一棵树年吸收二氧化碳默认 18kg、每台设备节省电能默认 8.7kWh。等效植树量 = 完成台数 × 单台减碳量 ÷ 单树年吸碳量。系数可在系统设置中按企业实际口径调整，看板与大屏同步生效。</w:t>
      </w:r>
    </w:p>
    <w:p>
      <w:pPr>
        <w:pStyle w:val="Heading4"/>
        <w:spacing w:after="80" w:before="200" w:line="312"/>
      </w:pPr>
      <w:bookmarkStart w:id="100151" w:name="_Toc100151"/>
      <w:r>
        <w:rPr>
          <w:rFonts w:ascii="Times New Roman" w:eastAsia="SimHei"/>
          <w:b/>
          <w:bCs/>
          <w:color w:val="000000"/>
          <w:sz w:val="24"/>
          <w:szCs w:val="24"/>
        </w:rPr>
        <w:t xml:space="preserve">6.2.1.3 数字滚动动效</w:t>
      </w:r>
      <w:bookmarkEnd w:id="100151"/>
    </w:p>
    <w:p>
      <w:pPr>
        <w:spacing w:after="60" w:line="440" w:lineRule="exact"/>
        <w:ind w:firstLine="480"/>
        <w:jc w:val="both"/>
      </w:pPr>
      <w:r>
        <w:rPr>
          <w:rFonts w:ascii="Times New Roman" w:eastAsia="SimSun"/>
          <w:b w:val="false"/>
          <w:bCs w:val="false"/>
          <w:color w:val="000000"/>
          <w:sz w:val="24"/>
          <w:szCs w:val="24"/>
        </w:rPr>
        <w:t xml:space="preserve">四项环保数字采用零依赖的数字滚动动画呈现：接口返回后数值在约 1.2 秒内从零平滑滚动至目标值（带小数位的指标保留一位小数），强化数据「实时生长」的观感，同时避免大数字突变造成的阅读跳跃。</w:t>
      </w:r>
    </w:p>
    <w:p>
      <w:pPr>
        <w:pStyle w:val="Heading3"/>
        <w:spacing w:after="100" w:before="240" w:line="312"/>
      </w:pPr>
      <w:bookmarkStart w:id="100152" w:name="_Toc100152"/>
      <w:r>
        <w:rPr>
          <w:rFonts w:ascii="Times New Roman" w:eastAsia="SimHei"/>
          <w:b/>
          <w:bCs/>
          <w:color w:val="000000"/>
          <w:sz w:val="28"/>
          <w:szCs w:val="28"/>
        </w:rPr>
        <w:t xml:space="preserve">6.2.2 经营指标卡区</w:t>
      </w:r>
      <w:bookmarkEnd w:id="100152"/>
    </w:p>
    <w:p>
      <w:pPr>
        <w:pStyle w:val="Heading4"/>
        <w:spacing w:after="80" w:before="200" w:line="312"/>
      </w:pPr>
      <w:bookmarkStart w:id="100153" w:name="_Toc100153"/>
      <w:r>
        <w:rPr>
          <w:rFonts w:ascii="Times New Roman" w:eastAsia="SimHei"/>
          <w:b/>
          <w:bCs/>
          <w:color w:val="000000"/>
          <w:sz w:val="24"/>
          <w:szCs w:val="24"/>
        </w:rPr>
        <w:t xml:space="preserve">6.2.2.1 指标清单</w:t>
      </w:r>
      <w:bookmarkEnd w:id="100153"/>
    </w:p>
    <w:p>
      <w:pPr>
        <w:keepNext/>
        <w:spacing w:after="80" w:before="160" w:line="312"/>
        <w:jc w:val="center"/>
      </w:pPr>
      <w:r>
        <w:rPr>
          <w:rFonts w:ascii="Times New Roman" w:eastAsia="SimSun"/>
          <w:b/>
          <w:bCs/>
          <w:color w:val="000000"/>
          <w:sz w:val="21"/>
          <w:szCs w:val="21"/>
        </w:rPr>
        <w:t xml:space="preserve">表 6-2 数据看板经营指标</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tblGrid>
      <w:tr>
        <w:trPr>
          <w:cantSplit/>
          <w:tblHeader/>
        </w:trPr>
        <w:tc>
          <w:tcPr>
            <w:tcW w:type="pct" w:w="28%"/>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指标</w:t>
            </w:r>
          </w:p>
        </w:tc>
        <w:tc>
          <w:tcPr>
            <w:tcW w:type="pct" w:w="72%"/>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口径说明</w:t>
            </w:r>
          </w:p>
        </w:tc>
      </w:tr>
      <w:tr>
        <w:trPr>
          <w:cantSplit/>
        </w:trPr>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回收订单总量</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全部回收订单累计数量</w:t>
            </w:r>
          </w:p>
        </w:tc>
      </w:tr>
      <w:tr>
        <w:trPr>
          <w:cantSplit/>
        </w:trPr>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待确认订单</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当前处于待确认状态、需要运营跟进的订单数</w:t>
            </w:r>
          </w:p>
        </w:tc>
      </w:tr>
      <w:tr>
        <w:trPr>
          <w:cantSplit/>
        </w:trPr>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本月订单数</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自然月内创建的回收订单数量</w:t>
            </w:r>
          </w:p>
        </w:tc>
      </w:tr>
      <w:tr>
        <w:trPr>
          <w:cantSplit/>
        </w:trPr>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累计回收成交额</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已完成订单的成交价合计（元）</w:t>
            </w:r>
          </w:p>
        </w:tc>
      </w:tr>
      <w:tr>
        <w:trPr>
          <w:cantSplit/>
        </w:trPr>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在售配价机型</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配价库中处于上架状态的型号数量</w:t>
            </w:r>
          </w:p>
        </w:tc>
      </w:tr>
      <w:tr>
        <w:trPr>
          <w:cantSplit/>
        </w:trPr>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平台/链接跳转次数</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回收平台与采购链接的累计跳转点击总量</w:t>
            </w:r>
          </w:p>
        </w:tc>
      </w:tr>
    </w:tbl>
    <w:p>
      <w:pPr>
        <w:pStyle w:val="Heading4"/>
        <w:spacing w:after="80" w:before="200" w:line="312"/>
      </w:pPr>
      <w:bookmarkStart w:id="100154" w:name="_Toc100154"/>
      <w:r>
        <w:rPr>
          <w:rFonts w:ascii="Times New Roman" w:eastAsia="SimHei"/>
          <w:b/>
          <w:bCs/>
          <w:color w:val="000000"/>
          <w:sz w:val="24"/>
          <w:szCs w:val="24"/>
        </w:rPr>
        <w:t xml:space="preserve">6.2.2.2 指标联动说明</w:t>
      </w:r>
      <w:bookmarkEnd w:id="100154"/>
    </w:p>
    <w:p>
      <w:pPr>
        <w:spacing w:after="60" w:line="440" w:lineRule="exact"/>
        <w:ind w:firstLine="480"/>
        <w:jc w:val="both"/>
      </w:pPr>
      <w:r>
        <w:rPr>
          <w:rFonts w:ascii="Times New Roman" w:eastAsia="SimSun"/>
          <w:b w:val="false"/>
          <w:bCs w:val="false"/>
          <w:color w:val="000000"/>
          <w:sz w:val="24"/>
          <w:szCs w:val="24"/>
        </w:rPr>
        <w:t xml:space="preserve">待确认订单指标直接对应订单管理的处理队列，点击最新订单表格任一行可直达订单列表并自动打开该订单详情；成交额指标与订单筛选结果的成交额汇总口径一致，看板与明细数据同源，避免两套口径造成的管理困扰。</w:t>
      </w:r>
    </w:p>
    <w:p>
      <w:pPr>
        <w:pStyle w:val="Heading3"/>
        <w:spacing w:after="100" w:before="240" w:line="312"/>
      </w:pPr>
      <w:bookmarkStart w:id="100155" w:name="_Toc100155"/>
      <w:r>
        <w:rPr>
          <w:rFonts w:ascii="Times New Roman" w:eastAsia="SimHei"/>
          <w:b/>
          <w:bCs/>
          <w:color w:val="000000"/>
          <w:sz w:val="28"/>
          <w:szCs w:val="28"/>
        </w:rPr>
        <w:t xml:space="preserve">6.2.3 订单趋势图</w:t>
      </w:r>
      <w:bookmarkEnd w:id="100155"/>
    </w:p>
    <w:p>
      <w:pPr>
        <w:spacing w:after="60" w:line="440" w:lineRule="exact"/>
        <w:ind w:firstLine="480"/>
        <w:jc w:val="both"/>
      </w:pPr>
      <w:r>
        <w:rPr>
          <w:rFonts w:ascii="Times New Roman" w:eastAsia="SimSun"/>
          <w:b w:val="false"/>
          <w:bCs w:val="false"/>
          <w:color w:val="000000"/>
          <w:sz w:val="24"/>
          <w:szCs w:val="24"/>
        </w:rPr>
        <w:t xml:space="preserve">图表区左侧为近三十天回收订单趋势折线图：横轴按日展示，双纵轴分别绘制每日订单量与每日已完成订单成交额。趋势图帮助运营识别获客波动与回收旺季，例如新机型发布后的旧机回收高峰、节假日促销带来的订单增长等。</w:t>
      </w:r>
    </w:p>
    <w:p>
      <w:pPr>
        <w:spacing w:after="60" w:line="440" w:lineRule="exact"/>
        <w:ind w:firstLine="480"/>
        <w:jc w:val="both"/>
      </w:pPr>
      <w:r>
        <w:rPr>
          <w:rFonts w:ascii="Times New Roman" w:eastAsia="SimSun"/>
          <w:b w:val="false"/>
          <w:bCs w:val="false"/>
          <w:color w:val="000000"/>
          <w:sz w:val="24"/>
          <w:szCs w:val="24"/>
        </w:rPr>
        <w:t xml:space="preserve">趋势数据由统计接口按日分组聚合一次性生成：仅统计回收类型订单，订单量按创建时间计数，成交额仅累加已完成订单，与列表汇总口径一致；连续日期缺口在图表中自然呈现为零值点，便于识别空档期。</w:t>
      </w:r>
    </w:p>
    <w:p>
      <w:pPr>
        <w:pStyle w:val="Heading3"/>
        <w:spacing w:after="100" w:before="240" w:line="312"/>
      </w:pPr>
      <w:bookmarkStart w:id="100156" w:name="_Toc100156"/>
      <w:r>
        <w:rPr>
          <w:rFonts w:ascii="Times New Roman" w:eastAsia="SimHei"/>
          <w:b/>
          <w:bCs/>
          <w:color w:val="000000"/>
          <w:sz w:val="28"/>
          <w:szCs w:val="28"/>
        </w:rPr>
        <w:t xml:space="preserve">6.2.4 设备类型分布</w:t>
      </w:r>
      <w:bookmarkEnd w:id="100156"/>
    </w:p>
    <w:p>
      <w:pPr>
        <w:spacing w:after="60" w:line="440" w:lineRule="exact"/>
        <w:ind w:firstLine="480"/>
        <w:jc w:val="both"/>
      </w:pPr>
      <w:r>
        <w:rPr>
          <w:rFonts w:ascii="Times New Roman" w:eastAsia="SimSun"/>
          <w:b w:val="false"/>
          <w:bCs w:val="false"/>
          <w:color w:val="000000"/>
          <w:sz w:val="24"/>
          <w:szCs w:val="24"/>
        </w:rPr>
        <w:t xml:space="preserve">图表区右侧为近一百八十天设备类型分布饼图：订单中的设备类型编号映射为可读名称（手机、电脑、平板、手表/穿戴、耳机音频、相机、游戏机、无人机、其他等），按订单量占比呈现。分布数据用于指导配价库建设重点与回收渠道选型，例如手机类占比高则优先维护手机配价的时效性。</w:t>
      </w:r>
    </w:p>
    <w:p>
      <w:pPr>
        <w:spacing w:after="60" w:line="440" w:lineRule="exact"/>
        <w:ind w:firstLine="480"/>
        <w:jc w:val="both"/>
      </w:pPr>
      <w:r>
        <w:rPr>
          <w:rFonts w:ascii="Times New Roman" w:eastAsia="SimSun"/>
          <w:b w:val="false"/>
          <w:bCs w:val="false"/>
          <w:color w:val="000000"/>
          <w:sz w:val="24"/>
          <w:szCs w:val="24"/>
        </w:rPr>
        <w:t xml:space="preserve">类型映射在服务端完成：编号与名称的对照表内置于统计接口，未识别的编号统一归入「其他」类，保证饼图各扇区语义明确、不出现裸编号。</w:t>
      </w:r>
    </w:p>
    <w:p>
      <w:pPr>
        <w:pStyle w:val="Heading3"/>
        <w:spacing w:after="100" w:before="240" w:line="312"/>
      </w:pPr>
      <w:bookmarkStart w:id="100157" w:name="_Toc100157"/>
      <w:r>
        <w:rPr>
          <w:rFonts w:ascii="Times New Roman" w:eastAsia="SimHei"/>
          <w:b/>
          <w:bCs/>
          <w:color w:val="000000"/>
          <w:sz w:val="28"/>
          <w:szCs w:val="28"/>
        </w:rPr>
        <w:t xml:space="preserve">6.2.5 最新订单与配价概况</w:t>
      </w:r>
      <w:bookmarkEnd w:id="100157"/>
    </w:p>
    <w:p>
      <w:pPr>
        <w:spacing w:after="60" w:line="440" w:lineRule="exact"/>
        <w:ind w:firstLine="480"/>
        <w:jc w:val="both"/>
      </w:pPr>
      <w:r>
        <w:rPr>
          <w:rFonts w:ascii="Times New Roman" w:eastAsia="SimSun"/>
          <w:b w:val="false"/>
          <w:bCs w:val="false"/>
          <w:color w:val="000000"/>
          <w:sz w:val="24"/>
          <w:szCs w:val="24"/>
        </w:rPr>
        <w:t xml:space="preserve">看板下部为最新回收订单表格，列出最近八笔订单的订单号、设备型号、状态、预估价、成交价与创建时间，点击行直达订单处理；同期统计接口还返回配价库概况（上架分类数、机型数、平台数、链接数）与近三十天跳转点击趋势，作为运营巡检的辅助信息。</w:t>
      </w:r>
    </w:p>
    <w:p>
      <w:pPr>
        <w:pStyle w:val="Heading3"/>
        <w:spacing w:after="100" w:before="240" w:line="312"/>
      </w:pPr>
      <w:bookmarkStart w:id="100158" w:name="_Toc100158"/>
      <w:r>
        <w:rPr>
          <w:rFonts w:ascii="Times New Roman" w:eastAsia="SimHei"/>
          <w:b/>
          <w:bCs/>
          <w:color w:val="000000"/>
          <w:sz w:val="28"/>
          <w:szCs w:val="28"/>
        </w:rPr>
        <w:t xml:space="preserve">6.2.6 数据组织与刷新</w:t>
      </w:r>
      <w:bookmarkEnd w:id="100158"/>
    </w:p>
    <w:p>
      <w:pPr>
        <w:spacing w:after="60" w:line="440" w:lineRule="exact"/>
        <w:ind w:firstLine="480"/>
        <w:jc w:val="both"/>
      </w:pPr>
      <w:r>
        <w:rPr>
          <w:rFonts w:ascii="Times New Roman" w:eastAsia="SimSun"/>
          <w:b w:val="false"/>
          <w:bCs w:val="false"/>
          <w:color w:val="000000"/>
          <w:sz w:val="24"/>
          <w:szCs w:val="24"/>
        </w:rPr>
        <w:t xml:space="preserve">看板全部指标、图表与列表数据由单一统计接口聚合返回，避免多次请求的加载时序问题；页面进入时整体加载并显示加载态。订单与配价数据变化后，重新进入看板即刷新，保证运营看到的经营快照始终基于最新数据。</w:t>
      </w:r>
    </w:p>
    <w:p>
      <w:pPr>
        <w:pBdr>
          <w:top w:val="dashed" w:color="999999" w:sz="4" w:space="10"/>
          <w:bottom w:val="dashed" w:color="999999" w:sz="4" w:space="10"/>
          <w:left w:val="dashed" w:color="999999" w:sz="4" w:space="30"/>
          <w:right w:val="dashed" w:color="999999"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000000"/>
          <w:sz w:val="21"/>
          <w:szCs w:val="21"/>
        </w:rPr>
        <w:t xml:space="preserve">图 6-2 数据看板（可插入截图）</w:t>
      </w:r>
    </w:p>
    <w:p>
      <w:pPr>
        <w:pStyle w:val="Heading2"/>
        <w:spacing w:after="140" w:before="300" w:line="312"/>
      </w:pPr>
      <w:bookmarkStart w:id="100159" w:name="_Toc100159"/>
      <w:r>
        <w:rPr>
          <w:rFonts w:ascii="Times New Roman" w:eastAsia="SimHei"/>
          <w:b/>
          <w:bCs/>
          <w:color w:val="000000"/>
          <w:sz w:val="30"/>
          <w:szCs w:val="30"/>
        </w:rPr>
        <w:t xml:space="preserve">6.3 数据大屏</w:t>
      </w:r>
      <w:bookmarkEnd w:id="100159"/>
    </w:p>
    <w:p>
      <w:pPr>
        <w:spacing w:after="60" w:line="440" w:lineRule="exact"/>
        <w:ind w:firstLine="480"/>
        <w:jc w:val="both"/>
      </w:pPr>
      <w:r>
        <w:rPr>
          <w:rFonts w:ascii="Times New Roman" w:eastAsia="SimSun"/>
          <w:b w:val="false"/>
          <w:bCs w:val="false"/>
          <w:color w:val="000000"/>
          <w:sz w:val="24"/>
          <w:szCs w:val="24"/>
        </w:rPr>
        <w:t xml:space="preserve">数据大屏面向展厅、门店大电视等公开展示场景，与看板共用统计接口但采用完全独立的深色视觉体系，支持全屏投放与自动轮播刷新。</w:t>
      </w:r>
    </w:p>
    <w:p>
      <w:pPr>
        <w:pStyle w:val="Heading3"/>
        <w:spacing w:after="100" w:before="240" w:line="312"/>
      </w:pPr>
      <w:bookmarkStart w:id="100160" w:name="_Toc100160"/>
      <w:r>
        <w:rPr>
          <w:rFonts w:ascii="Times New Roman" w:eastAsia="SimHei"/>
          <w:b/>
          <w:bCs/>
          <w:color w:val="000000"/>
          <w:sz w:val="28"/>
          <w:szCs w:val="28"/>
        </w:rPr>
        <w:t xml:space="preserve">6.3.1 布局与视觉设计</w:t>
      </w:r>
      <w:bookmarkEnd w:id="100160"/>
    </w:p>
    <w:p>
      <w:pPr>
        <w:spacing w:after="60" w:line="440" w:lineRule="exact"/>
        <w:ind w:firstLine="480"/>
        <w:jc w:val="both"/>
      </w:pPr>
      <w:r>
        <w:rPr>
          <w:rFonts w:ascii="Times New Roman" w:eastAsia="SimSun"/>
          <w:b w:val="false"/>
          <w:bCs w:val="false"/>
          <w:color w:val="000000"/>
          <w:sz w:val="24"/>
          <w:szCs w:val="24"/>
        </w:rPr>
        <w:t xml:space="preserve">大屏采用深色科技风底色，叠加网格背景与两组彩色光晕装饰，顶部标题栏下方设扫描线动效，营造数据监控氛围。整体版面自上而下依次为标题栏、KPI 数字带、近三十天回收趋势面板、设备类型分布与热门机型双栏面板、绿色环保贡献面板；内容超出一屏时支持滚动浏览，各面板边框采用统一的面板样式语言。</w:t>
      </w:r>
    </w:p>
    <w:p>
      <w:pPr>
        <w:pStyle w:val="Heading3"/>
        <w:spacing w:after="100" w:before="240" w:line="312"/>
      </w:pPr>
      <w:bookmarkStart w:id="100161" w:name="_Toc100161"/>
      <w:r>
        <w:rPr>
          <w:rFonts w:ascii="Times New Roman" w:eastAsia="SimHei"/>
          <w:b/>
          <w:bCs/>
          <w:color w:val="000000"/>
          <w:sz w:val="28"/>
          <w:szCs w:val="28"/>
        </w:rPr>
        <w:t xml:space="preserve">6.3.2 顶部标题栏与时钟</w:t>
      </w:r>
      <w:bookmarkEnd w:id="100161"/>
    </w:p>
    <w:p>
      <w:pPr>
        <w:spacing w:after="60" w:line="440" w:lineRule="exact"/>
        <w:ind w:firstLine="480"/>
        <w:jc w:val="both"/>
      </w:pPr>
      <w:r>
        <w:rPr>
          <w:rFonts w:ascii="Times New Roman" w:eastAsia="SimSun"/>
          <w:b w:val="false"/>
          <w:bCs w:val="false"/>
          <w:color w:val="000000"/>
          <w:sz w:val="24"/>
          <w:szCs w:val="24"/>
        </w:rPr>
        <w:t xml:space="preserve">标题栏居中展示「电子产品回收综合服务平台 · 数据大屏」主标题与装饰圆点，左侧展示带呼吸圆点的「实时监控」状态标签，右侧展示实时时钟（时间、日期与星期）与全屏控制按钮。时钟逐秒刷新，为展厅场景提供常显时间信息。</w:t>
      </w:r>
    </w:p>
    <w:p>
      <w:pPr>
        <w:pStyle w:val="Heading3"/>
        <w:spacing w:after="100" w:before="240" w:line="312"/>
      </w:pPr>
      <w:bookmarkStart w:id="100162" w:name="_Toc100162"/>
      <w:r>
        <w:rPr>
          <w:rFonts w:ascii="Times New Roman" w:eastAsia="SimHei"/>
          <w:b/>
          <w:bCs/>
          <w:color w:val="000000"/>
          <w:sz w:val="28"/>
          <w:szCs w:val="28"/>
        </w:rPr>
        <w:t xml:space="preserve">6.3.3 KPI 数字带</w:t>
      </w:r>
      <w:bookmarkEnd w:id="100162"/>
    </w:p>
    <w:p>
      <w:pPr>
        <w:spacing w:after="60" w:line="440" w:lineRule="exact"/>
        <w:ind w:firstLine="480"/>
        <w:jc w:val="both"/>
      </w:pPr>
      <w:r>
        <w:rPr>
          <w:rFonts w:ascii="Times New Roman" w:eastAsia="SimSun"/>
          <w:b w:val="false"/>
          <w:bCs w:val="false"/>
          <w:color w:val="000000"/>
          <w:sz w:val="24"/>
          <w:szCs w:val="24"/>
        </w:rPr>
        <w:t xml:space="preserve">KPI 数字带以图标卡形式横排展示核心经营指标（订单总量、待确认、本月订单、成交额、机型数、跳转量等），每卡含彩色主题图标、大号数字与指标名称，数字采用与看板一致的滚动动效，加载完成后依次呈现，适合远距离观看。</w:t>
      </w:r>
    </w:p>
    <w:p>
      <w:pPr>
        <w:pStyle w:val="Heading3"/>
        <w:spacing w:after="100" w:before="240" w:line="312"/>
      </w:pPr>
      <w:bookmarkStart w:id="100163" w:name="_Toc100163"/>
      <w:r>
        <w:rPr>
          <w:rFonts w:ascii="Times New Roman" w:eastAsia="SimHei"/>
          <w:b/>
          <w:bCs/>
          <w:color w:val="000000"/>
          <w:sz w:val="28"/>
          <w:szCs w:val="28"/>
        </w:rPr>
        <w:t xml:space="preserve">6.3.4 趋势与排行面板</w:t>
      </w:r>
      <w:bookmarkEnd w:id="100163"/>
    </w:p>
    <w:p>
      <w:pPr>
        <w:spacing w:after="60" w:line="440" w:lineRule="exact"/>
        <w:ind w:firstLine="480"/>
        <w:jc w:val="both"/>
      </w:pPr>
      <w:r>
        <w:rPr>
          <w:rFonts w:ascii="Times New Roman" w:eastAsia="SimSun"/>
          <w:b w:val="false"/>
          <w:bCs w:val="false"/>
          <w:color w:val="000000"/>
          <w:sz w:val="24"/>
          <w:szCs w:val="24"/>
        </w:rPr>
        <w:t xml:space="preserve">趋势面板以面积折线图展示近三十天回收订单量与成交额走势；双栏面板左侧为设备类型分布玫瑰图（近一百八十天），右侧为热门回收机型 TOP6 条形排行。三个图表共用 ECharts 渲染，配色与深色主题统一，直观呈现业务结构与热点机型。</w:t>
      </w:r>
    </w:p>
    <w:p>
      <w:pPr>
        <w:pStyle w:val="Heading3"/>
        <w:spacing w:after="100" w:before="240" w:line="312"/>
      </w:pPr>
      <w:bookmarkStart w:id="100164" w:name="_Toc100164"/>
      <w:r>
        <w:rPr>
          <w:rFonts w:ascii="Times New Roman" w:eastAsia="SimHei"/>
          <w:b/>
          <w:bCs/>
          <w:color w:val="000000"/>
          <w:sz w:val="28"/>
          <w:szCs w:val="28"/>
        </w:rPr>
        <w:t xml:space="preserve">6.3.5 绿色环保贡献面板</w:t>
      </w:r>
      <w:bookmarkEnd w:id="100164"/>
    </w:p>
    <w:p>
      <w:pPr>
        <w:spacing w:after="60" w:line="440" w:lineRule="exact"/>
        <w:ind w:firstLine="480"/>
        <w:jc w:val="both"/>
      </w:pPr>
      <w:r>
        <w:rPr>
          <w:rFonts w:ascii="Times New Roman" w:eastAsia="SimSun"/>
          <w:b w:val="false"/>
          <w:bCs w:val="false"/>
          <w:color w:val="000000"/>
          <w:sz w:val="24"/>
          <w:szCs w:val="24"/>
        </w:rPr>
        <w:t xml:space="preserve">环保面板将看板同源的环保折算数据以四行图标列表呈现：回收设备台数（台设备重获新生）、减碳量（kg 减碳排放）、等效植树（棵）与节省电能（kWh），每行配语义图标与副文案。环保数据置于大屏底部压轴，契合绿色回收的品牌主张。</w:t>
      </w:r>
    </w:p>
    <w:p>
      <w:pPr>
        <w:pStyle w:val="Heading3"/>
        <w:spacing w:after="100" w:before="240" w:line="312"/>
      </w:pPr>
      <w:bookmarkStart w:id="100165" w:name="_Toc100165"/>
      <w:r>
        <w:rPr>
          <w:rFonts w:ascii="Times New Roman" w:eastAsia="SimHei"/>
          <w:b/>
          <w:bCs/>
          <w:color w:val="000000"/>
          <w:sz w:val="28"/>
          <w:szCs w:val="28"/>
        </w:rPr>
        <w:t xml:space="preserve">6.3.6 全屏与投放</w:t>
      </w:r>
      <w:bookmarkEnd w:id="100165"/>
    </w:p>
    <w:p>
      <w:pPr>
        <w:spacing w:after="60" w:line="440" w:lineRule="exact"/>
        <w:ind w:firstLine="480"/>
        <w:jc w:val="both"/>
      </w:pPr>
      <w:r>
        <w:rPr>
          <w:rFonts w:ascii="Times New Roman" w:eastAsia="SimSun"/>
          <w:b w:val="false"/>
          <w:bCs w:val="false"/>
          <w:color w:val="000000"/>
          <w:sz w:val="24"/>
          <w:szCs w:val="24"/>
        </w:rPr>
        <w:t xml:space="preserve">大屏右上角提供一键全屏按钮，适配 1080P 及以上大屏投放；页面支持浏览器原生全屏协议，退出全屏即回到普通页面模式。大屏可长时间挂机运行，数据随刷新周期更新。</w:t>
      </w:r>
    </w:p>
    <w:p>
      <w:pPr>
        <w:pBdr>
          <w:top w:val="dashed" w:color="999999" w:sz="4" w:space="10"/>
          <w:bottom w:val="dashed" w:color="999999" w:sz="4" w:space="10"/>
          <w:left w:val="dashed" w:color="999999" w:sz="4" w:space="30"/>
          <w:right w:val="dashed" w:color="999999"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000000"/>
          <w:sz w:val="21"/>
          <w:szCs w:val="21"/>
        </w:rPr>
        <w:t xml:space="preserve">图 6-3 数据大屏（可插入截图）</w:t>
      </w:r>
    </w:p>
    <w:p>
      <w:pPr>
        <w:pStyle w:val="Heading2"/>
        <w:spacing w:after="140" w:before="300" w:line="312"/>
      </w:pPr>
      <w:bookmarkStart w:id="100166" w:name="_Toc100166"/>
      <w:r>
        <w:rPr>
          <w:rFonts w:ascii="Times New Roman" w:eastAsia="SimHei"/>
          <w:b/>
          <w:bCs/>
          <w:color w:val="000000"/>
          <w:sz w:val="30"/>
          <w:szCs w:val="30"/>
        </w:rPr>
        <w:t xml:space="preserve">6.4 回收订单管理</w:t>
      </w:r>
      <w:bookmarkEnd w:id="100166"/>
    </w:p>
    <w:p>
      <w:pPr>
        <w:pStyle w:val="Heading3"/>
        <w:spacing w:after="100" w:before="240" w:line="312"/>
      </w:pPr>
      <w:bookmarkStart w:id="100167" w:name="_Toc100167"/>
      <w:r>
        <w:rPr>
          <w:rFonts w:ascii="Times New Roman" w:eastAsia="SimHei"/>
          <w:b/>
          <w:bCs/>
          <w:color w:val="000000"/>
          <w:sz w:val="28"/>
          <w:szCs w:val="28"/>
        </w:rPr>
        <w:t xml:space="preserve">6.4.1 订单列表与筛选</w:t>
      </w:r>
      <w:bookmarkEnd w:id="100167"/>
    </w:p>
    <w:p>
      <w:pPr>
        <w:pStyle w:val="Heading4"/>
        <w:spacing w:after="80" w:before="200" w:line="312"/>
      </w:pPr>
      <w:bookmarkStart w:id="100168" w:name="_Toc100168"/>
      <w:r>
        <w:rPr>
          <w:rFonts w:ascii="Times New Roman" w:eastAsia="SimHei"/>
          <w:b/>
          <w:bCs/>
          <w:color w:val="000000"/>
          <w:sz w:val="24"/>
          <w:szCs w:val="24"/>
        </w:rPr>
        <w:t xml:space="preserve">6.4.1.1 筛选条件</w:t>
      </w:r>
      <w:bookmarkEnd w:id="100168"/>
    </w:p>
    <w:p>
      <w:pPr>
        <w:spacing w:after="60" w:line="440" w:lineRule="exact"/>
        <w:ind w:firstLine="480"/>
        <w:jc w:val="both"/>
      </w:pPr>
      <w:r>
        <w:rPr>
          <w:rFonts w:ascii="Times New Roman" w:eastAsia="SimSun"/>
          <w:b w:val="false"/>
          <w:bCs w:val="false"/>
          <w:color w:val="000000"/>
          <w:sz w:val="24"/>
          <w:szCs w:val="24"/>
        </w:rPr>
        <w:t xml:space="preserve">列表顶部提供四类筛选条件的自由组合：关键词（同时匹配订单号、设备型号、用户昵称、真实姓名与手机号）、订单状态（待确认/已报价/已确认/处理中/已完成/待评价/已取消）、设备成色（优+/优/良/中/差/全新）与创建日期区间（起止日期）。筛选条件变更后即时刷新列表。</w:t>
      </w:r>
    </w:p>
    <w:p>
      <w:pPr>
        <w:pStyle w:val="Heading4"/>
        <w:spacing w:after="80" w:before="200" w:line="312"/>
      </w:pPr>
      <w:bookmarkStart w:id="100169" w:name="_Toc100169"/>
      <w:r>
        <w:rPr>
          <w:rFonts w:ascii="Times New Roman" w:eastAsia="SimHei"/>
          <w:b/>
          <w:bCs/>
          <w:color w:val="000000"/>
          <w:sz w:val="24"/>
          <w:szCs w:val="24"/>
        </w:rPr>
        <w:t xml:space="preserve">6.4.1.2 列表字段</w:t>
      </w:r>
      <w:bookmarkEnd w:id="100169"/>
    </w:p>
    <w:p>
      <w:pPr>
        <w:spacing w:after="60" w:line="440" w:lineRule="exact"/>
        <w:ind w:firstLine="480"/>
        <w:jc w:val="both"/>
      </w:pPr>
      <w:r>
        <w:rPr>
          <w:rFonts w:ascii="Times New Roman" w:eastAsia="SimSun"/>
          <w:b w:val="false"/>
          <w:bCs w:val="false"/>
          <w:color w:val="000000"/>
          <w:sz w:val="24"/>
          <w:szCs w:val="24"/>
        </w:rPr>
        <w:t xml:space="preserve">列表以表格展示订单号、设备型号、成色（转中文标签）、预估价、成交价、状态（彩色标签）、用户信息（昵称/姓名/电话）与创建时间等字段；订单图片字段解析为数组供预览。支持从看板等入口携带订单标识进入时自动打开对应订单详情（定位联动）。</w:t>
      </w:r>
    </w:p>
    <w:p>
      <w:pPr>
        <w:pStyle w:val="Heading4"/>
        <w:spacing w:after="80" w:before="200" w:line="312"/>
      </w:pPr>
      <w:bookmarkStart w:id="100170" w:name="_Toc100170"/>
      <w:r>
        <w:rPr>
          <w:rFonts w:ascii="Times New Roman" w:eastAsia="SimHei"/>
          <w:b/>
          <w:bCs/>
          <w:color w:val="000000"/>
          <w:sz w:val="24"/>
          <w:szCs w:val="24"/>
        </w:rPr>
        <w:t xml:space="preserve">6.4.1.3 汇总信息与分页</w:t>
      </w:r>
      <w:bookmarkEnd w:id="100170"/>
    </w:p>
    <w:p>
      <w:pPr>
        <w:spacing w:after="60" w:line="440" w:lineRule="exact"/>
        <w:ind w:firstLine="480"/>
        <w:jc w:val="both"/>
      </w:pPr>
      <w:r>
        <w:rPr>
          <w:rFonts w:ascii="Times New Roman" w:eastAsia="SimSun"/>
          <w:b w:val="false"/>
          <w:bCs w:val="false"/>
          <w:color w:val="000000"/>
          <w:sz w:val="24"/>
          <w:szCs w:val="24"/>
        </w:rPr>
        <w:t xml:space="preserve">列表上方实时展示两项汇总：当前筛选条件命中的订单总数与其中已完成订单的成交额合计，方便运营在筛选后直接掌握处理量与业绩规模。分页组件支持调整每页条数（服务端上限一百条），大结果集下性能稳定。</w:t>
      </w:r>
    </w:p>
    <w:p>
      <w:pPr>
        <w:pBdr>
          <w:top w:val="dashed" w:color="999999" w:sz="4" w:space="10"/>
          <w:bottom w:val="dashed" w:color="999999" w:sz="4" w:space="10"/>
          <w:left w:val="dashed" w:color="999999" w:sz="4" w:space="30"/>
          <w:right w:val="dashed" w:color="999999"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000000"/>
          <w:sz w:val="21"/>
          <w:szCs w:val="21"/>
        </w:rPr>
        <w:t xml:space="preserve">图 6-4 回收订单列表（可插入截图）</w:t>
      </w:r>
    </w:p>
    <w:p>
      <w:pPr>
        <w:pStyle w:val="Heading3"/>
        <w:spacing w:after="100" w:before="240" w:line="312"/>
      </w:pPr>
      <w:bookmarkStart w:id="100171" w:name="_Toc100171"/>
      <w:r>
        <w:rPr>
          <w:rFonts w:ascii="Times New Roman" w:eastAsia="SimHei"/>
          <w:b/>
          <w:bCs/>
          <w:color w:val="000000"/>
          <w:sz w:val="28"/>
          <w:szCs w:val="28"/>
        </w:rPr>
        <w:t xml:space="preserve">6.4.2 订单详情</w:t>
      </w:r>
      <w:bookmarkEnd w:id="100171"/>
    </w:p>
    <w:p>
      <w:pPr>
        <w:pStyle w:val="Heading4"/>
        <w:spacing w:after="80" w:before="200" w:line="312"/>
      </w:pPr>
      <w:bookmarkStart w:id="100172" w:name="_Toc100172"/>
      <w:r>
        <w:rPr>
          <w:rFonts w:ascii="Times New Roman" w:eastAsia="SimHei"/>
          <w:b/>
          <w:bCs/>
          <w:color w:val="000000"/>
          <w:sz w:val="24"/>
          <w:szCs w:val="24"/>
        </w:rPr>
        <w:t xml:space="preserve">6.4.2.1 信息分区</w:t>
      </w:r>
      <w:bookmarkEnd w:id="100172"/>
    </w:p>
    <w:p>
      <w:pPr>
        <w:spacing w:after="60" w:line="440" w:lineRule="exact"/>
        <w:ind w:firstLine="480"/>
        <w:jc w:val="both"/>
      </w:pPr>
      <w:r>
        <w:rPr>
          <w:rFonts w:ascii="Times New Roman" w:eastAsia="SimSun"/>
          <w:b w:val="false"/>
          <w:bCs w:val="false"/>
          <w:color w:val="000000"/>
          <w:sz w:val="24"/>
          <w:szCs w:val="24"/>
        </w:rPr>
        <w:t xml:space="preserve">订单详情完整聚合五类信息：基础信息（订单号、状态、创建/更新/完成时间）、设备信息（分类、品牌、型号、成色、规格）、价格信息（预估价、成交价、报价说明）、评估明细（用户在小程序端的逐题作答，以人读文本呈现）与用户信息（昵称、真实姓名、手机号、收货地址）。</w:t>
      </w:r>
    </w:p>
    <w:p>
      <w:pPr>
        <w:pStyle w:val="Heading4"/>
        <w:spacing w:after="80" w:before="200" w:line="312"/>
      </w:pPr>
      <w:bookmarkStart w:id="100173" w:name="_Toc100173"/>
      <w:r>
        <w:rPr>
          <w:rFonts w:ascii="Times New Roman" w:eastAsia="SimHei"/>
          <w:b/>
          <w:bCs/>
          <w:color w:val="000000"/>
          <w:sz w:val="24"/>
          <w:szCs w:val="24"/>
        </w:rPr>
        <w:t xml:space="preserve">6.4.2.2 动态列适配</w:t>
      </w:r>
      <w:bookmarkEnd w:id="100173"/>
    </w:p>
    <w:p>
      <w:pPr>
        <w:spacing w:after="60" w:line="440" w:lineRule="exact"/>
        <w:ind w:firstLine="480"/>
        <w:jc w:val="both"/>
      </w:pPr>
      <w:r>
        <w:rPr>
          <w:rFonts w:ascii="Times New Roman" w:eastAsia="SimSun"/>
          <w:b w:val="false"/>
          <w:bCs w:val="false"/>
          <w:color w:val="000000"/>
          <w:sz w:val="24"/>
          <w:szCs w:val="24"/>
        </w:rPr>
        <w:t xml:space="preserve">回收订单与小程序共用业务订单表，表结构随小程序服务端迭代。后台在查询前读取数据库元数据获取实际存在的列集合，可选列按需拼接、缺失列以空值占位，不同部署环境间结构差异被透明屏蔽，详情接口响应结构保持稳定。</w:t>
      </w:r>
    </w:p>
    <w:p>
      <w:pPr>
        <w:pStyle w:val="Heading4"/>
        <w:spacing w:after="80" w:before="200" w:line="312"/>
      </w:pPr>
      <w:bookmarkStart w:id="100174" w:name="_Toc100174"/>
      <w:r>
        <w:rPr>
          <w:rFonts w:ascii="Times New Roman" w:eastAsia="SimHei"/>
          <w:b/>
          <w:bCs/>
          <w:color w:val="000000"/>
          <w:sz w:val="24"/>
          <w:szCs w:val="24"/>
        </w:rPr>
        <w:t xml:space="preserve">6.4.2.3 地址拼接</w:t>
      </w:r>
      <w:bookmarkEnd w:id="100174"/>
    </w:p>
    <w:p>
      <w:pPr>
        <w:spacing w:after="60" w:line="440" w:lineRule="exact"/>
        <w:ind w:firstLine="480"/>
        <w:jc w:val="both"/>
      </w:pPr>
      <w:r>
        <w:rPr>
          <w:rFonts w:ascii="Times New Roman" w:eastAsia="SimSun"/>
          <w:b w:val="false"/>
          <w:bCs w:val="false"/>
          <w:color w:val="000000"/>
          <w:sz w:val="24"/>
          <w:szCs w:val="24"/>
        </w:rPr>
        <w:t xml:space="preserve">收货地址联查用户地址表，将省市区与详细地址拼接为完整地址串并附联系人与电话；用户未填地址时该字段为空但不影响其他信息展示。地址表同样做动态列适配。</w:t>
      </w:r>
    </w:p>
    <w:p>
      <w:pPr>
        <w:pStyle w:val="Heading3"/>
        <w:spacing w:after="100" w:before="240" w:line="312"/>
      </w:pPr>
      <w:bookmarkStart w:id="100175" w:name="_Toc100175"/>
      <w:r>
        <w:rPr>
          <w:rFonts w:ascii="Times New Roman" w:eastAsia="SimHei"/>
          <w:b/>
          <w:bCs/>
          <w:color w:val="000000"/>
          <w:sz w:val="28"/>
          <w:szCs w:val="28"/>
        </w:rPr>
        <w:t xml:space="preserve">6.4.3 报价处理</w:t>
      </w:r>
      <w:bookmarkEnd w:id="100175"/>
    </w:p>
    <w:p>
      <w:pPr>
        <w:pStyle w:val="Heading4"/>
        <w:spacing w:after="80" w:before="200" w:line="312"/>
      </w:pPr>
      <w:bookmarkStart w:id="100176" w:name="_Toc100176"/>
      <w:r>
        <w:rPr>
          <w:rFonts w:ascii="Times New Roman" w:eastAsia="SimHei"/>
          <w:b/>
          <w:bCs/>
          <w:color w:val="000000"/>
          <w:sz w:val="24"/>
          <w:szCs w:val="24"/>
        </w:rPr>
        <w:t xml:space="preserve">6.4.3.1 输入校验</w:t>
      </w:r>
      <w:bookmarkEnd w:id="100176"/>
    </w:p>
    <w:p>
      <w:pPr>
        <w:spacing w:after="60" w:line="440" w:lineRule="exact"/>
        <w:ind w:firstLine="480"/>
        <w:jc w:val="both"/>
      </w:pPr>
      <w:r>
        <w:rPr>
          <w:rFonts w:ascii="Times New Roman" w:eastAsia="SimSun"/>
          <w:b w:val="false"/>
          <w:bCs w:val="false"/>
          <w:color w:val="000000"/>
          <w:sz w:val="24"/>
          <w:szCs w:val="24"/>
        </w:rPr>
        <w:t xml:space="preserve">报价提交前执行双重校验：金额必须为有效数字且不小于零；订单必须存在且未处于已完成或已取消状态。已完结订单提交报价返回明确错误提示，防止对历史订单误操作。</w:t>
      </w:r>
    </w:p>
    <w:p>
      <w:pPr>
        <w:pStyle w:val="Heading4"/>
        <w:spacing w:after="80" w:before="200" w:line="312"/>
      </w:pPr>
      <w:bookmarkStart w:id="100177" w:name="_Toc100177"/>
      <w:r>
        <w:rPr>
          <w:rFonts w:ascii="Times New Roman" w:eastAsia="SimHei"/>
          <w:b/>
          <w:bCs/>
          <w:color w:val="000000"/>
          <w:sz w:val="24"/>
          <w:szCs w:val="24"/>
        </w:rPr>
        <w:t xml:space="preserve">6.4.3.2 数据落库与联动</w:t>
      </w:r>
      <w:bookmarkEnd w:id="100177"/>
    </w:p>
    <w:p>
      <w:pPr>
        <w:spacing w:after="60" w:line="440" w:lineRule="exact"/>
        <w:ind w:firstLine="480"/>
        <w:jc w:val="both"/>
      </w:pPr>
      <w:r>
        <w:rPr>
          <w:rFonts w:ascii="Times New Roman" w:eastAsia="SimSun"/>
          <w:b w:val="false"/>
          <w:bCs w:val="false"/>
          <w:color w:val="000000"/>
          <w:sz w:val="24"/>
          <w:szCs w:val="24"/>
        </w:rPr>
        <w:t xml:space="preserve">报价通过后，系统同时更新成交价、报价金额、报价说明与报价状态，记录报价创建时间及报价人（表结构支持时），订单状态自动流转为已报价，用户端随即可见最新报价。报价动作写入操作日志，包含订单号与报价金额，形成报价责任链。</w:t>
      </w:r>
    </w:p>
    <w:p>
      <w:pPr>
        <w:pStyle w:val="Heading3"/>
        <w:spacing w:after="100" w:before="240" w:line="312"/>
      </w:pPr>
      <w:bookmarkStart w:id="100178" w:name="_Toc100178"/>
      <w:r>
        <w:rPr>
          <w:rFonts w:ascii="Times New Roman" w:eastAsia="SimHei"/>
          <w:b/>
          <w:bCs/>
          <w:color w:val="000000"/>
          <w:sz w:val="28"/>
          <w:szCs w:val="28"/>
        </w:rPr>
        <w:t xml:space="preserve">6.4.4 状态流转</w:t>
      </w:r>
      <w:bookmarkEnd w:id="100178"/>
    </w:p>
    <w:p>
      <w:pPr>
        <w:pStyle w:val="Heading4"/>
        <w:spacing w:after="80" w:before="200" w:line="312"/>
      </w:pPr>
      <w:bookmarkStart w:id="100179" w:name="_Toc100179"/>
      <w:r>
        <w:rPr>
          <w:rFonts w:ascii="Times New Roman" w:eastAsia="SimHei"/>
          <w:b/>
          <w:bCs/>
          <w:color w:val="000000"/>
          <w:sz w:val="24"/>
          <w:szCs w:val="24"/>
        </w:rPr>
        <w:t xml:space="preserve">6.4.4.1 状态机定义</w:t>
      </w:r>
      <w:bookmarkEnd w:id="100179"/>
    </w:p>
    <w:p>
      <w:pPr>
        <w:keepNext/>
        <w:spacing w:after="80" w:before="160" w:line="312"/>
        <w:jc w:val="center"/>
      </w:pPr>
      <w:r>
        <w:rPr>
          <w:rFonts w:ascii="Times New Roman" w:eastAsia="SimSun"/>
          <w:b/>
          <w:bCs/>
          <w:color w:val="000000"/>
          <w:sz w:val="21"/>
          <w:szCs w:val="21"/>
        </w:rPr>
        <w:t xml:space="preserve">表 6-3 回收订单状态定义</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gridCol w:w="100"/>
      </w:tblGrid>
      <w:tr>
        <w:trPr>
          <w:cantSplit/>
          <w:tblHeader/>
        </w:trPr>
        <w:tc>
          <w:tcPr>
            <w:tcW w:type="pct" w:w="12%"/>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状态</w:t>
            </w:r>
          </w:p>
        </w:tc>
        <w:tc>
          <w:tcPr>
            <w:tcW w:type="pct" w:w="16%"/>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标识</w:t>
            </w:r>
          </w:p>
        </w:tc>
        <w:tc>
          <w:tcPr>
            <w:tcW w:type="pct" w:w="72%"/>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含义与允许流转</w:t>
            </w:r>
          </w:p>
        </w:tc>
      </w:tr>
      <w:tr>
        <w:trPr>
          <w:cantSplit/>
        </w:trPr>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待确认</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pending</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新订单初始状态，可报价或流转至任意后续状态</w:t>
            </w:r>
          </w:p>
        </w:tc>
      </w:tr>
      <w:tr>
        <w:trPr>
          <w:cantSplit/>
        </w:trPr>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已报价</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quoted</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后台已提交报价，等待用户确认</w:t>
            </w:r>
          </w:p>
        </w:tc>
      </w:tr>
      <w:tr>
        <w:trPr>
          <w:cantSplit/>
        </w:trPr>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已确认</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confirmed</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用户确认报价，进入履约准备</w:t>
            </w:r>
          </w:p>
        </w:tc>
      </w:tr>
      <w:tr>
        <w:trPr>
          <w:cantSplit/>
        </w:trPr>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处理中</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processing</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回收物流/验机进行中</w:t>
            </w:r>
          </w:p>
        </w:tc>
      </w:tr>
      <w:tr>
        <w:trPr>
          <w:cantSplit/>
        </w:trPr>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已完成</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completed</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交易完结，写完成时间与进度满格，不可再变更</w:t>
            </w:r>
          </w:p>
        </w:tc>
      </w:tr>
      <w:tr>
        <w:trPr>
          <w:cantSplit/>
        </w:trPr>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待评价</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review</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履约完成待用户评价的过渡状态</w:t>
            </w:r>
          </w:p>
        </w:tc>
      </w:tr>
      <w:tr>
        <w:trPr>
          <w:cantSplit/>
        </w:trPr>
        <w:tc>
          <w:tcPr>
            <w:tcW w:type="pct" w:w="1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已取消</w:t>
            </w:r>
          </w:p>
        </w:tc>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cancelled</w:t>
            </w:r>
          </w:p>
        </w:tc>
        <w:tc>
          <w:tcPr>
            <w:tcW w:type="pct" w:w="7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任一非完结状态可取消，记录取消原因，不可再变更</w:t>
            </w:r>
          </w:p>
        </w:tc>
      </w:tr>
    </w:tbl>
    <w:p>
      <w:pPr>
        <w:pStyle w:val="Heading4"/>
        <w:spacing w:after="80" w:before="200" w:line="312"/>
      </w:pPr>
      <w:bookmarkStart w:id="100180" w:name="_Toc100180"/>
      <w:r>
        <w:rPr>
          <w:rFonts w:ascii="Times New Roman" w:eastAsia="SimHei"/>
          <w:b/>
          <w:bCs/>
          <w:color w:val="000000"/>
          <w:sz w:val="24"/>
          <w:szCs w:val="24"/>
        </w:rPr>
        <w:t xml:space="preserve">6.4.4.2 流转校验</w:t>
      </w:r>
      <w:bookmarkEnd w:id="100180"/>
    </w:p>
    <w:p>
      <w:pPr>
        <w:spacing w:after="60" w:line="440" w:lineRule="exact"/>
        <w:ind w:firstLine="480"/>
        <w:jc w:val="both"/>
      </w:pPr>
      <w:r>
        <w:rPr>
          <w:rFonts w:ascii="Times New Roman" w:eastAsia="SimSun"/>
          <w:b w:val="false"/>
          <w:bCs w:val="false"/>
          <w:color w:val="000000"/>
          <w:sz w:val="24"/>
          <w:szCs w:val="24"/>
        </w:rPr>
        <w:t xml:space="preserve">状态变更接口执行三重校验：目标状态必须是合法状态枚举、订单当前不能处于完结态（已完成/已取消）、目标状态不能与当前状态相同。校验通过后更新状态与更新时间，并记录包含前后状态中文标签的操作日志，取消时另记录取消来源与原因说明。</w:t>
      </w:r>
    </w:p>
    <w:p>
      <w:pPr>
        <w:pStyle w:val="Heading4"/>
        <w:spacing w:after="80" w:before="200" w:line="312"/>
      </w:pPr>
      <w:bookmarkStart w:id="100181" w:name="_Toc100181"/>
      <w:r>
        <w:rPr>
          <w:rFonts w:ascii="Times New Roman" w:eastAsia="SimHei"/>
          <w:b/>
          <w:bCs/>
          <w:color w:val="000000"/>
          <w:sz w:val="24"/>
          <w:szCs w:val="24"/>
        </w:rPr>
        <w:t xml:space="preserve">6.4.4.3 完成与取消处理</w:t>
      </w:r>
      <w:bookmarkEnd w:id="100181"/>
    </w:p>
    <w:p>
      <w:pPr>
        <w:spacing w:after="60" w:line="440" w:lineRule="exact"/>
        <w:ind w:firstLine="480"/>
        <w:jc w:val="both"/>
      </w:pPr>
      <w:r>
        <w:rPr>
          <w:rFonts w:ascii="Times New Roman" w:eastAsia="SimSun"/>
          <w:b w:val="false"/>
          <w:bCs w:val="false"/>
          <w:color w:val="000000"/>
          <w:sz w:val="24"/>
          <w:szCs w:val="24"/>
        </w:rPr>
        <w:t xml:space="preserve">流转至已完成时系统自动写入完成时间并将订单进度置为 100%；流转至已取消时写入取消时间、取消原因标记（后台取消）与原因描述。完结态订单的报价与状态接口均被拒绝，保证历史数据的最终一致性。</w:t>
      </w:r>
    </w:p>
    <w:p>
      <w:pPr>
        <w:pStyle w:val="Heading3"/>
        <w:spacing w:after="100" w:before="240" w:line="312"/>
      </w:pPr>
      <w:bookmarkStart w:id="100182" w:name="_Toc100182"/>
      <w:r>
        <w:rPr>
          <w:rFonts w:ascii="Times New Roman" w:eastAsia="SimHei"/>
          <w:b/>
          <w:bCs/>
          <w:color w:val="000000"/>
          <w:sz w:val="28"/>
          <w:szCs w:val="28"/>
        </w:rPr>
        <w:t xml:space="preserve">6.4.5 手动创建订单</w:t>
      </w:r>
      <w:bookmarkEnd w:id="100182"/>
    </w:p>
    <w:p>
      <w:pPr>
        <w:pStyle w:val="Heading4"/>
        <w:spacing w:after="80" w:before="200" w:line="312"/>
      </w:pPr>
      <w:bookmarkStart w:id="100183" w:name="_Toc100183"/>
      <w:r>
        <w:rPr>
          <w:rFonts w:ascii="Times New Roman" w:eastAsia="SimHei"/>
          <w:b/>
          <w:bCs/>
          <w:color w:val="000000"/>
          <w:sz w:val="24"/>
          <w:szCs w:val="24"/>
        </w:rPr>
        <w:t xml:space="preserve">6.4.5.1 用户检索与选择</w:t>
      </w:r>
      <w:bookmarkEnd w:id="100183"/>
    </w:p>
    <w:p>
      <w:pPr>
        <w:spacing w:after="60" w:line="440" w:lineRule="exact"/>
        <w:ind w:firstLine="480"/>
        <w:jc w:val="both"/>
      </w:pPr>
      <w:r>
        <w:rPr>
          <w:rFonts w:ascii="Times New Roman" w:eastAsia="SimSun"/>
          <w:b w:val="false"/>
          <w:bCs w:val="false"/>
          <w:color w:val="000000"/>
          <w:sz w:val="24"/>
          <w:szCs w:val="24"/>
        </w:rPr>
        <w:t xml:space="preserve">登记线下回收业务时，运营人员通过用户下拉检索目标用户（按昵称、姓名或手机号模糊匹配，最多返回三十条），选择用户后填写设备型号、成色、预估价与服务方式（默认到店），设备型号为必填项。</w:t>
      </w:r>
    </w:p>
    <w:p>
      <w:pPr>
        <w:pStyle w:val="Heading4"/>
        <w:spacing w:after="80" w:before="200" w:line="312"/>
      </w:pPr>
      <w:bookmarkStart w:id="100184" w:name="_Toc100184"/>
      <w:r>
        <w:rPr>
          <w:rFonts w:ascii="Times New Roman" w:eastAsia="SimHei"/>
          <w:b/>
          <w:bCs/>
          <w:color w:val="000000"/>
          <w:sz w:val="24"/>
          <w:szCs w:val="24"/>
        </w:rPr>
        <w:t xml:space="preserve">6.4.5.2 订单号生成规则</w:t>
      </w:r>
      <w:bookmarkEnd w:id="100184"/>
    </w:p>
    <w:p>
      <w:pPr>
        <w:spacing w:after="60" w:line="440" w:lineRule="exact"/>
        <w:ind w:firstLine="480"/>
        <w:jc w:val="both"/>
      </w:pPr>
      <w:r>
        <w:rPr>
          <w:rFonts w:ascii="Times New Roman" w:eastAsia="SimSun"/>
          <w:b w:val="false"/>
          <w:bCs w:val="false"/>
          <w:color w:val="000000"/>
          <w:sz w:val="24"/>
          <w:szCs w:val="24"/>
        </w:rPr>
        <w:t xml:space="preserve">系统为手动订单生成 REC 前缀的唯一订单号：REC + 毫秒级时间戳 + 两位随机数，保证海量订单下不重号且可通过前缀快速识别订单来源为线下登记。订单创建后进入待确认状态，走标准报价与流转流程。</w:t>
      </w:r>
    </w:p>
    <w:p>
      <w:pPr>
        <w:pStyle w:val="Heading3"/>
        <w:spacing w:after="100" w:before="240" w:line="312"/>
      </w:pPr>
      <w:bookmarkStart w:id="100185" w:name="_Toc100185"/>
      <w:r>
        <w:rPr>
          <w:rFonts w:ascii="Times New Roman" w:eastAsia="SimHei"/>
          <w:b/>
          <w:bCs/>
          <w:color w:val="000000"/>
          <w:sz w:val="28"/>
          <w:szCs w:val="28"/>
        </w:rPr>
        <w:t xml:space="preserve">6.4.6 订单导出</w:t>
      </w:r>
      <w:bookmarkEnd w:id="100185"/>
    </w:p>
    <w:p>
      <w:pPr>
        <w:pStyle w:val="Heading4"/>
        <w:spacing w:after="80" w:before="200" w:line="312"/>
      </w:pPr>
      <w:bookmarkStart w:id="100186" w:name="_Toc100186"/>
      <w:r>
        <w:rPr>
          <w:rFonts w:ascii="Times New Roman" w:eastAsia="SimHei"/>
          <w:b/>
          <w:bCs/>
          <w:color w:val="000000"/>
          <w:sz w:val="24"/>
          <w:szCs w:val="24"/>
        </w:rPr>
        <w:t xml:space="preserve">6.4.6.1 导出范围与字段</w:t>
      </w:r>
      <w:bookmarkEnd w:id="100186"/>
    </w:p>
    <w:p>
      <w:pPr>
        <w:spacing w:after="60" w:line="440" w:lineRule="exact"/>
        <w:ind w:firstLine="480"/>
        <w:jc w:val="both"/>
      </w:pPr>
      <w:r>
        <w:rPr>
          <w:rFonts w:ascii="Times New Roman" w:eastAsia="SimSun"/>
          <w:b w:val="false"/>
          <w:bCs w:val="false"/>
          <w:color w:val="000000"/>
          <w:sz w:val="24"/>
          <w:szCs w:val="24"/>
        </w:rPr>
        <w:t xml:space="preserve">导出遵循「所见即所得」原则：按列表当前筛选条件（关键词、状态、日期区间）导出命中订单，上限五千条。导出字段包括订单号、设备型号、成色、预估价、成交价、状态、客户、联系电话、创建时间与完成时间，满足对账与报表需要。</w:t>
      </w:r>
    </w:p>
    <w:p>
      <w:pPr>
        <w:pStyle w:val="Heading4"/>
        <w:spacing w:after="80" w:before="200" w:line="312"/>
      </w:pPr>
      <w:bookmarkStart w:id="100187" w:name="_Toc100187"/>
      <w:r>
        <w:rPr>
          <w:rFonts w:ascii="Times New Roman" w:eastAsia="SimHei"/>
          <w:b/>
          <w:bCs/>
          <w:color w:val="000000"/>
          <w:sz w:val="24"/>
          <w:szCs w:val="24"/>
        </w:rPr>
        <w:t xml:space="preserve">6.4.6.2 文件编码规范</w:t>
      </w:r>
      <w:bookmarkEnd w:id="100187"/>
    </w:p>
    <w:p>
      <w:pPr>
        <w:spacing w:after="60" w:line="440" w:lineRule="exact"/>
        <w:ind w:firstLine="480"/>
        <w:jc w:val="both"/>
      </w:pPr>
      <w:r>
        <w:rPr>
          <w:rFonts w:ascii="Times New Roman" w:eastAsia="SimSun"/>
          <w:b w:val="false"/>
          <w:bCs w:val="false"/>
          <w:color w:val="000000"/>
          <w:sz w:val="24"/>
          <w:szCs w:val="24"/>
        </w:rPr>
        <w:t xml:space="preserve">导出文件为 CSV 格式，以 UTF-8 编码写出并附带 BOM 头，保证 Excel 直接双击打开中文不乱码；字段值中的引号与换行按 CSV 标准转义。导出动作记录操作日志（含导出条数），导出链接支持新窗口直接下载。</w:t>
      </w:r>
    </w:p>
    <w:p>
      <w:pPr>
        <w:pStyle w:val="Heading2"/>
        <w:spacing w:after="140" w:before="300" w:line="312"/>
      </w:pPr>
      <w:bookmarkStart w:id="100188" w:name="_Toc100188"/>
      <w:r>
        <w:rPr>
          <w:rFonts w:ascii="Times New Roman" w:eastAsia="SimHei"/>
          <w:b/>
          <w:bCs/>
          <w:color w:val="000000"/>
          <w:sz w:val="30"/>
          <w:szCs w:val="30"/>
        </w:rPr>
        <w:t xml:space="preserve">6.5 设备配价库</w:t>
      </w:r>
      <w:bookmarkEnd w:id="100188"/>
    </w:p>
    <w:p>
      <w:pPr>
        <w:pStyle w:val="Heading3"/>
        <w:spacing w:after="100" w:before="240" w:line="312"/>
      </w:pPr>
      <w:bookmarkStart w:id="100189" w:name="_Toc100189"/>
      <w:r>
        <w:rPr>
          <w:rFonts w:ascii="Times New Roman" w:eastAsia="SimHei"/>
          <w:b/>
          <w:bCs/>
          <w:color w:val="000000"/>
          <w:sz w:val="28"/>
          <w:szCs w:val="28"/>
        </w:rPr>
        <w:t xml:space="preserve">6.5.1 目录结构管理</w:t>
      </w:r>
      <w:bookmarkEnd w:id="100189"/>
    </w:p>
    <w:p>
      <w:pPr>
        <w:pStyle w:val="Heading4"/>
        <w:spacing w:after="80" w:before="200" w:line="312"/>
      </w:pPr>
      <w:bookmarkStart w:id="100190" w:name="_Toc100190"/>
      <w:r>
        <w:rPr>
          <w:rFonts w:ascii="Times New Roman" w:eastAsia="SimHei"/>
          <w:b/>
          <w:bCs/>
          <w:color w:val="000000"/>
          <w:sz w:val="24"/>
          <w:szCs w:val="24"/>
        </w:rPr>
        <w:t xml:space="preserve">6.5.1.1 分类管理</w:t>
      </w:r>
      <w:bookmarkEnd w:id="100190"/>
    </w:p>
    <w:p>
      <w:pPr>
        <w:spacing w:after="60" w:line="440" w:lineRule="exact"/>
        <w:ind w:firstLine="480"/>
        <w:jc w:val="both"/>
      </w:pPr>
      <w:r>
        <w:rPr>
          <w:rFonts w:ascii="Times New Roman" w:eastAsia="SimSun"/>
          <w:b w:val="false"/>
          <w:bCs w:val="false"/>
          <w:color w:val="000000"/>
          <w:sz w:val="24"/>
          <w:szCs w:val="24"/>
        </w:rPr>
        <w:t xml:space="preserve">分类是配价目录的第一级，维护字段包括分类编码（全局唯一，创建后不可重复）、分类名称、图标、主题色、排序权重与上架状态。编码与小程序本地视觉档案按分类编码对应，是云端目录与本地视觉资源合并的关联键。删除分类前系统校验其下品牌数量，非空时拒绝删除。</w:t>
      </w:r>
    </w:p>
    <w:p>
      <w:pPr>
        <w:pStyle w:val="Heading4"/>
        <w:spacing w:after="80" w:before="200" w:line="312"/>
      </w:pPr>
      <w:bookmarkStart w:id="100191" w:name="_Toc100191"/>
      <w:r>
        <w:rPr>
          <w:rFonts w:ascii="Times New Roman" w:eastAsia="SimHei"/>
          <w:b/>
          <w:bCs/>
          <w:color w:val="000000"/>
          <w:sz w:val="24"/>
          <w:szCs w:val="24"/>
        </w:rPr>
        <w:t xml:space="preserve">6.5.1.2 品牌管理</w:t>
      </w:r>
      <w:bookmarkEnd w:id="100191"/>
    </w:p>
    <w:p>
      <w:pPr>
        <w:spacing w:after="60" w:line="440" w:lineRule="exact"/>
        <w:ind w:firstLine="480"/>
        <w:jc w:val="both"/>
      </w:pPr>
      <w:r>
        <w:rPr>
          <w:rFonts w:ascii="Times New Roman" w:eastAsia="SimSun"/>
          <w:b w:val="false"/>
          <w:bCs w:val="false"/>
          <w:color w:val="000000"/>
          <w:sz w:val="24"/>
          <w:szCs w:val="24"/>
        </w:rPr>
        <w:t xml:space="preserve">品牌隶属分类，维护品牌名称、字标（未填时取名称首字）、品牌色与排序。品牌色作为该品牌下型号卡片的默认主题色，影响小程序端的视觉呈现。删除品牌前校验其下型号数量，非空时拒绝删除。</w:t>
      </w:r>
    </w:p>
    <w:p>
      <w:pPr>
        <w:pStyle w:val="Heading4"/>
        <w:spacing w:after="80" w:before="200" w:line="312"/>
      </w:pPr>
      <w:bookmarkStart w:id="100192" w:name="_Toc100192"/>
      <w:r>
        <w:rPr>
          <w:rFonts w:ascii="Times New Roman" w:eastAsia="SimHei"/>
          <w:b/>
          <w:bCs/>
          <w:color w:val="000000"/>
          <w:sz w:val="24"/>
          <w:szCs w:val="24"/>
        </w:rPr>
        <w:t xml:space="preserve">6.5.1.3 型号管理</w:t>
      </w:r>
      <w:bookmarkEnd w:id="100192"/>
    </w:p>
    <w:p>
      <w:pPr>
        <w:spacing w:after="60" w:line="440" w:lineRule="exact"/>
        <w:ind w:firstLine="480"/>
        <w:jc w:val="both"/>
      </w:pPr>
      <w:r>
        <w:rPr>
          <w:rFonts w:ascii="Times New Roman" w:eastAsia="SimSun"/>
          <w:b w:val="false"/>
          <w:bCs w:val="false"/>
          <w:color w:val="000000"/>
          <w:sz w:val="24"/>
          <w:szCs w:val="24"/>
        </w:rPr>
        <w:t xml:space="preserve">型号是配价目录的末级与核心，维护型号名称、规格说明、回收基准价、二手市场参考价（可选）、热门标记、上架状态与排序；型号记录最后调价人便于追责。新增型号即写入一条「新增型号」初始定价记录；修改与删除均记录操作日志。</w:t>
      </w:r>
    </w:p>
    <w:p>
      <w:pPr>
        <w:pBdr>
          <w:top w:val="dashed" w:color="999999" w:sz="4" w:space="10"/>
          <w:bottom w:val="dashed" w:color="999999" w:sz="4" w:space="10"/>
          <w:left w:val="dashed" w:color="999999" w:sz="4" w:space="30"/>
          <w:right w:val="dashed" w:color="999999"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000000"/>
          <w:sz w:val="21"/>
          <w:szCs w:val="21"/>
        </w:rPr>
        <w:t xml:space="preserve">图 6-5 设备配价库（可插入截图）</w:t>
      </w:r>
    </w:p>
    <w:p>
      <w:pPr>
        <w:pStyle w:val="Heading3"/>
        <w:spacing w:after="100" w:before="240" w:line="312"/>
      </w:pPr>
      <w:bookmarkStart w:id="100193" w:name="_Toc100193"/>
      <w:r>
        <w:rPr>
          <w:rFonts w:ascii="Times New Roman" w:eastAsia="SimHei"/>
          <w:b/>
          <w:bCs/>
          <w:color w:val="000000"/>
          <w:sz w:val="28"/>
          <w:szCs w:val="28"/>
        </w:rPr>
        <w:t xml:space="preserve">6.5.2 型号查询与导出</w:t>
      </w:r>
      <w:bookmarkEnd w:id="100193"/>
    </w:p>
    <w:p>
      <w:pPr>
        <w:spacing w:after="60" w:line="440" w:lineRule="exact"/>
        <w:ind w:firstLine="480"/>
        <w:jc w:val="both"/>
      </w:pPr>
      <w:r>
        <w:rPr>
          <w:rFonts w:ascii="Times New Roman" w:eastAsia="SimSun"/>
          <w:b w:val="false"/>
          <w:bCs w:val="false"/>
          <w:color w:val="000000"/>
          <w:sz w:val="24"/>
          <w:szCs w:val="24"/>
        </w:rPr>
        <w:t xml:space="preserve">调价工作台支持按分类、品牌、关键词（型号名/规格模糊匹配）、上架状态与热门标记组合筛选型号，分页浏览；配价库另提供全量 CSV 导出，输出分类、品牌、型号、规格、基准价、市场参考价、热门、状态与更新时间列，同样带 BOM 头保证 Excel 兼容。</w:t>
      </w:r>
    </w:p>
    <w:p>
      <w:pPr>
        <w:pStyle w:val="Heading3"/>
        <w:spacing w:after="100" w:before="240" w:line="312"/>
      </w:pPr>
      <w:bookmarkStart w:id="100194" w:name="_Toc100194"/>
      <w:r>
        <w:rPr>
          <w:rFonts w:ascii="Times New Roman" w:eastAsia="SimHei"/>
          <w:b/>
          <w:bCs/>
          <w:color w:val="000000"/>
          <w:sz w:val="28"/>
          <w:szCs w:val="28"/>
        </w:rPr>
        <w:t xml:space="preserve">6.5.3 目录树加载实现</w:t>
      </w:r>
      <w:bookmarkEnd w:id="100194"/>
    </w:p>
    <w:p>
      <w:pPr>
        <w:spacing w:after="60" w:line="440" w:lineRule="exact"/>
        <w:ind w:firstLine="480"/>
        <w:jc w:val="both"/>
      </w:pPr>
      <w:r>
        <w:rPr>
          <w:rFonts w:ascii="Times New Roman" w:eastAsia="SimSun"/>
          <w:b w:val="false"/>
          <w:bCs w:val="false"/>
          <w:color w:val="000000"/>
          <w:sz w:val="24"/>
          <w:szCs w:val="24"/>
        </w:rPr>
        <w:t xml:space="preserve">配价库完整目录以树接口一次返回：服务端并行查询分类、品牌、型号三张表的全量行，随后在内存中以品牌标识、分类标识两级映射组装出树结构，型号仅返回配价相关列以压缩响应体。相比逐级请求或递归联表，内存组装一次成型，前端整树渲染、级联筛选与目录维护界面即取即用；在分类十余个、品牌数百个、型号数千条的规模下响应仍保持轻量。树接口同时是小程序端公开目录接口的数据基础——后台维护的配价经同一份表结构输出到两端，保证管理端与用户端看到的价格完全一致。</w:t>
      </w:r>
    </w:p>
    <w:p>
      <w:pPr>
        <w:pStyle w:val="Heading3"/>
        <w:spacing w:after="100" w:before="240" w:line="312"/>
      </w:pPr>
      <w:bookmarkStart w:id="100195" w:name="_Toc100195"/>
      <w:r>
        <w:rPr>
          <w:rFonts w:ascii="Times New Roman" w:eastAsia="SimHei"/>
          <w:b/>
          <w:bCs/>
          <w:color w:val="000000"/>
          <w:sz w:val="28"/>
          <w:szCs w:val="28"/>
        </w:rPr>
        <w:t xml:space="preserve">6.5.4 调价管理</w:t>
      </w:r>
      <w:bookmarkEnd w:id="100195"/>
    </w:p>
    <w:p>
      <w:pPr>
        <w:pStyle w:val="Heading4"/>
        <w:spacing w:after="80" w:before="200" w:line="312"/>
      </w:pPr>
      <w:bookmarkStart w:id="100196" w:name="_Toc100196"/>
      <w:r>
        <w:rPr>
          <w:rFonts w:ascii="Times New Roman" w:eastAsia="SimHei"/>
          <w:b/>
          <w:bCs/>
          <w:color w:val="000000"/>
          <w:sz w:val="24"/>
          <w:szCs w:val="24"/>
        </w:rPr>
        <w:t xml:space="preserve">6.5.4.1 单型号调价</w:t>
      </w:r>
      <w:bookmarkEnd w:id="100196"/>
    </w:p>
    <w:p>
      <w:pPr>
        <w:spacing w:after="60" w:line="440" w:lineRule="exact"/>
        <w:ind w:firstLine="480"/>
        <w:jc w:val="both"/>
      </w:pPr>
      <w:r>
        <w:rPr>
          <w:rFonts w:ascii="Times New Roman" w:eastAsia="SimSun"/>
          <w:b w:val="false"/>
          <w:bCs w:val="false"/>
          <w:color w:val="000000"/>
          <w:sz w:val="24"/>
          <w:szCs w:val="24"/>
        </w:rPr>
        <w:t xml:space="preserve">运营人员在型号行内直接录入新基准价与调价原因提交。系统优先读取最新基准价计算调价幅度，调价成功后更新配价并写入调价记录，前端即时刷新价格展示。调价原因是审计链的重要组成部分，建议填写市场行情变化等依据。</w:t>
      </w:r>
    </w:p>
    <w:p>
      <w:pPr>
        <w:pStyle w:val="Heading4"/>
        <w:spacing w:after="80" w:before="200" w:line="312"/>
      </w:pPr>
      <w:bookmarkStart w:id="100197" w:name="_Toc100197"/>
      <w:r>
        <w:rPr>
          <w:rFonts w:ascii="Times New Roman" w:eastAsia="SimHei"/>
          <w:b/>
          <w:bCs/>
          <w:color w:val="000000"/>
          <w:sz w:val="24"/>
          <w:szCs w:val="24"/>
        </w:rPr>
        <w:t xml:space="preserve">6.5.4.2 调价幅度保护</w:t>
      </w:r>
      <w:bookmarkEnd w:id="100197"/>
    </w:p>
    <w:p>
      <w:pPr>
        <w:spacing w:after="60" w:line="440" w:lineRule="exact"/>
        <w:ind w:firstLine="480"/>
        <w:jc w:val="both"/>
      </w:pPr>
      <w:r>
        <w:rPr>
          <w:rFonts w:ascii="Times New Roman" w:eastAsia="SimSun"/>
          <w:b w:val="false"/>
          <w:bCs w:val="false"/>
          <w:color w:val="000000"/>
          <w:sz w:val="24"/>
          <w:szCs w:val="24"/>
        </w:rPr>
        <w:t xml:space="preserve">调价请求先与现价比较计算幅度百分比，超过系统参数设定的上限（默认 20%）时拒绝执行并返回需二次确认标记，前端弹窗展示调价前后金额与幅度；运营人员确认后方可强制调价。该机制防住两类风险：误输入（如多打一个零导致十倍调价）与异常操作（超出授权范围的大幅调价）。</w:t>
      </w:r>
    </w:p>
    <w:p>
      <w:pPr>
        <w:pStyle w:val="Heading4"/>
        <w:spacing w:after="80" w:before="200" w:line="312"/>
      </w:pPr>
      <w:bookmarkStart w:id="100198" w:name="_Toc100198"/>
      <w:r>
        <w:rPr>
          <w:rFonts w:ascii="Times New Roman" w:eastAsia="SimHei"/>
          <w:b/>
          <w:bCs/>
          <w:color w:val="000000"/>
          <w:sz w:val="24"/>
          <w:szCs w:val="24"/>
        </w:rPr>
        <w:t xml:space="preserve">6.5.4.3 批量调价</w:t>
      </w:r>
      <w:bookmarkEnd w:id="100198"/>
    </w:p>
    <w:p>
      <w:pPr>
        <w:spacing w:after="60" w:line="440" w:lineRule="exact"/>
        <w:ind w:firstLine="480"/>
        <w:jc w:val="both"/>
      </w:pPr>
      <w:r>
        <w:rPr>
          <w:rFonts w:ascii="Times New Roman" w:eastAsia="SimSun"/>
          <w:b w:val="false"/>
          <w:bCs w:val="false"/>
          <w:color w:val="000000"/>
          <w:sz w:val="24"/>
          <w:szCs w:val="24"/>
        </w:rPr>
        <w:t xml:space="preserve">勾选多个型号后发起批量调价，支持两种模式：百分比模式在现价基础上按指定百分比上浮或下调（支持负值，结果四舍五入取整且不低于零）；固定值模式将所选型号统一设置为指定价格。批量调价对每个型号独立计算新价、独立写入调价记录（原因自动标注批量模式与参数），并汇总记录一条批量操作日志。</w:t>
      </w:r>
    </w:p>
    <w:p>
      <w:pPr>
        <w:pStyle w:val="Heading4"/>
        <w:spacing w:after="80" w:before="200" w:line="312"/>
      </w:pPr>
      <w:bookmarkStart w:id="100199" w:name="_Toc100199"/>
      <w:r>
        <w:rPr>
          <w:rFonts w:ascii="Times New Roman" w:eastAsia="SimHei"/>
          <w:b/>
          <w:bCs/>
          <w:color w:val="000000"/>
          <w:sz w:val="24"/>
          <w:szCs w:val="24"/>
        </w:rPr>
        <w:t xml:space="preserve">6.5.4.4 调价审计</w:t>
      </w:r>
      <w:bookmarkEnd w:id="100199"/>
    </w:p>
    <w:p>
      <w:pPr>
        <w:spacing w:after="60" w:line="440" w:lineRule="exact"/>
        <w:ind w:firstLine="480"/>
        <w:jc w:val="both"/>
      </w:pPr>
      <w:r>
        <w:rPr>
          <w:rFonts w:ascii="Times New Roman" w:eastAsia="SimSun"/>
          <w:b w:val="false"/>
          <w:bCs w:val="false"/>
          <w:color w:val="000000"/>
          <w:sz w:val="24"/>
          <w:szCs w:val="24"/>
        </w:rPr>
        <w:t xml:space="preserve">调价记录页分页展示全部调价历史，字段含型号名称、调价前后价格、调价原因、操作人与时间。支持按型号过滤并按时间正序查看，形成单一型号的完整价格走势曲线，为争议订单复核、行情复盘与责任审计提供依据。调价记录不可删除与修改。</w:t>
      </w:r>
    </w:p>
    <w:p>
      <w:pPr>
        <w:pBdr>
          <w:top w:val="dashed" w:color="999999" w:sz="4" w:space="10"/>
          <w:bottom w:val="dashed" w:color="999999" w:sz="4" w:space="10"/>
          <w:left w:val="dashed" w:color="999999" w:sz="4" w:space="30"/>
          <w:right w:val="dashed" w:color="999999"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000000"/>
          <w:sz w:val="21"/>
          <w:szCs w:val="21"/>
        </w:rPr>
        <w:t xml:space="preserve">图 6-6 调价与调价记录（可插入截图）</w:t>
      </w:r>
    </w:p>
    <w:p>
      <w:pPr>
        <w:pStyle w:val="Heading2"/>
        <w:spacing w:after="140" w:before="300" w:line="312"/>
      </w:pPr>
      <w:bookmarkStart w:id="100200" w:name="_Toc100200"/>
      <w:r>
        <w:rPr>
          <w:rFonts w:ascii="Times New Roman" w:eastAsia="SimHei"/>
          <w:b/>
          <w:bCs/>
          <w:color w:val="000000"/>
          <w:sz w:val="30"/>
          <w:szCs w:val="30"/>
        </w:rPr>
        <w:t xml:space="preserve">6.6 回收平台管理</w:t>
      </w:r>
      <w:bookmarkEnd w:id="100200"/>
    </w:p>
    <w:p>
      <w:pPr>
        <w:pStyle w:val="Heading3"/>
        <w:spacing w:after="100" w:before="240" w:line="312"/>
      </w:pPr>
      <w:bookmarkStart w:id="100201" w:name="_Toc100201"/>
      <w:r>
        <w:rPr>
          <w:rFonts w:ascii="Times New Roman" w:eastAsia="SimHei"/>
          <w:b/>
          <w:bCs/>
          <w:color w:val="000000"/>
          <w:sz w:val="28"/>
          <w:szCs w:val="28"/>
        </w:rPr>
        <w:t xml:space="preserve">6.6.1 平台档案字段</w:t>
      </w:r>
      <w:bookmarkEnd w:id="100201"/>
    </w:p>
    <w:p>
      <w:pPr>
        <w:spacing w:after="60" w:line="440" w:lineRule="exact"/>
        <w:ind w:firstLine="480"/>
        <w:jc w:val="both"/>
      </w:pPr>
      <w:r>
        <w:rPr>
          <w:rFonts w:ascii="Times New Roman" w:eastAsia="SimSun"/>
          <w:b w:val="false"/>
          <w:bCs w:val="false"/>
          <w:color w:val="000000"/>
          <w:sz w:val="24"/>
          <w:szCs w:val="24"/>
        </w:rPr>
        <w:t xml:space="preserve">每个平台档案维护十一类信息：平台名称、平台网址（强制 http/https 协议）、平台类型、字标与品牌色、平台说明、服务方式（上门/邮寄/到店）、结算方式（如验机后打款）、佣金/费率说明、联系方式、排序与启用状态。字段设计覆盖运营比价决策所需的全部要素。</w:t>
      </w:r>
    </w:p>
    <w:p>
      <w:pPr>
        <w:pStyle w:val="Heading3"/>
        <w:spacing w:after="100" w:before="240" w:line="312"/>
      </w:pPr>
      <w:bookmarkStart w:id="100202" w:name="_Toc100202"/>
      <w:r>
        <w:rPr>
          <w:rFonts w:ascii="Times New Roman" w:eastAsia="SimHei"/>
          <w:b/>
          <w:bCs/>
          <w:color w:val="000000"/>
          <w:sz w:val="28"/>
          <w:szCs w:val="28"/>
        </w:rPr>
        <w:t xml:space="preserve">6.6.2 平台类型体系</w:t>
      </w:r>
      <w:bookmarkEnd w:id="100202"/>
    </w:p>
    <w:p>
      <w:pPr>
        <w:keepNext/>
        <w:spacing w:after="80" w:before="160" w:line="312"/>
        <w:jc w:val="center"/>
      </w:pPr>
      <w:r>
        <w:rPr>
          <w:rFonts w:ascii="Times New Roman" w:eastAsia="SimSun"/>
          <w:b/>
          <w:bCs/>
          <w:color w:val="000000"/>
          <w:sz w:val="21"/>
          <w:szCs w:val="21"/>
        </w:rPr>
        <w:t xml:space="preserve">表 6-4 回收平台类型定义</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gridCol w:w="100"/>
      </w:tblGrid>
      <w:tr>
        <w:trPr>
          <w:cantSplit/>
          <w:tblHeader/>
        </w:trPr>
        <w:tc>
          <w:tcPr>
            <w:tcW w:type="pct" w:w="18%"/>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类型</w:t>
            </w:r>
          </w:p>
        </w:tc>
        <w:tc>
          <w:tcPr>
            <w:tcW w:type="pct" w:w="20%"/>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标识</w:t>
            </w:r>
          </w:p>
        </w:tc>
        <w:tc>
          <w:tcPr>
            <w:tcW w:type="pct" w:w="62%"/>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用途</w:t>
            </w:r>
          </w:p>
        </w:tc>
      </w:tr>
      <w:tr>
        <w:trPr>
          <w:cantSplit/>
        </w:trPr>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回收平台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可直接交售的官方回收渠道（如爱回收、回收宝）</w:t>
            </w:r>
          </w:p>
        </w:tc>
      </w:tr>
      <w:tr>
        <w:trPr>
          <w:cantSplit/>
        </w:trPr>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采购渠道</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procurement</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企业采购二手设备的出货渠道</w:t>
            </w:r>
          </w:p>
        </w:tc>
      </w:tr>
      <w:tr>
        <w:trPr>
          <w:cantSplit/>
        </w:trPr>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比价参考</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compare</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自主定价出售的比价参考（如闲鱼）</w:t>
            </w:r>
          </w:p>
        </w:tc>
      </w:tr>
    </w:tbl>
    <w:p>
      <w:pPr>
        <w:spacing w:after="60" w:line="440" w:lineRule="exact"/>
        <w:ind w:firstLine="480"/>
        <w:jc w:val="both"/>
      </w:pPr>
      <w:r>
        <w:rPr>
          <w:rFonts w:ascii="Times New Roman" w:eastAsia="SimSun"/>
          <w:b w:val="false"/>
          <w:bCs w:val="false"/>
          <w:color w:val="000000"/>
          <w:sz w:val="24"/>
          <w:szCs w:val="24"/>
        </w:rPr>
        <w:t xml:space="preserve">平台列表支持按类型与关键词筛选，档案字段修改与删除实时生效；系统预置爱回收、转转回收、闲鱼、回收宝四个示例平台（含完整服务方式与结算说明），部署后可直接编辑复用。小程序比价区仅展示启用状态的平台。</w:t>
      </w:r>
    </w:p>
    <w:p>
      <w:pPr>
        <w:pStyle w:val="Heading3"/>
        <w:spacing w:after="100" w:before="240" w:line="312"/>
      </w:pPr>
      <w:bookmarkStart w:id="100203" w:name="_Toc100203"/>
      <w:r>
        <w:rPr>
          <w:rFonts w:ascii="Times New Roman" w:eastAsia="SimHei"/>
          <w:b/>
          <w:bCs/>
          <w:color w:val="000000"/>
          <w:sz w:val="28"/>
          <w:szCs w:val="28"/>
        </w:rPr>
        <w:t xml:space="preserve">6.6.3 跳转与点击统计</w:t>
      </w:r>
      <w:bookmarkEnd w:id="100203"/>
    </w:p>
    <w:p>
      <w:pPr>
        <w:spacing w:after="60" w:line="440" w:lineRule="exact"/>
        <w:ind w:firstLine="480"/>
        <w:jc w:val="both"/>
      </w:pPr>
      <w:r>
        <w:rPr>
          <w:rFonts w:ascii="Times New Roman" w:eastAsia="SimSun"/>
          <w:b w:val="false"/>
          <w:bCs w:val="false"/>
          <w:color w:val="000000"/>
          <w:sz w:val="24"/>
          <w:szCs w:val="24"/>
        </w:rPr>
        <w:t xml:space="preserve">后台点击「前往」访问平台时，服务端先累计该平台点击量、写入一条来源为后台的跳转日志，再返回平台真实地址由前端新窗口打开。跳转日志与小程序端上报的点击共同汇入点击统计，后台可按天查看近三十天跳转趋势与点击量排行，评估各平台的使用价值。</w:t>
      </w:r>
    </w:p>
    <w:p>
      <w:pPr>
        <w:pBdr>
          <w:top w:val="dashed" w:color="999999" w:sz="4" w:space="10"/>
          <w:bottom w:val="dashed" w:color="999999" w:sz="4" w:space="10"/>
          <w:left w:val="dashed" w:color="999999" w:sz="4" w:space="30"/>
          <w:right w:val="dashed" w:color="999999"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000000"/>
          <w:sz w:val="21"/>
          <w:szCs w:val="21"/>
        </w:rPr>
        <w:t xml:space="preserve">图 6-7 回收平台管理（可插入截图）</w:t>
      </w:r>
    </w:p>
    <w:p>
      <w:pPr>
        <w:pStyle w:val="Heading2"/>
        <w:spacing w:after="140" w:before="300" w:line="312"/>
      </w:pPr>
      <w:bookmarkStart w:id="100204" w:name="_Toc100204"/>
      <w:r>
        <w:rPr>
          <w:rFonts w:ascii="Times New Roman" w:eastAsia="SimHei"/>
          <w:b/>
          <w:bCs/>
          <w:color w:val="000000"/>
          <w:sz w:val="30"/>
          <w:szCs w:val="30"/>
        </w:rPr>
        <w:t xml:space="preserve">6.7 采购链接管理</w:t>
      </w:r>
      <w:bookmarkEnd w:id="100204"/>
    </w:p>
    <w:p>
      <w:pPr>
        <w:pStyle w:val="Heading3"/>
        <w:spacing w:after="100" w:before="240" w:line="312"/>
      </w:pPr>
      <w:bookmarkStart w:id="100205" w:name="_Toc100205"/>
      <w:r>
        <w:rPr>
          <w:rFonts w:ascii="Times New Roman" w:eastAsia="SimHei"/>
          <w:b/>
          <w:bCs/>
          <w:color w:val="000000"/>
          <w:sz w:val="28"/>
          <w:szCs w:val="28"/>
        </w:rPr>
        <w:t xml:space="preserve">6.7.1 链接字段与关联</w:t>
      </w:r>
      <w:bookmarkEnd w:id="100205"/>
    </w:p>
    <w:p>
      <w:pPr>
        <w:spacing w:after="60" w:line="440" w:lineRule="exact"/>
        <w:ind w:firstLine="480"/>
        <w:jc w:val="both"/>
      </w:pPr>
      <w:r>
        <w:rPr>
          <w:rFonts w:ascii="Times New Roman" w:eastAsia="SimSun"/>
          <w:b w:val="false"/>
          <w:bCs w:val="false"/>
          <w:color w:val="000000"/>
          <w:sz w:val="24"/>
          <w:szCs w:val="24"/>
        </w:rPr>
        <w:t xml:space="preserve">每条采购链接维护名称、地址（强制 http/https）、适用设备分类（可选，留空表示通用）、关联平台（可选）、适用型号关键词、参考价格区间与备注。链接可挂接到具体品类或平台，形成「分类→链接」「平台→链接」两级检索视角，帮助运营在采购决策时快速调出对应渠道。</w:t>
      </w:r>
    </w:p>
    <w:p>
      <w:pPr>
        <w:pStyle w:val="Heading3"/>
        <w:spacing w:after="100" w:before="240" w:line="312"/>
      </w:pPr>
      <w:bookmarkStart w:id="100206" w:name="_Toc100206"/>
      <w:r>
        <w:rPr>
          <w:rFonts w:ascii="Times New Roman" w:eastAsia="SimHei"/>
          <w:b/>
          <w:bCs/>
          <w:color w:val="000000"/>
          <w:sz w:val="28"/>
          <w:szCs w:val="28"/>
        </w:rPr>
        <w:t xml:space="preserve">6.7.2 筛选查询</w:t>
      </w:r>
      <w:bookmarkEnd w:id="100206"/>
    </w:p>
    <w:p>
      <w:pPr>
        <w:spacing w:after="60" w:line="440" w:lineRule="exact"/>
        <w:ind w:firstLine="480"/>
        <w:jc w:val="both"/>
      </w:pPr>
      <w:r>
        <w:rPr>
          <w:rFonts w:ascii="Times New Roman" w:eastAsia="SimSun"/>
          <w:b w:val="false"/>
          <w:bCs w:val="false"/>
          <w:color w:val="000000"/>
          <w:sz w:val="24"/>
          <w:szCs w:val="24"/>
        </w:rPr>
        <w:t xml:space="preserve">链接列表联表展示所属分类名与平台名，支持按分类、关键词（名称/地址/型号关键词/备注）与状态组合筛选；启用/停用状态控制链接是否对运营可见。链接地址与平台地址同样经协议校验，防止录入非法地址。</w:t>
      </w:r>
    </w:p>
    <w:p>
      <w:pPr>
        <w:pStyle w:val="Heading3"/>
        <w:spacing w:after="100" w:before="240" w:line="312"/>
      </w:pPr>
      <w:bookmarkStart w:id="100207" w:name="_Toc100207"/>
      <w:r>
        <w:rPr>
          <w:rFonts w:ascii="Times New Roman" w:eastAsia="SimHei"/>
          <w:b/>
          <w:bCs/>
          <w:color w:val="000000"/>
          <w:sz w:val="28"/>
          <w:szCs w:val="28"/>
        </w:rPr>
        <w:t xml:space="preserve">6.7.3 点击统计与排行</w:t>
      </w:r>
      <w:bookmarkEnd w:id="100207"/>
    </w:p>
    <w:p>
      <w:pPr>
        <w:spacing w:after="60" w:line="440" w:lineRule="exact"/>
        <w:ind w:firstLine="480"/>
        <w:jc w:val="both"/>
      </w:pPr>
      <w:r>
        <w:rPr>
          <w:rFonts w:ascii="Times New Roman" w:eastAsia="SimSun"/>
          <w:b w:val="false"/>
          <w:bCs w:val="false"/>
          <w:color w:val="000000"/>
          <w:sz w:val="24"/>
          <w:szCs w:val="24"/>
        </w:rPr>
        <w:t xml:space="preserve">点击链接时累计点击量、刷新最近点击时间并写入跳转日志（与平台跳转共用日志表，以目标类型区分）。统计视图提供两组数据：近三十天逐日跳转趋势曲线与点击量前十的目标排行（平台与链接混合排名），运营据此优化链接库的收录与排序。</w:t>
      </w:r>
    </w:p>
    <w:p>
      <w:pPr>
        <w:pBdr>
          <w:top w:val="dashed" w:color="999999" w:sz="4" w:space="10"/>
          <w:bottom w:val="dashed" w:color="999999" w:sz="4" w:space="10"/>
          <w:left w:val="dashed" w:color="999999" w:sz="4" w:space="30"/>
          <w:right w:val="dashed" w:color="999999"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000000"/>
          <w:sz w:val="21"/>
          <w:szCs w:val="21"/>
        </w:rPr>
        <w:t xml:space="preserve">图 6-8 采购链接管理（可插入截图）</w:t>
      </w:r>
    </w:p>
    <w:p>
      <w:pPr>
        <w:pStyle w:val="Heading2"/>
        <w:spacing w:after="140" w:before="300" w:line="312"/>
      </w:pPr>
      <w:bookmarkStart w:id="100208" w:name="_Toc100208"/>
      <w:r>
        <w:rPr>
          <w:rFonts w:ascii="Times New Roman" w:eastAsia="SimHei"/>
          <w:b/>
          <w:bCs/>
          <w:color w:val="000000"/>
          <w:sz w:val="30"/>
          <w:szCs w:val="30"/>
        </w:rPr>
        <w:t xml:space="preserve">6.8 估价配置</w:t>
      </w:r>
      <w:bookmarkEnd w:id="100208"/>
    </w:p>
    <w:p>
      <w:pPr>
        <w:pStyle w:val="Heading3"/>
        <w:spacing w:after="100" w:before="240" w:line="312"/>
      </w:pPr>
      <w:bookmarkStart w:id="100209" w:name="_Toc100209"/>
      <w:r>
        <w:rPr>
          <w:rFonts w:ascii="Times New Roman" w:eastAsia="SimHei"/>
          <w:b/>
          <w:bCs/>
          <w:color w:val="000000"/>
          <w:sz w:val="28"/>
          <w:szCs w:val="28"/>
        </w:rPr>
        <w:t xml:space="preserve">6.8.1 核心参数</w:t>
      </w:r>
      <w:bookmarkEnd w:id="100209"/>
    </w:p>
    <w:p>
      <w:pPr>
        <w:spacing w:after="60" w:line="440" w:lineRule="exact"/>
        <w:ind w:firstLine="480"/>
        <w:jc w:val="both"/>
      </w:pPr>
      <w:r>
        <w:rPr>
          <w:rFonts w:ascii="Times New Roman" w:eastAsia="SimSun"/>
          <w:b w:val="false"/>
          <w:bCs w:val="false"/>
          <w:color w:val="000000"/>
          <w:sz w:val="24"/>
          <w:szCs w:val="24"/>
        </w:rPr>
        <w:t xml:space="preserve">配置页顶部以参数卡片维护三个全局开关：二手基准系数（取值 0.1~1、步进 0.05，是全部估价的兜底折扣，页面注明「即便全新设备也按此折扣回收」）、配价有效期（1~30 天，超期后小程序端需重新询价）与小程序 AI 估价开关（开启后问答式估价由 AI 辅助判档）。参数保存即时生效并写操作日志。</w:t>
      </w:r>
    </w:p>
    <w:p>
      <w:pPr>
        <w:pStyle w:val="Heading3"/>
        <w:spacing w:after="100" w:before="240" w:line="312"/>
      </w:pPr>
      <w:bookmarkStart w:id="100210" w:name="_Toc100210"/>
      <w:r>
        <w:rPr>
          <w:rFonts w:ascii="Times New Roman" w:eastAsia="SimHei"/>
          <w:b/>
          <w:bCs/>
          <w:color w:val="000000"/>
          <w:sz w:val="28"/>
          <w:szCs w:val="28"/>
        </w:rPr>
        <w:t xml:space="preserve">6.8.2 品类估价系数</w:t>
      </w:r>
      <w:bookmarkEnd w:id="100210"/>
    </w:p>
    <w:p>
      <w:pPr>
        <w:spacing w:after="60" w:line="440" w:lineRule="exact"/>
        <w:ind w:firstLine="480"/>
        <w:jc w:val="both"/>
      </w:pPr>
      <w:r>
        <w:rPr>
          <w:rFonts w:ascii="Times New Roman" w:eastAsia="SimSun"/>
          <w:b w:val="false"/>
          <w:bCs w:val="false"/>
          <w:color w:val="000000"/>
          <w:sz w:val="24"/>
          <w:szCs w:val="24"/>
        </w:rPr>
        <w:t xml:space="preserve">为每个回收品类单独设定整体折算系数（取值 0.1~2），卡片同时展示该品类型号数量与基准价均价，帮助运营判断系数调整的影响面。品类系数参与估价公式：最终价 = 基准价 × 二手基准系数 × 品类系数 × 各因子系数，用于按品类的保值差异整体调节（如服务器类流通慢可整体调低、热门手机类可微调上调）。</w:t>
      </w:r>
    </w:p>
    <w:p>
      <w:pPr>
        <w:pStyle w:val="Heading3"/>
        <w:spacing w:after="100" w:before="240" w:line="312"/>
      </w:pPr>
      <w:bookmarkStart w:id="100211" w:name="_Toc100211"/>
      <w:r>
        <w:rPr>
          <w:rFonts w:ascii="Times New Roman" w:eastAsia="SimHei"/>
          <w:b/>
          <w:bCs/>
          <w:color w:val="000000"/>
          <w:sz w:val="28"/>
          <w:szCs w:val="28"/>
        </w:rPr>
        <w:t xml:space="preserve">6.8.3 因子系数维护</w:t>
      </w:r>
      <w:bookmarkEnd w:id="100211"/>
    </w:p>
    <w:p>
      <w:pPr>
        <w:spacing w:after="60" w:line="440" w:lineRule="exact"/>
        <w:ind w:firstLine="480"/>
        <w:jc w:val="both"/>
      </w:pPr>
      <w:r>
        <w:rPr>
          <w:rFonts w:ascii="Times New Roman" w:eastAsia="SimSun"/>
          <w:b w:val="false"/>
          <w:bCs w:val="false"/>
          <w:color w:val="000000"/>
          <w:sz w:val="24"/>
          <w:szCs w:val="24"/>
        </w:rPr>
        <w:t xml:space="preserve">按六大评估因子分组维护选项与系数：可修改既有选项的文案与系数（0~2），可新增自定义档位（系统自动生成与小程序匹配的唯一编码），可删除冗余档位（每因子至少保留两项）。全部修改即时下发小程序端，估价口径实时统一。</w:t>
      </w:r>
    </w:p>
    <w:p>
      <w:pPr>
        <w:pStyle w:val="Heading3"/>
        <w:spacing w:after="100" w:before="240" w:line="312"/>
      </w:pPr>
      <w:bookmarkStart w:id="100212" w:name="_Toc100212"/>
      <w:r>
        <w:rPr>
          <w:rFonts w:ascii="Times New Roman" w:eastAsia="SimHei"/>
          <w:b/>
          <w:bCs/>
          <w:color w:val="000000"/>
          <w:sz w:val="28"/>
          <w:szCs w:val="28"/>
        </w:rPr>
        <w:t xml:space="preserve">6.8.4 估价模拟器</w:t>
      </w:r>
      <w:bookmarkEnd w:id="100212"/>
    </w:p>
    <w:p>
      <w:pPr>
        <w:spacing w:after="60" w:line="440" w:lineRule="exact"/>
        <w:ind w:firstLine="480"/>
        <w:jc w:val="both"/>
      </w:pPr>
      <w:r>
        <w:rPr>
          <w:rFonts w:ascii="Times New Roman" w:eastAsia="SimSun"/>
          <w:b w:val="false"/>
          <w:bCs w:val="false"/>
          <w:color w:val="000000"/>
          <w:sz w:val="24"/>
          <w:szCs w:val="24"/>
        </w:rPr>
        <w:t xml:space="preserve">配置页内置实时估价模拟器：选择品类与型号基准价、调节二手基准系数、品类系数与各因子系数后，即时演算最终回收价。模拟器让运营在调参前先预判报价变化幅度，配合调价幅度保护使用，避免盲目调参引发报价波动。</w:t>
      </w:r>
    </w:p>
    <w:p>
      <w:pPr>
        <w:pBdr>
          <w:top w:val="dashed" w:color="999999" w:sz="4" w:space="10"/>
          <w:bottom w:val="dashed" w:color="999999" w:sz="4" w:space="10"/>
          <w:left w:val="dashed" w:color="999999" w:sz="4" w:space="30"/>
          <w:right w:val="dashed" w:color="999999"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000000"/>
          <w:sz w:val="21"/>
          <w:szCs w:val="21"/>
        </w:rPr>
        <w:t xml:space="preserve">图 6-9 估价配置与模拟器（可插入截图）</w:t>
      </w:r>
    </w:p>
    <w:p>
      <w:pPr>
        <w:pStyle w:val="Heading2"/>
        <w:spacing w:after="140" w:before="300" w:line="312"/>
      </w:pPr>
      <w:bookmarkStart w:id="100213" w:name="_Toc100213"/>
      <w:r>
        <w:rPr>
          <w:rFonts w:ascii="Times New Roman" w:eastAsia="SimHei"/>
          <w:b/>
          <w:bCs/>
          <w:color w:val="000000"/>
          <w:sz w:val="30"/>
          <w:szCs w:val="30"/>
        </w:rPr>
        <w:t xml:space="preserve">6.9 操作日志</w:t>
      </w:r>
      <w:bookmarkEnd w:id="100213"/>
    </w:p>
    <w:p>
      <w:pPr>
        <w:pStyle w:val="Heading3"/>
        <w:spacing w:after="100" w:before="240" w:line="312"/>
      </w:pPr>
      <w:bookmarkStart w:id="100214" w:name="_Toc100214"/>
      <w:r>
        <w:rPr>
          <w:rFonts w:ascii="Times New Roman" w:eastAsia="SimHei"/>
          <w:b/>
          <w:bCs/>
          <w:color w:val="000000"/>
          <w:sz w:val="28"/>
          <w:szCs w:val="28"/>
        </w:rPr>
        <w:t xml:space="preserve">6.9.1 日志覆盖范围</w:t>
      </w:r>
      <w:bookmarkEnd w:id="100214"/>
    </w:p>
    <w:p>
      <w:pPr>
        <w:spacing w:after="60" w:line="440" w:lineRule="exact"/>
        <w:ind w:firstLine="480"/>
        <w:jc w:val="both"/>
      </w:pPr>
      <w:r>
        <w:rPr>
          <w:rFonts w:ascii="Times New Roman" w:eastAsia="SimSun"/>
          <w:b w:val="false"/>
          <w:bCs w:val="false"/>
          <w:color w:val="000000"/>
          <w:sz w:val="24"/>
          <w:szCs w:val="24"/>
        </w:rPr>
        <w:t xml:space="preserve">操作日志由各业务接口自动写入，覆盖后台全部写操作与登录行为：认证类（登录、单点登录、修改密码）、订单类（报价、状态流转、创建、导出）、配价类（分类/品牌/型号增删改、调价、批量调价、品类系数）、平台与链接类（增删改）、设置类（参数保存、系数调整、管理员管理）。日志写入失败不影响业务主流程。</w:t>
      </w:r>
    </w:p>
    <w:p>
      <w:pPr>
        <w:pStyle w:val="Heading3"/>
        <w:spacing w:after="100" w:before="240" w:line="312"/>
      </w:pPr>
      <w:bookmarkStart w:id="100215" w:name="_Toc100215"/>
      <w:r>
        <w:rPr>
          <w:rFonts w:ascii="Times New Roman" w:eastAsia="SimHei"/>
          <w:b/>
          <w:bCs/>
          <w:color w:val="000000"/>
          <w:sz w:val="28"/>
          <w:szCs w:val="28"/>
        </w:rPr>
        <w:t xml:space="preserve">6.9.2 日志检索</w:t>
      </w:r>
      <w:bookmarkEnd w:id="100215"/>
    </w:p>
    <w:p>
      <w:pPr>
        <w:spacing w:after="60" w:line="440" w:lineRule="exact"/>
        <w:ind w:firstLine="480"/>
        <w:jc w:val="both"/>
      </w:pPr>
      <w:r>
        <w:rPr>
          <w:rFonts w:ascii="Times New Roman" w:eastAsia="SimSun"/>
          <w:b w:val="false"/>
          <w:bCs w:val="false"/>
          <w:color w:val="000000"/>
          <w:sz w:val="24"/>
          <w:szCs w:val="24"/>
        </w:rPr>
        <w:t xml:space="preserve">日志页支持三类条件组合检索：模块（订单/配价/平台/链接/设置/认证）、关键词（匹配操作人、动作与明细内容）与日期区间，结果按时间倒序分页展示。运营可快速回答「谁在什么时候对哪笔订单做了什么」的审计问题。</w:t>
      </w:r>
    </w:p>
    <w:p>
      <w:pPr>
        <w:pStyle w:val="Heading3"/>
        <w:spacing w:after="100" w:before="240" w:line="312"/>
      </w:pPr>
      <w:bookmarkStart w:id="100216" w:name="_Toc100216"/>
      <w:r>
        <w:rPr>
          <w:rFonts w:ascii="Times New Roman" w:eastAsia="SimHei"/>
          <w:b/>
          <w:bCs/>
          <w:color w:val="000000"/>
          <w:sz w:val="28"/>
          <w:szCs w:val="28"/>
        </w:rPr>
        <w:t xml:space="preserve">6.9.3 日志字段</w:t>
      </w:r>
      <w:bookmarkEnd w:id="100216"/>
    </w:p>
    <w:p>
      <w:pPr>
        <w:spacing w:after="60" w:line="440" w:lineRule="exact"/>
        <w:ind w:firstLine="480"/>
        <w:jc w:val="both"/>
      </w:pPr>
      <w:r>
        <w:rPr>
          <w:rFonts w:ascii="Times New Roman" w:eastAsia="SimSun"/>
          <w:b w:val="false"/>
          <w:bCs w:val="false"/>
          <w:color w:val="000000"/>
          <w:sz w:val="24"/>
          <w:szCs w:val="24"/>
        </w:rPr>
        <w:t xml:space="preserve">每条日志记录操作管理员标识与姓名、所属模块、动作类型、操作明细（含订单号、金额、前后状态等关键信息，超长自动截断至一千字符）、来源 IP 与操作时间。日志表按模块与时间建立索引，长期积累下检索性能稳定。</w:t>
      </w:r>
    </w:p>
    <w:p>
      <w:pPr>
        <w:pBdr>
          <w:top w:val="dashed" w:color="999999" w:sz="4" w:space="10"/>
          <w:bottom w:val="dashed" w:color="999999" w:sz="4" w:space="10"/>
          <w:left w:val="dashed" w:color="999999" w:sz="4" w:space="30"/>
          <w:right w:val="dashed" w:color="999999"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000000"/>
          <w:sz w:val="21"/>
          <w:szCs w:val="21"/>
        </w:rPr>
        <w:t xml:space="preserve">图 6-10 操作日志（可插入截图）</w:t>
      </w:r>
    </w:p>
    <w:p>
      <w:pPr>
        <w:pStyle w:val="Heading2"/>
        <w:spacing w:after="140" w:before="300" w:line="312"/>
      </w:pPr>
      <w:bookmarkStart w:id="100217" w:name="_Toc100217"/>
      <w:r>
        <w:rPr>
          <w:rFonts w:ascii="Times New Roman" w:eastAsia="SimHei"/>
          <w:b/>
          <w:bCs/>
          <w:color w:val="000000"/>
          <w:sz w:val="30"/>
          <w:szCs w:val="30"/>
        </w:rPr>
        <w:t xml:space="preserve">6.10 系统设置</w:t>
      </w:r>
      <w:bookmarkEnd w:id="100217"/>
    </w:p>
    <w:p>
      <w:pPr>
        <w:pStyle w:val="Heading3"/>
        <w:spacing w:after="100" w:before="240" w:line="312"/>
      </w:pPr>
      <w:bookmarkStart w:id="100218" w:name="_Toc100218"/>
      <w:r>
        <w:rPr>
          <w:rFonts w:ascii="Times New Roman" w:eastAsia="SimHei"/>
          <w:b/>
          <w:bCs/>
          <w:color w:val="000000"/>
          <w:sz w:val="28"/>
          <w:szCs w:val="28"/>
        </w:rPr>
        <w:t xml:space="preserve">6.10.1 系统参数</w:t>
      </w:r>
      <w:bookmarkEnd w:id="100218"/>
    </w:p>
    <w:p>
      <w:pPr>
        <w:spacing w:after="60" w:line="440" w:lineRule="exact"/>
        <w:ind w:firstLine="480"/>
        <w:jc w:val="both"/>
      </w:pPr>
      <w:r>
        <w:rPr>
          <w:rFonts w:ascii="Times New Roman" w:eastAsia="SimSun"/>
          <w:b w:val="false"/>
          <w:bCs w:val="false"/>
          <w:color w:val="000000"/>
          <w:sz w:val="24"/>
          <w:szCs w:val="24"/>
        </w:rPr>
        <w:t xml:space="preserve">以列表形式展示并编辑全部系统参数，包括各预置参数（基准系数、AI 开关、配价有效期、服务电话、回收须知、调价上限）与环保换算系数；每项参数附用途说明与最近更新时间，支持批量保存，保存记录更新人。参数值以字符串存储，业务代码按需转换为数值使用。</w:t>
      </w:r>
    </w:p>
    <w:p>
      <w:pPr>
        <w:pStyle w:val="Heading3"/>
        <w:spacing w:after="100" w:before="240" w:line="312"/>
      </w:pPr>
      <w:bookmarkStart w:id="100219" w:name="_Toc100219"/>
      <w:r>
        <w:rPr>
          <w:rFonts w:ascii="Times New Roman" w:eastAsia="SimHei"/>
          <w:b/>
          <w:bCs/>
          <w:color w:val="000000"/>
          <w:sz w:val="28"/>
          <w:szCs w:val="28"/>
        </w:rPr>
        <w:t xml:space="preserve">6.10.2 管理员管理</w:t>
      </w:r>
      <w:bookmarkEnd w:id="100219"/>
    </w:p>
    <w:p>
      <w:pPr>
        <w:spacing w:after="60" w:line="440" w:lineRule="exact"/>
        <w:ind w:firstLine="480"/>
        <w:jc w:val="both"/>
      </w:pPr>
      <w:r>
        <w:rPr>
          <w:rFonts w:ascii="Times New Roman" w:eastAsia="SimSun"/>
          <w:b w:val="false"/>
          <w:bCs w:val="false"/>
          <w:color w:val="000000"/>
          <w:sz w:val="24"/>
          <w:szCs w:val="24"/>
        </w:rPr>
        <w:t xml:space="preserve">超级管理员专属功能，提供管理员的增删改查：新增管理员需指定账号（全局唯一）、密码（不少于六位）与三级角色之一；编辑支持调整姓名、角色、启用状态与重置密码；全部操作仅超级管理员可见与可执行。</w:t>
      </w:r>
    </w:p>
    <w:p>
      <w:pPr>
        <w:pStyle w:val="Heading3"/>
        <w:spacing w:after="100" w:before="240" w:line="312"/>
      </w:pPr>
      <w:bookmarkStart w:id="100220" w:name="_Toc100220"/>
      <w:r>
        <w:rPr>
          <w:rFonts w:ascii="Times New Roman" w:eastAsia="SimHei"/>
          <w:b/>
          <w:bCs/>
          <w:color w:val="000000"/>
          <w:sz w:val="28"/>
          <w:szCs w:val="28"/>
        </w:rPr>
        <w:t xml:space="preserve">6.10.3 管理员保护规则</w:t>
      </w:r>
      <w:bookmarkEnd w:id="100220"/>
    </w:p>
    <w:p>
      <w:pPr>
        <w:spacing w:after="60" w:line="440" w:lineRule="exact"/>
        <w:ind w:firstLine="480"/>
        <w:jc w:val="both"/>
      </w:pPr>
      <w:r>
        <w:rPr>
          <w:rFonts w:ascii="Times New Roman" w:eastAsia="SimSun"/>
          <w:b w:val="false"/>
          <w:bCs w:val="false"/>
          <w:color w:val="000000"/>
          <w:sz w:val="24"/>
          <w:szCs w:val="24"/>
        </w:rPr>
        <w:t xml:space="preserve">账号管理内置四重保护：新账号重名拒绝创建；不可禁用自己的账号；不可删除自己的账号；删除最后一个超级管理员被拒绝。保护规则在服务端强制执行，避免误操作导致系统失去管理入口。</w:t>
      </w:r>
    </w:p>
    <w:p>
      <w:pPr>
        <w:pStyle w:val="Heading3"/>
        <w:spacing w:after="100" w:before="240" w:line="312"/>
      </w:pPr>
      <w:bookmarkStart w:id="100221" w:name="_Toc100221"/>
      <w:r>
        <w:rPr>
          <w:rFonts w:ascii="Times New Roman" w:eastAsia="SimHei"/>
          <w:b/>
          <w:bCs/>
          <w:color w:val="000000"/>
          <w:sz w:val="28"/>
          <w:szCs w:val="28"/>
        </w:rPr>
        <w:t xml:space="preserve">6.10.4 界面框架与主题</w:t>
      </w:r>
      <w:bookmarkEnd w:id="100221"/>
    </w:p>
    <w:p>
      <w:pPr>
        <w:spacing w:after="60" w:line="440" w:lineRule="exact"/>
        <w:ind w:firstLine="480"/>
        <w:jc w:val="both"/>
      </w:pPr>
      <w:r>
        <w:rPr>
          <w:rFonts w:ascii="Times New Roman" w:eastAsia="SimSun"/>
          <w:b w:val="false"/>
          <w:bCs w:val="false"/>
          <w:color w:val="000000"/>
          <w:sz w:val="24"/>
          <w:szCs w:val="24"/>
        </w:rPr>
        <w:t xml:space="preserve">后台主界面采用左侧导航加顶部工具栏的经典布局：侧边栏展示平台标识与九个功能菜单、支持折叠；顶部展示面包屑导航、日间/夜间主题切换滑块（与维修后台共享主题偏好、双系统同步）、返回维修系统入口与个人菜单（修改密码、退出登录）。主题切换基于全局样式事件广播实现，刷新与跨系统后保持选择。</w:t>
      </w:r>
    </w:p>
    <w:p>
      <w:pPr>
        <w:pBdr>
          <w:top w:val="dashed" w:color="999999" w:sz="4" w:space="10"/>
          <w:bottom w:val="dashed" w:color="999999" w:sz="4" w:space="10"/>
          <w:left w:val="dashed" w:color="999999" w:sz="4" w:space="30"/>
          <w:right w:val="dashed" w:color="999999"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000000"/>
          <w:sz w:val="21"/>
          <w:szCs w:val="21"/>
        </w:rPr>
        <w:t xml:space="preserve">图 6-11 系统设置与主界面（可插入截图）</w:t>
      </w:r>
    </w:p>
    <w:p>
      <w:pPr>
        <w:pStyle w:val="Heading2"/>
        <w:spacing w:after="140" w:before="300" w:line="312"/>
      </w:pPr>
      <w:bookmarkStart w:id="100222" w:name="_Toc100222"/>
      <w:r>
        <w:rPr>
          <w:rFonts w:ascii="Times New Roman" w:eastAsia="SimHei"/>
          <w:b/>
          <w:bCs/>
          <w:color w:val="000000"/>
          <w:sz w:val="30"/>
          <w:szCs w:val="30"/>
        </w:rPr>
        <w:t xml:space="preserve">6.11 后台关键实现机制</w:t>
      </w:r>
      <w:bookmarkEnd w:id="100222"/>
    </w:p>
    <w:p>
      <w:pPr>
        <w:spacing w:after="60" w:line="440" w:lineRule="exact"/>
        <w:ind w:firstLine="480"/>
        <w:jc w:val="both"/>
      </w:pPr>
      <w:r>
        <w:rPr>
          <w:rFonts w:ascii="Times New Roman" w:eastAsia="SimSun"/>
          <w:b w:val="false"/>
          <w:bCs w:val="false"/>
          <w:color w:val="000000"/>
          <w:sz w:val="24"/>
          <w:szCs w:val="24"/>
        </w:rPr>
        <w:t xml:space="preserve">本节说明管理后台各功能模块背后的核心实现机制，包括看板聚合、大屏呈现、订单查询、调价保护、导出、鉴权链路与单点登录七个部分。</w:t>
      </w:r>
    </w:p>
    <w:p>
      <w:pPr>
        <w:pStyle w:val="Heading3"/>
        <w:spacing w:after="100" w:before="240" w:line="312"/>
      </w:pPr>
      <w:bookmarkStart w:id="100223" w:name="_Toc100223"/>
      <w:r>
        <w:rPr>
          <w:rFonts w:ascii="Times New Roman" w:eastAsia="SimHei"/>
          <w:b/>
          <w:bCs/>
          <w:color w:val="000000"/>
          <w:sz w:val="28"/>
          <w:szCs w:val="28"/>
        </w:rPr>
        <w:t xml:space="preserve">6.11.1 看板数据聚合实现</w:t>
      </w:r>
      <w:bookmarkEnd w:id="100223"/>
    </w:p>
    <w:p>
      <w:pPr>
        <w:spacing w:after="60" w:line="440" w:lineRule="exact"/>
        <w:ind w:firstLine="480"/>
        <w:jc w:val="both"/>
      </w:pPr>
      <w:r>
        <w:rPr>
          <w:rFonts w:ascii="Times New Roman" w:eastAsia="SimSun"/>
          <w:b w:val="false"/>
          <w:bCs w:val="false"/>
          <w:color w:val="000000"/>
          <w:sz w:val="24"/>
          <w:szCs w:val="24"/>
        </w:rPr>
        <w:t xml:space="preserve">看板接口以单条统计 SQL 配合条件聚合完成全维度汇总：对订单总数、各状态计数、今日与本月订单、累计及本月成交额分别以条件表达式在同一次表扫描中得出，避免多次往返；趋势、机型排行、类型分布、最新订单、配价概况与点击趋势六组数据再以并行查询同时发出，接口总耗时接近最慢一条查询。环保换算在服务端完成（保留一位小数）后随响应返回；前端拿到数据后由数字滚动函数驱动动画呈现，大数据量下看板仍可秒级加载。</w:t>
      </w:r>
    </w:p>
    <w:p>
      <w:pPr>
        <w:pStyle w:val="Heading3"/>
        <w:spacing w:after="100" w:before="240" w:line="312"/>
      </w:pPr>
      <w:bookmarkStart w:id="100224" w:name="_Toc100224"/>
      <w:r>
        <w:rPr>
          <w:rFonts w:ascii="Times New Roman" w:eastAsia="SimHei"/>
          <w:b/>
          <w:bCs/>
          <w:color w:val="000000"/>
          <w:sz w:val="28"/>
          <w:szCs w:val="28"/>
        </w:rPr>
        <w:t xml:space="preserve">6.11.2 数据大屏实现</w:t>
      </w:r>
      <w:bookmarkEnd w:id="100224"/>
    </w:p>
    <w:p>
      <w:pPr>
        <w:spacing w:after="60" w:line="440" w:lineRule="exact"/>
        <w:ind w:firstLine="480"/>
        <w:jc w:val="both"/>
      </w:pPr>
      <w:r>
        <w:rPr>
          <w:rFonts w:ascii="Times New Roman" w:eastAsia="SimSun"/>
          <w:b w:val="false"/>
          <w:bCs w:val="false"/>
          <w:color w:val="000000"/>
          <w:sz w:val="24"/>
          <w:szCs w:val="24"/>
        </w:rPr>
        <w:t xml:space="preserve">大屏视觉层完全由层叠样式实现：网格背景以线性渐变平铺、两组彩色光晕以模糊径向渐变绝对定位、扫描线以关键帧动画往复移动，均为纯样式绘制不引入图片资源；时钟以秒级定时器刷新时间、日期与星期显示；全屏按钮调用浏览器全屏接口进入与退出。图表面板复用 ECharts 并按深色主题重设配色与文字颜色；数据接口与看板同源，大屏与看板数字永远一致。</w:t>
      </w:r>
    </w:p>
    <w:p>
      <w:pPr>
        <w:pStyle w:val="Heading3"/>
        <w:spacing w:after="100" w:before="240" w:line="312"/>
      </w:pPr>
      <w:bookmarkStart w:id="100225" w:name="_Toc100225"/>
      <w:r>
        <w:rPr>
          <w:rFonts w:ascii="Times New Roman" w:eastAsia="SimHei"/>
          <w:b/>
          <w:bCs/>
          <w:color w:val="000000"/>
          <w:sz w:val="28"/>
          <w:szCs w:val="28"/>
        </w:rPr>
        <w:t xml:space="preserve">6.11.3 订单查询实现</w:t>
      </w:r>
      <w:bookmarkEnd w:id="100225"/>
    </w:p>
    <w:p>
      <w:pPr>
        <w:spacing w:after="60" w:line="440" w:lineRule="exact"/>
        <w:ind w:firstLine="480"/>
        <w:jc w:val="both"/>
      </w:pPr>
      <w:r>
        <w:rPr>
          <w:rFonts w:ascii="Times New Roman" w:eastAsia="SimSun"/>
          <w:b w:val="false"/>
          <w:bCs w:val="false"/>
          <w:color w:val="000000"/>
          <w:sz w:val="24"/>
          <w:szCs w:val="24"/>
        </w:rPr>
        <w:t xml:space="preserve">订单列表查询以字段清单函数按表结构动态组装查询列；筛选条件以条件数组加参数数组的方式拼装——每个条件独立入数组、用户输入全部经参数占位传入，从结构上杜绝注入；列表查询与计数统计两条 SQL 并行执行，计数 SQL 同时累加已完成订单成交额供列表顶部汇总展示；分页参数在服务端钳制（页码不小于一、每页上限一百条）。订单图片字段做三态容错解析：兼容 JSON 数组字符串、已解析数组与脏数据，异常时返回空数组保证列表不因个别脏数据报错。</w:t>
      </w:r>
    </w:p>
    <w:p>
      <w:pPr>
        <w:pStyle w:val="Heading3"/>
        <w:spacing w:after="100" w:before="240" w:line="312"/>
      </w:pPr>
      <w:bookmarkStart w:id="100226" w:name="_Toc100226"/>
      <w:r>
        <w:rPr>
          <w:rFonts w:ascii="Times New Roman" w:eastAsia="SimHei"/>
          <w:b/>
          <w:bCs/>
          <w:color w:val="000000"/>
          <w:sz w:val="28"/>
          <w:szCs w:val="28"/>
        </w:rPr>
        <w:t xml:space="preserve">6.11.4 调价保护与批量实现</w:t>
      </w:r>
      <w:bookmarkEnd w:id="100226"/>
    </w:p>
    <w:p>
      <w:pPr>
        <w:spacing w:after="60" w:line="440" w:lineRule="exact"/>
        <w:ind w:firstLine="480"/>
        <w:jc w:val="both"/>
      </w:pPr>
      <w:r>
        <w:rPr>
          <w:rFonts w:ascii="Times New Roman" w:eastAsia="SimSun"/>
          <w:b w:val="false"/>
          <w:bCs w:val="false"/>
          <w:color w:val="000000"/>
          <w:sz w:val="24"/>
          <w:szCs w:val="24"/>
        </w:rPr>
        <w:t xml:space="preserve">单型号调价先读取现价计算幅度百分比，与系统参数上限比较：超限时本次请求终止并返回需二次确认标记，前端弹窗展示前后价格与幅度，用户确认后携带强制标记重发方才执行——保护逻辑在服务端实施，绕过前端亦无法直接大幅调价。批量调价先以占位符 IN 查询取回全部目标型号现价，再逐型号计算新价（百分比模式四舍五入取整、固定值模式钳制非负）并同步写入调价记录，原因自动标注批量模式与参数。两条路径最终均写入操作日志，形成型号表、调价记录、操作日志三层可追溯记录。</w:t>
      </w:r>
    </w:p>
    <w:p>
      <w:pPr>
        <w:pStyle w:val="Heading3"/>
        <w:spacing w:after="100" w:before="240" w:line="312"/>
      </w:pPr>
      <w:bookmarkStart w:id="100227" w:name="_Toc100227"/>
      <w:r>
        <w:rPr>
          <w:rFonts w:ascii="Times New Roman" w:eastAsia="SimHei"/>
          <w:b/>
          <w:bCs/>
          <w:color w:val="000000"/>
          <w:sz w:val="28"/>
          <w:szCs w:val="28"/>
        </w:rPr>
        <w:t xml:space="preserve">6.11.5 导出实现</w:t>
      </w:r>
      <w:bookmarkEnd w:id="100227"/>
    </w:p>
    <w:p>
      <w:pPr>
        <w:spacing w:after="60" w:line="440" w:lineRule="exact"/>
        <w:ind w:firstLine="480"/>
        <w:jc w:val="both"/>
      </w:pPr>
      <w:r>
        <w:rPr>
          <w:rFonts w:ascii="Times New Roman" w:eastAsia="SimSun"/>
          <w:b w:val="false"/>
          <w:bCs w:val="false"/>
          <w:color w:val="000000"/>
          <w:sz w:val="24"/>
          <w:szCs w:val="24"/>
        </w:rPr>
        <w:t xml:space="preserve">CSV 导出在服务端流式拼接：字段值内的双引号按 CSV 标准翻倍转义、每字段整体以引号包裹，行以回车换行分隔；文件体首部写入 BOM 字符，保证 Excel 双击打开即按 UTF-8 识别中文；以附件下载响应头返回文件流，文件名附带时间戳避免同名冲突。订单导出与配价导出共用同一套拼接逻辑，导出动作记录操作日志并包含导出条数。</w:t>
      </w:r>
    </w:p>
    <w:p>
      <w:pPr>
        <w:pStyle w:val="Heading3"/>
        <w:spacing w:after="100" w:before="240" w:line="312"/>
      </w:pPr>
      <w:bookmarkStart w:id="100228" w:name="_Toc100228"/>
      <w:r>
        <w:rPr>
          <w:rFonts w:ascii="Times New Roman" w:eastAsia="SimHei"/>
          <w:b/>
          <w:bCs/>
          <w:color w:val="000000"/>
          <w:sz w:val="28"/>
          <w:szCs w:val="28"/>
        </w:rPr>
        <w:t xml:space="preserve">6.11.6 鉴权中间件链实现</w:t>
      </w:r>
      <w:bookmarkEnd w:id="100228"/>
    </w:p>
    <w:p>
      <w:pPr>
        <w:spacing w:after="60" w:line="440" w:lineRule="exact"/>
        <w:ind w:firstLine="480"/>
        <w:jc w:val="both"/>
      </w:pPr>
      <w:r>
        <w:rPr>
          <w:rFonts w:ascii="Times New Roman" w:eastAsia="SimSun"/>
          <w:b w:val="false"/>
          <w:bCs w:val="false"/>
          <w:color w:val="000000"/>
          <w:sz w:val="24"/>
          <w:szCs w:val="24"/>
        </w:rPr>
        <w:t xml:space="preserve">鉴权以三层中间件实现并绑定于路由挂载点：认证层解析请求头或查询参数中的令牌并验签，随后回查数据库确认账号存在且处于启用状态，将账号信息挂载至请求上下文供后续使用；写操作层校验角色非只读账号；超管层校验角色为超级管理员。业务路由在注册时即声明所需层级，新增接口天然纳入权限体系，避免逐接口遗漏校验；认证层对令牌过期的响应统一为登录已过期，前端据此清理凭证并引导重新登录。</w:t>
      </w:r>
    </w:p>
    <w:p>
      <w:pPr>
        <w:pStyle w:val="Heading3"/>
        <w:spacing w:after="100" w:before="240" w:line="312"/>
      </w:pPr>
      <w:bookmarkStart w:id="100229" w:name="_Toc100229"/>
      <w:r>
        <w:rPr>
          <w:rFonts w:ascii="Times New Roman" w:eastAsia="SimHei"/>
          <w:b/>
          <w:bCs/>
          <w:color w:val="000000"/>
          <w:sz w:val="28"/>
          <w:szCs w:val="28"/>
        </w:rPr>
        <w:t xml:space="preserve">6.11.7 单点登录实现</w:t>
      </w:r>
      <w:bookmarkEnd w:id="100229"/>
    </w:p>
    <w:p>
      <w:pPr>
        <w:spacing w:after="60" w:line="440" w:lineRule="exact"/>
        <w:ind w:firstLine="480"/>
        <w:jc w:val="both"/>
      </w:pPr>
      <w:r>
        <w:rPr>
          <w:rFonts w:ascii="Times New Roman" w:eastAsia="SimSun"/>
          <w:b w:val="false"/>
          <w:bCs w:val="false"/>
          <w:color w:val="000000"/>
          <w:sz w:val="24"/>
          <w:szCs w:val="24"/>
        </w:rPr>
        <w:t xml:space="preserve">单点登录由服务端代为校验主系统凭证：以 HTTPS 请求携带维修后台令牌访问其用户信息接口，请求中指定服务器名以匹配网关证书域名，八秒超时防止主系统异常拖垮登录；主系统校验通过方认可该凭证，前端传入的任何身份信息不参与信任判断。随后按用户名匹配回收账号：存在且启用即发放会话；不存在则以随机高熵密码的哈希建号（默认管理员角色，仅可经单点登录进入）；账号被禁用时拒绝放行。整个流程不持有主系统密钥，凭证校验与自动开户均在服务端完成。</w:t>
      </w:r>
    </w:p>
    <w:p>
      <w:pPr>
        <w:pStyle w:val="Heading1"/>
        <w:pageBreakBefore/>
        <w:spacing w:after="240" w:before="240" w:line="312"/>
        <w:jc w:val="center"/>
      </w:pPr>
      <w:bookmarkStart w:id="100230" w:name="_Toc100230"/>
      <w:r>
        <w:rPr>
          <w:rFonts w:ascii="Times New Roman" w:eastAsia="SimHei"/>
          <w:b/>
          <w:bCs/>
          <w:color w:val="000000"/>
          <w:sz w:val="32"/>
          <w:szCs w:val="32"/>
        </w:rPr>
        <w:t xml:space="preserve">第七章 安全设计</w:t>
      </w:r>
      <w:bookmarkEnd w:id="100230"/>
    </w:p>
    <w:p>
      <w:pPr>
        <w:pStyle w:val="Heading2"/>
        <w:spacing w:after="140" w:before="300" w:line="312"/>
      </w:pPr>
      <w:bookmarkStart w:id="100231" w:name="_Toc100231"/>
      <w:r>
        <w:rPr>
          <w:rFonts w:ascii="Times New Roman" w:eastAsia="SimHei"/>
          <w:b/>
          <w:bCs/>
          <w:color w:val="000000"/>
          <w:sz w:val="30"/>
          <w:szCs w:val="30"/>
        </w:rPr>
        <w:t xml:space="preserve">7.1 身份认证安全</w:t>
      </w:r>
      <w:bookmarkEnd w:id="100231"/>
    </w:p>
    <w:p>
      <w:pPr>
        <w:pStyle w:val="Heading3"/>
        <w:spacing w:after="100" w:before="240" w:line="312"/>
      </w:pPr>
      <w:bookmarkStart w:id="100232" w:name="_Toc100232"/>
      <w:r>
        <w:rPr>
          <w:rFonts w:ascii="Times New Roman" w:eastAsia="SimHei"/>
          <w:b/>
          <w:bCs/>
          <w:color w:val="000000"/>
          <w:sz w:val="28"/>
          <w:szCs w:val="28"/>
        </w:rPr>
        <w:t xml:space="preserve">7.1.1 密码存储</w:t>
      </w:r>
      <w:bookmarkEnd w:id="100232"/>
    </w:p>
    <w:p>
      <w:pPr>
        <w:spacing w:after="60" w:line="440" w:lineRule="exact"/>
        <w:ind w:firstLine="480"/>
        <w:jc w:val="both"/>
      </w:pPr>
      <w:r>
        <w:rPr>
          <w:rFonts w:ascii="Times New Roman" w:eastAsia="SimSun"/>
          <w:b w:val="false"/>
          <w:bCs w:val="false"/>
          <w:color w:val="000000"/>
          <w:sz w:val="24"/>
          <w:szCs w:val="24"/>
        </w:rPr>
        <w:t xml:space="preserve">管理员密码以 bcrypt 算法加盐哈希存储，强度因子为十轮；数据库泄露不暴露明文，彩虹表与暴力破解成本高。密码仅在创建、重置与修改时经服务端加密落库，任何接口不回显密码字段。</w:t>
      </w:r>
    </w:p>
    <w:p>
      <w:pPr>
        <w:pStyle w:val="Heading3"/>
        <w:spacing w:after="100" w:before="240" w:line="312"/>
      </w:pPr>
      <w:bookmarkStart w:id="100233" w:name="_Toc100233"/>
      <w:r>
        <w:rPr>
          <w:rFonts w:ascii="Times New Roman" w:eastAsia="SimHei"/>
          <w:b/>
          <w:bCs/>
          <w:color w:val="000000"/>
          <w:sz w:val="28"/>
          <w:szCs w:val="28"/>
        </w:rPr>
        <w:t xml:space="preserve">7.1.2 令牌机制</w:t>
      </w:r>
      <w:bookmarkEnd w:id="100233"/>
    </w:p>
    <w:p>
      <w:pPr>
        <w:spacing w:after="60" w:line="440" w:lineRule="exact"/>
        <w:ind w:firstLine="480"/>
        <w:jc w:val="both"/>
      </w:pPr>
      <w:r>
        <w:rPr>
          <w:rFonts w:ascii="Times New Roman" w:eastAsia="SimSun"/>
          <w:b w:val="false"/>
          <w:bCs w:val="false"/>
          <w:color w:val="000000"/>
          <w:sz w:val="24"/>
          <w:szCs w:val="24"/>
        </w:rPr>
        <w:t xml:space="preserve">会话采用 JWT 无状态令牌，默认十二小时过期，签名密钥经环境变量注入并支持轮换；令牌载荷仅含管理员标识、账号与角色等非敏感声明。登录失败统一返回模糊提示，防止账号枚举。</w:t>
      </w:r>
    </w:p>
    <w:p>
      <w:pPr>
        <w:pStyle w:val="Heading3"/>
        <w:spacing w:after="100" w:before="240" w:line="312"/>
      </w:pPr>
      <w:bookmarkStart w:id="100234" w:name="_Toc100234"/>
      <w:r>
        <w:rPr>
          <w:rFonts w:ascii="Times New Roman" w:eastAsia="SimHei"/>
          <w:b/>
          <w:bCs/>
          <w:color w:val="000000"/>
          <w:sz w:val="28"/>
          <w:szCs w:val="28"/>
        </w:rPr>
        <w:t xml:space="preserve">7.1.3 会话即时失效</w:t>
      </w:r>
      <w:bookmarkEnd w:id="100234"/>
    </w:p>
    <w:p>
      <w:pPr>
        <w:spacing w:after="60" w:line="440" w:lineRule="exact"/>
        <w:ind w:firstLine="480"/>
        <w:jc w:val="both"/>
      </w:pPr>
      <w:r>
        <w:rPr>
          <w:rFonts w:ascii="Times New Roman" w:eastAsia="SimSun"/>
          <w:b w:val="false"/>
          <w:bCs w:val="false"/>
          <w:color w:val="000000"/>
          <w:sz w:val="24"/>
          <w:szCs w:val="24"/>
        </w:rPr>
        <w:t xml:space="preserve">每次请求鉴权时服务端实时回查账号：账号被删除或禁用后，已签发令牌即刻失效（返回未授权），无需等待自然过期。单点登录同样在服务端对主系统凭证实名校验，不信任任何前端传入的身份信息。</w:t>
      </w:r>
    </w:p>
    <w:p>
      <w:pPr>
        <w:pStyle w:val="Heading2"/>
        <w:spacing w:after="140" w:before="300" w:line="312"/>
      </w:pPr>
      <w:bookmarkStart w:id="100235" w:name="_Toc100235"/>
      <w:r>
        <w:rPr>
          <w:rFonts w:ascii="Times New Roman" w:eastAsia="SimHei"/>
          <w:b/>
          <w:bCs/>
          <w:color w:val="000000"/>
          <w:sz w:val="30"/>
          <w:szCs w:val="30"/>
        </w:rPr>
        <w:t xml:space="preserve">7.2 权限控制</w:t>
      </w:r>
      <w:bookmarkEnd w:id="100235"/>
    </w:p>
    <w:p>
      <w:pPr>
        <w:pStyle w:val="Heading3"/>
        <w:spacing w:after="100" w:before="240" w:line="312"/>
      </w:pPr>
      <w:bookmarkStart w:id="100236" w:name="_Toc100236"/>
      <w:r>
        <w:rPr>
          <w:rFonts w:ascii="Times New Roman" w:eastAsia="SimHei"/>
          <w:b/>
          <w:bCs/>
          <w:color w:val="000000"/>
          <w:sz w:val="28"/>
          <w:szCs w:val="28"/>
        </w:rPr>
        <w:t xml:space="preserve">7.2.1 角色定义</w:t>
      </w:r>
      <w:bookmarkEnd w:id="100236"/>
    </w:p>
    <w:p>
      <w:pPr>
        <w:spacing w:after="60" w:line="440" w:lineRule="exact"/>
        <w:ind w:firstLine="480"/>
        <w:jc w:val="both"/>
      </w:pPr>
      <w:r>
        <w:rPr>
          <w:rFonts w:ascii="Times New Roman" w:eastAsia="SimSun"/>
          <w:b w:val="false"/>
          <w:bCs w:val="false"/>
          <w:color w:val="000000"/>
          <w:sz w:val="24"/>
          <w:szCs w:val="24"/>
        </w:rPr>
        <w:t xml:space="preserve">权限模型遵循最小授权原则，内置超级管理员、管理员、只读账号三级角色：只读账号仅开放查询与导出；管理员开放全部业务操作；管理员管理等高危操作仅超级管理员可用（角色权限矩阵见 6.1.3.1 节）。</w:t>
      </w:r>
    </w:p>
    <w:p>
      <w:pPr>
        <w:pStyle w:val="Heading3"/>
        <w:spacing w:after="100" w:before="240" w:line="312"/>
      </w:pPr>
      <w:bookmarkStart w:id="100237" w:name="_Toc100237"/>
      <w:r>
        <w:rPr>
          <w:rFonts w:ascii="Times New Roman" w:eastAsia="SimHei"/>
          <w:b/>
          <w:bCs/>
          <w:color w:val="000000"/>
          <w:sz w:val="28"/>
          <w:szCs w:val="28"/>
        </w:rPr>
        <w:t xml:space="preserve">7.2.2 服务端实施</w:t>
      </w:r>
      <w:bookmarkEnd w:id="100237"/>
    </w:p>
    <w:p>
      <w:pPr>
        <w:spacing w:after="60" w:line="440" w:lineRule="exact"/>
        <w:ind w:firstLine="480"/>
        <w:jc w:val="both"/>
      </w:pPr>
      <w:r>
        <w:rPr>
          <w:rFonts w:ascii="Times New Roman" w:eastAsia="SimSun"/>
          <w:b w:val="false"/>
          <w:bCs w:val="false"/>
          <w:color w:val="000000"/>
          <w:sz w:val="24"/>
          <w:szCs w:val="24"/>
        </w:rPr>
        <w:t xml:space="preserve">权限校验在服务端认证、写操作、超管三级中间件统一实施，所有业务路由在注册时即绑定对应校验层；直接调用受保护接口的越权请求被拦截并返回 403。中间件顺序保证先认证后授权，未登录请求不进入权限判断。</w:t>
      </w:r>
    </w:p>
    <w:p>
      <w:pPr>
        <w:pStyle w:val="Heading3"/>
        <w:spacing w:after="100" w:before="240" w:line="312"/>
      </w:pPr>
      <w:bookmarkStart w:id="100238" w:name="_Toc100238"/>
      <w:r>
        <w:rPr>
          <w:rFonts w:ascii="Times New Roman" w:eastAsia="SimHei"/>
          <w:b/>
          <w:bCs/>
          <w:color w:val="000000"/>
          <w:sz w:val="28"/>
          <w:szCs w:val="28"/>
        </w:rPr>
        <w:t xml:space="preserve">7.2.3 前端配合</w:t>
      </w:r>
      <w:bookmarkEnd w:id="100238"/>
    </w:p>
    <w:p>
      <w:pPr>
        <w:spacing w:after="60" w:line="440" w:lineRule="exact"/>
        <w:ind w:firstLine="480"/>
        <w:jc w:val="both"/>
      </w:pPr>
      <w:r>
        <w:rPr>
          <w:rFonts w:ascii="Times New Roman" w:eastAsia="SimSun"/>
          <w:b w:val="false"/>
          <w:bCs w:val="false"/>
          <w:color w:val="000000"/>
          <w:sz w:val="24"/>
          <w:szCs w:val="24"/>
        </w:rPr>
        <w:t xml:space="preserve">前端按角色隐藏无权入口与操作按钮（如只读账号不显示报价与调价按钮），降低误操作概率；前端控制仅是体验层，安全边界完全由服务端中间件保证，两层设计相互独立。</w:t>
      </w:r>
    </w:p>
    <w:p>
      <w:pPr>
        <w:pStyle w:val="Heading2"/>
        <w:spacing w:after="140" w:before="300" w:line="312"/>
      </w:pPr>
      <w:bookmarkStart w:id="100239" w:name="_Toc100239"/>
      <w:r>
        <w:rPr>
          <w:rFonts w:ascii="Times New Roman" w:eastAsia="SimHei"/>
          <w:b/>
          <w:bCs/>
          <w:color w:val="000000"/>
          <w:sz w:val="30"/>
          <w:szCs w:val="30"/>
        </w:rPr>
        <w:t xml:space="preserve">7.3 数据安全</w:t>
      </w:r>
      <w:bookmarkEnd w:id="100239"/>
    </w:p>
    <w:p>
      <w:pPr>
        <w:pStyle w:val="Heading3"/>
        <w:spacing w:after="100" w:before="240" w:line="312"/>
      </w:pPr>
      <w:bookmarkStart w:id="100240" w:name="_Toc100240"/>
      <w:r>
        <w:rPr>
          <w:rFonts w:ascii="Times New Roman" w:eastAsia="SimHei"/>
          <w:b/>
          <w:bCs/>
          <w:color w:val="000000"/>
          <w:sz w:val="28"/>
          <w:szCs w:val="28"/>
        </w:rPr>
        <w:t xml:space="preserve">7.3.1 参数化查询</w:t>
      </w:r>
      <w:bookmarkEnd w:id="100240"/>
    </w:p>
    <w:p>
      <w:pPr>
        <w:spacing w:after="60" w:line="440" w:lineRule="exact"/>
        <w:ind w:firstLine="480"/>
        <w:jc w:val="both"/>
      </w:pPr>
      <w:r>
        <w:rPr>
          <w:rFonts w:ascii="Times New Roman" w:eastAsia="SimSun"/>
          <w:b w:val="false"/>
          <w:bCs w:val="false"/>
          <w:color w:val="000000"/>
          <w:sz w:val="24"/>
          <w:szCs w:val="24"/>
        </w:rPr>
        <w:t xml:space="preserve">全部 SQL 使用参数化查询（占位符传参），用户输入不参与 SQL 字符串拼接，从根本上杜绝注入攻击；动态拼接仅限服务端白名单字段（如可选列名来自数据库元数据探测，不接受外部输入）。</w:t>
      </w:r>
    </w:p>
    <w:p>
      <w:pPr>
        <w:pStyle w:val="Heading3"/>
        <w:spacing w:after="100" w:before="240" w:line="312"/>
      </w:pPr>
      <w:bookmarkStart w:id="100241" w:name="_Toc100241"/>
      <w:r>
        <w:rPr>
          <w:rFonts w:ascii="Times New Roman" w:eastAsia="SimHei"/>
          <w:b/>
          <w:bCs/>
          <w:color w:val="000000"/>
          <w:sz w:val="28"/>
          <w:szCs w:val="28"/>
        </w:rPr>
        <w:t xml:space="preserve">7.3.2 输入校验与限流</w:t>
      </w:r>
      <w:bookmarkEnd w:id="100241"/>
    </w:p>
    <w:p>
      <w:pPr>
        <w:spacing w:after="60" w:line="440" w:lineRule="exact"/>
        <w:ind w:firstLine="480"/>
        <w:jc w:val="both"/>
      </w:pPr>
      <w:r>
        <w:rPr>
          <w:rFonts w:ascii="Times New Roman" w:eastAsia="SimSun"/>
          <w:b w:val="false"/>
          <w:bCs w:val="false"/>
          <w:color w:val="000000"/>
          <w:sz w:val="24"/>
          <w:szCs w:val="24"/>
        </w:rPr>
        <w:t xml:space="preserve">写接口对业务字段逐项校验（金额非负、枚举合法、长度截断），列表与导出接口在服务端强制收敛分页与导出上限，防止恶意拉取全量数据；请求体大小限制为 5MB，异常请求快速失败。</w:t>
      </w:r>
    </w:p>
    <w:p>
      <w:pPr>
        <w:pStyle w:val="Heading3"/>
        <w:spacing w:after="100" w:before="240" w:line="312"/>
      </w:pPr>
      <w:bookmarkStart w:id="100242" w:name="_Toc100242"/>
      <w:r>
        <w:rPr>
          <w:rFonts w:ascii="Times New Roman" w:eastAsia="SimHei"/>
          <w:b/>
          <w:bCs/>
          <w:color w:val="000000"/>
          <w:sz w:val="28"/>
          <w:szCs w:val="28"/>
        </w:rPr>
        <w:t xml:space="preserve">7.3.3 敏感配置管理</w:t>
      </w:r>
      <w:bookmarkEnd w:id="100242"/>
    </w:p>
    <w:p>
      <w:pPr>
        <w:spacing w:after="60" w:line="440" w:lineRule="exact"/>
        <w:ind w:firstLine="480"/>
        <w:jc w:val="both"/>
      </w:pPr>
      <w:r>
        <w:rPr>
          <w:rFonts w:ascii="Times New Roman" w:eastAsia="SimSun"/>
          <w:b w:val="false"/>
          <w:bCs w:val="false"/>
          <w:color w:val="000000"/>
          <w:sz w:val="24"/>
          <w:szCs w:val="24"/>
        </w:rPr>
        <w:t xml:space="preserve">数据库口令、JWT 密钥、AI 接口密钥等敏感配置一律经环境变量注入运行时，不写入代码仓库与镜像；构建产物不含任何 .env 文件，配置与代码分离，遵循十二要素应用配置规范。</w:t>
      </w:r>
    </w:p>
    <w:p>
      <w:pPr>
        <w:pStyle w:val="Heading2"/>
        <w:spacing w:after="140" w:before="300" w:line="312"/>
      </w:pPr>
      <w:bookmarkStart w:id="100243" w:name="_Toc100243"/>
      <w:r>
        <w:rPr>
          <w:rFonts w:ascii="Times New Roman" w:eastAsia="SimHei"/>
          <w:b/>
          <w:bCs/>
          <w:color w:val="000000"/>
          <w:sz w:val="30"/>
          <w:szCs w:val="30"/>
        </w:rPr>
        <w:t xml:space="preserve">7.4 操作审计</w:t>
      </w:r>
      <w:bookmarkEnd w:id="100243"/>
    </w:p>
    <w:p>
      <w:pPr>
        <w:spacing w:after="60" w:line="440" w:lineRule="exact"/>
        <w:ind w:firstLine="480"/>
        <w:jc w:val="both"/>
      </w:pPr>
      <w:r>
        <w:rPr>
          <w:rFonts w:ascii="Times New Roman" w:eastAsia="SimSun"/>
          <w:b w:val="false"/>
          <w:bCs w:val="false"/>
          <w:color w:val="000000"/>
          <w:sz w:val="24"/>
          <w:szCs w:val="24"/>
        </w:rPr>
        <w:t xml:space="preserve">后台全部写操作（含登录行为）统一写入操作日志表，记录操作人、模块、动作、明细与来源 IP；配价变动另记专用调价记录，日志不可篡改删除。审计数据同时服务三方面：安全事件溯源、业务争议复核与管理责任界定。</w:t>
      </w:r>
    </w:p>
    <w:p>
      <w:pPr>
        <w:pStyle w:val="Heading2"/>
        <w:spacing w:after="140" w:before="300" w:line="312"/>
      </w:pPr>
      <w:bookmarkStart w:id="100244" w:name="_Toc100244"/>
      <w:r>
        <w:rPr>
          <w:rFonts w:ascii="Times New Roman" w:eastAsia="SimHei"/>
          <w:b/>
          <w:bCs/>
          <w:color w:val="000000"/>
          <w:sz w:val="30"/>
          <w:szCs w:val="30"/>
        </w:rPr>
        <w:t xml:space="preserve">7.5 传输与部署安全</w:t>
      </w:r>
      <w:bookmarkEnd w:id="100244"/>
    </w:p>
    <w:p>
      <w:pPr>
        <w:pStyle w:val="Heading3"/>
        <w:spacing w:after="100" w:before="240" w:line="312"/>
      </w:pPr>
      <w:bookmarkStart w:id="100245" w:name="_Toc100245"/>
      <w:r>
        <w:rPr>
          <w:rFonts w:ascii="Times New Roman" w:eastAsia="SimHei"/>
          <w:b/>
          <w:bCs/>
          <w:color w:val="000000"/>
          <w:sz w:val="28"/>
          <w:szCs w:val="28"/>
        </w:rPr>
        <w:t xml:space="preserve">7.5.1 传输安全</w:t>
      </w:r>
      <w:bookmarkEnd w:id="100245"/>
    </w:p>
    <w:p>
      <w:pPr>
        <w:spacing w:after="60" w:line="440" w:lineRule="exact"/>
        <w:ind w:firstLine="480"/>
        <w:jc w:val="both"/>
      </w:pPr>
      <w:r>
        <w:rPr>
          <w:rFonts w:ascii="Times New Roman" w:eastAsia="SimSun"/>
          <w:b w:val="false"/>
          <w:bCs w:val="false"/>
          <w:color w:val="000000"/>
          <w:sz w:val="24"/>
          <w:szCs w:val="24"/>
        </w:rPr>
        <w:t xml:space="preserve">生产环境全部外部流量经 HTTPS 网关进出，SSL 证书配置于网关层统一管理；网关到后端服务的容器内网通信不出宿主机，降低窃听与中间人风险。</w:t>
      </w:r>
    </w:p>
    <w:p>
      <w:pPr>
        <w:pStyle w:val="Heading3"/>
        <w:spacing w:after="100" w:before="240" w:line="312"/>
      </w:pPr>
      <w:bookmarkStart w:id="100246" w:name="_Toc100246"/>
      <w:r>
        <w:rPr>
          <w:rFonts w:ascii="Times New Roman" w:eastAsia="SimHei"/>
          <w:b/>
          <w:bCs/>
          <w:color w:val="000000"/>
          <w:sz w:val="28"/>
          <w:szCs w:val="28"/>
        </w:rPr>
        <w:t xml:space="preserve">7.5.2 端口收敛</w:t>
      </w:r>
      <w:bookmarkEnd w:id="100246"/>
    </w:p>
    <w:p>
      <w:pPr>
        <w:spacing w:after="60" w:line="440" w:lineRule="exact"/>
        <w:ind w:firstLine="480"/>
        <w:jc w:val="both"/>
      </w:pPr>
      <w:r>
        <w:rPr>
          <w:rFonts w:ascii="Times New Roman" w:eastAsia="SimSun"/>
          <w:b w:val="false"/>
          <w:bCs w:val="false"/>
          <w:color w:val="000000"/>
          <w:sz w:val="24"/>
          <w:szCs w:val="24"/>
        </w:rPr>
        <w:t xml:space="preserve">各业务容器端口仅绑定本机回环地址（管理后台、小程序服务端、缓存与 AI 服务），不直接暴露公网；数据库运行于宿主机并由业务容器经内部地址访问。对外攻击面收敛为网关单点。</w:t>
      </w:r>
    </w:p>
    <w:p>
      <w:pPr>
        <w:pStyle w:val="Heading3"/>
        <w:spacing w:after="100" w:before="240" w:line="312"/>
      </w:pPr>
      <w:bookmarkStart w:id="100247" w:name="_Toc100247"/>
      <w:r>
        <w:rPr>
          <w:rFonts w:ascii="Times New Roman" w:eastAsia="SimHei"/>
          <w:b/>
          <w:bCs/>
          <w:color w:val="000000"/>
          <w:sz w:val="28"/>
          <w:szCs w:val="28"/>
        </w:rPr>
        <w:t xml:space="preserve">7.5.3 容器隔离</w:t>
      </w:r>
      <w:bookmarkEnd w:id="100247"/>
    </w:p>
    <w:p>
      <w:pPr>
        <w:spacing w:after="60" w:line="440" w:lineRule="exact"/>
        <w:ind w:firstLine="480"/>
        <w:jc w:val="both"/>
      </w:pPr>
      <w:r>
        <w:rPr>
          <w:rFonts w:ascii="Times New Roman" w:eastAsia="SimSun"/>
          <w:b w:val="false"/>
          <w:bCs w:val="false"/>
          <w:color w:val="000000"/>
          <w:sz w:val="24"/>
          <w:szCs w:val="24"/>
        </w:rPr>
        <w:t xml:space="preserve">平台以容器化编排交付，服务间通过网络命名空间隔离；升级与回滚以镜像为单元，环境差异通过环境变量注入，避免人工改动造成的安全漂移；容器重启策略保证服务自愈。</w:t>
      </w:r>
    </w:p>
    <w:p>
      <w:pPr>
        <w:pStyle w:val="Heading2"/>
        <w:spacing w:after="140" w:before="300" w:line="312"/>
      </w:pPr>
      <w:bookmarkStart w:id="100248" w:name="_Toc100248"/>
      <w:r>
        <w:rPr>
          <w:rFonts w:ascii="Times New Roman" w:eastAsia="SimHei"/>
          <w:b/>
          <w:bCs/>
          <w:color w:val="000000"/>
          <w:sz w:val="30"/>
          <w:szCs w:val="30"/>
        </w:rPr>
        <w:t xml:space="preserve">7.6 安全威胁与对策</w:t>
      </w:r>
      <w:bookmarkEnd w:id="100248"/>
    </w:p>
    <w:p>
      <w:pPr>
        <w:spacing w:after="40" w:line="440" w:lineRule="exact"/>
        <w:ind w:firstLine="480"/>
        <w:jc w:val="both"/>
      </w:pPr>
      <w:r>
        <w:rPr>
          <w:rFonts w:ascii="Times New Roman" w:eastAsia="SimSun"/>
          <w:b w:val="false"/>
          <w:bCs w:val="false"/>
          <w:color w:val="000000"/>
          <w:sz w:val="24"/>
          <w:szCs w:val="24"/>
        </w:rPr>
        <w:t xml:space="preserve">下表汇总平台针对常见安全威胁采取的对策及其所在章节，各层对策相互独立、纵深部署，单点失效不致整体失守。</w:t>
      </w:r>
    </w:p>
    <w:p>
      <w:pPr>
        <w:keepNext/>
        <w:spacing w:after="80" w:before="160" w:line="312"/>
        <w:jc w:val="center"/>
      </w:pPr>
      <w:r>
        <w:rPr>
          <w:rFonts w:ascii="Times New Roman" w:eastAsia="SimSun"/>
          <w:b/>
          <w:bCs/>
          <w:color w:val="000000"/>
          <w:sz w:val="21"/>
          <w:szCs w:val="21"/>
        </w:rPr>
        <w:t xml:space="preserve">表 7-1 安全威胁与对策</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gridCol w:w="100"/>
      </w:tblGrid>
      <w:tr>
        <w:trPr>
          <w:cantSplit/>
          <w:tblHeader/>
        </w:trPr>
        <w:tc>
          <w:tcPr>
            <w:tcW w:type="pct" w:w="16%"/>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威胁</w:t>
            </w:r>
          </w:p>
        </w:tc>
        <w:tc>
          <w:tcPr>
            <w:tcW w:type="pct" w:w="48%"/>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对策</w:t>
            </w:r>
          </w:p>
        </w:tc>
        <w:tc>
          <w:tcPr>
            <w:tcW w:type="pct" w:w="36%"/>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对应设计</w:t>
            </w:r>
          </w:p>
        </w:tc>
      </w:tr>
      <w:tr>
        <w:trPr>
          <w:cantSplit/>
        </w:trPr>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SQL 注入</w:t>
            </w:r>
          </w:p>
        </w:tc>
        <w:tc>
          <w:tcPr>
            <w:tcW w:type="pct" w:w="4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全量参数化查询，用户输入不参与 SQL 拼接，动态列名来自库内元数据</w:t>
            </w:r>
          </w:p>
        </w:tc>
        <w:tc>
          <w:tcPr>
            <w:tcW w:type="pct" w:w="3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7.3.1 参数化查询</w:t>
            </w:r>
          </w:p>
        </w:tc>
      </w:tr>
      <w:tr>
        <w:trPr>
          <w:cantSplit/>
        </w:trPr>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越权访问</w:t>
            </w:r>
          </w:p>
        </w:tc>
        <w:tc>
          <w:tcPr>
            <w:tcW w:type="pct" w:w="4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三级角色中间件绑定路由挂载点；禁用账号令牌即时失效</w:t>
            </w:r>
          </w:p>
        </w:tc>
        <w:tc>
          <w:tcPr>
            <w:tcW w:type="pct" w:w="3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7.2 权限控制</w:t>
            </w:r>
          </w:p>
        </w:tc>
      </w:tr>
      <w:tr>
        <w:trPr>
          <w:cantSplit/>
        </w:trPr>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暴力破解</w:t>
            </w:r>
          </w:p>
        </w:tc>
        <w:tc>
          <w:tcPr>
            <w:tcW w:type="pct" w:w="4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bcrypt 加盐哈希存储；登录失败统一模糊提示，防止账号枚举</w:t>
            </w:r>
          </w:p>
        </w:tc>
        <w:tc>
          <w:tcPr>
            <w:tcW w:type="pct" w:w="3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7.1.1 密码存储</w:t>
            </w:r>
          </w:p>
        </w:tc>
      </w:tr>
      <w:tr>
        <w:trPr>
          <w:cantSplit/>
        </w:trPr>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令牌泄露</w:t>
            </w:r>
          </w:p>
        </w:tc>
        <w:tc>
          <w:tcPr>
            <w:tcW w:type="pct" w:w="4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十二小时短时效令牌；服务端可随时禁用账号使令牌失效</w:t>
            </w:r>
          </w:p>
        </w:tc>
        <w:tc>
          <w:tcPr>
            <w:tcW w:type="pct" w:w="3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7.1.2 令牌机制</w:t>
            </w:r>
          </w:p>
        </w:tc>
      </w:tr>
      <w:tr>
        <w:trPr>
          <w:cantSplit/>
        </w:trPr>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数据爬取</w:t>
            </w:r>
          </w:p>
        </w:tc>
        <w:tc>
          <w:tcPr>
            <w:tcW w:type="pct" w:w="4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分页与导出上限钳制，无全量拉取路径；请求体大小限制</w:t>
            </w:r>
          </w:p>
        </w:tc>
        <w:tc>
          <w:tcPr>
            <w:tcW w:type="pct" w:w="3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7.3.2 输入校验与限流</w:t>
            </w:r>
          </w:p>
        </w:tc>
      </w:tr>
      <w:tr>
        <w:trPr>
          <w:cantSplit/>
        </w:trPr>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跨站脚本</w:t>
            </w:r>
          </w:p>
        </w:tc>
        <w:tc>
          <w:tcPr>
            <w:tcW w:type="pct" w:w="4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前端框架默认转义输出，无富文本与动态脚本注入面</w:t>
            </w:r>
          </w:p>
        </w:tc>
        <w:tc>
          <w:tcPr>
            <w:tcW w:type="pct" w:w="3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7.3 数据安全</w:t>
            </w:r>
          </w:p>
        </w:tc>
      </w:tr>
      <w:tr>
        <w:trPr>
          <w:cantSplit/>
        </w:trPr>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配置泄露</w:t>
            </w:r>
          </w:p>
        </w:tc>
        <w:tc>
          <w:tcPr>
            <w:tcW w:type="pct" w:w="4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密钥与口令经环境变量注入，不入代码库、不进镜像</w:t>
            </w:r>
          </w:p>
        </w:tc>
        <w:tc>
          <w:tcPr>
            <w:tcW w:type="pct" w:w="3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7.3.3 敏感配置管理</w:t>
            </w:r>
          </w:p>
        </w:tc>
      </w:tr>
      <w:tr>
        <w:trPr>
          <w:cantSplit/>
        </w:trPr>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内部误操作</w:t>
            </w:r>
          </w:p>
        </w:tc>
        <w:tc>
          <w:tcPr>
            <w:tcW w:type="pct" w:w="4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调价幅度二次确认、管理员保护规则、全程操作审计</w:t>
            </w:r>
          </w:p>
        </w:tc>
        <w:tc>
          <w:tcPr>
            <w:tcW w:type="pct" w:w="3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7.4 操作审计</w:t>
            </w:r>
          </w:p>
        </w:tc>
      </w:tr>
    </w:tbl>
    <w:p>
      <w:pPr>
        <w:pStyle w:val="Heading1"/>
        <w:pageBreakBefore/>
        <w:spacing w:after="240" w:before="240" w:line="312"/>
        <w:jc w:val="center"/>
      </w:pPr>
      <w:bookmarkStart w:id="100249" w:name="_Toc100249"/>
      <w:r>
        <w:rPr>
          <w:rFonts w:ascii="Times New Roman" w:eastAsia="SimHei"/>
          <w:b/>
          <w:bCs/>
          <w:color w:val="000000"/>
          <w:sz w:val="32"/>
          <w:szCs w:val="32"/>
        </w:rPr>
        <w:t xml:space="preserve">第八章 运行与维护</w:t>
      </w:r>
      <w:bookmarkEnd w:id="100249"/>
    </w:p>
    <w:p>
      <w:pPr>
        <w:pStyle w:val="Heading2"/>
        <w:spacing w:after="140" w:before="300" w:line="312"/>
      </w:pPr>
      <w:bookmarkStart w:id="100250" w:name="_Toc100250"/>
      <w:r>
        <w:rPr>
          <w:rFonts w:ascii="Times New Roman" w:eastAsia="SimHei"/>
          <w:b/>
          <w:bCs/>
          <w:color w:val="000000"/>
          <w:sz w:val="30"/>
          <w:szCs w:val="30"/>
        </w:rPr>
        <w:t xml:space="preserve">8.1 部署方式</w:t>
      </w:r>
      <w:bookmarkEnd w:id="100250"/>
    </w:p>
    <w:p>
      <w:pPr>
        <w:pStyle w:val="Heading3"/>
        <w:spacing w:after="100" w:before="240" w:line="312"/>
      </w:pPr>
      <w:bookmarkStart w:id="100251" w:name="_Toc100251"/>
      <w:r>
        <w:rPr>
          <w:rFonts w:ascii="Times New Roman" w:eastAsia="SimHei"/>
          <w:b/>
          <w:bCs/>
          <w:color w:val="000000"/>
          <w:sz w:val="28"/>
          <w:szCs w:val="28"/>
        </w:rPr>
        <w:t xml:space="preserve">8.1.1 容器编排</w:t>
      </w:r>
      <w:bookmarkEnd w:id="100251"/>
    </w:p>
    <w:p>
      <w:pPr>
        <w:spacing w:after="60" w:line="440" w:lineRule="exact"/>
        <w:ind w:firstLine="480"/>
        <w:jc w:val="both"/>
      </w:pPr>
      <w:r>
        <w:rPr>
          <w:rFonts w:ascii="Times New Roman" w:eastAsia="SimSun"/>
          <w:b w:val="false"/>
          <w:bCs w:val="false"/>
          <w:color w:val="000000"/>
          <w:sz w:val="24"/>
          <w:szCs w:val="24"/>
        </w:rPr>
        <w:t xml:space="preserve">平台随统一容器编排部署：回收管理后台以独立容器运行（默认端口 3005），小程序服务端容器化运行（默认端口 3001），网关、缓存等基础服务同编交付。容器间通过内部网络互访，外部流量统一经网关 443 端口按子路径转发，管理后台对外路径为 /recycle-admin/。</w:t>
      </w:r>
    </w:p>
    <w:p>
      <w:pPr>
        <w:pStyle w:val="Heading3"/>
        <w:spacing w:after="100" w:before="240" w:line="312"/>
      </w:pPr>
      <w:bookmarkStart w:id="100252" w:name="_Toc100252"/>
      <w:r>
        <w:rPr>
          <w:rFonts w:ascii="Times New Roman" w:eastAsia="SimHei"/>
          <w:b/>
          <w:bCs/>
          <w:color w:val="000000"/>
          <w:sz w:val="28"/>
          <w:szCs w:val="28"/>
        </w:rPr>
        <w:t xml:space="preserve">8.1.2 前端子路径构建</w:t>
      </w:r>
      <w:bookmarkEnd w:id="100252"/>
    </w:p>
    <w:p>
      <w:pPr>
        <w:spacing w:after="60" w:line="440" w:lineRule="exact"/>
        <w:ind w:firstLine="480"/>
        <w:jc w:val="both"/>
      </w:pPr>
      <w:r>
        <w:rPr>
          <w:rFonts w:ascii="Times New Roman" w:eastAsia="SimSun"/>
          <w:b w:val="false"/>
          <w:bCs w:val="false"/>
          <w:color w:val="000000"/>
          <w:sz w:val="24"/>
          <w:szCs w:val="24"/>
        </w:rPr>
        <w:t xml:space="preserve">管理后台前端在镜像构建阶段注入子路径基座与接口前缀参数，构建产物由服务端托管并支持前端路由回退，因此同一镜像可同时适配子路径部署与本机独立部署两种形态，无需维护两套配置。</w:t>
      </w:r>
    </w:p>
    <w:p>
      <w:pPr>
        <w:pStyle w:val="Heading3"/>
        <w:spacing w:after="100" w:before="240" w:line="312"/>
      </w:pPr>
      <w:bookmarkStart w:id="100253" w:name="_Toc100253"/>
      <w:r>
        <w:rPr>
          <w:rFonts w:ascii="Times New Roman" w:eastAsia="SimHei"/>
          <w:b/>
          <w:bCs/>
          <w:color w:val="000000"/>
          <w:sz w:val="28"/>
          <w:szCs w:val="28"/>
        </w:rPr>
        <w:t xml:space="preserve">8.1.3 端口规划</w:t>
      </w:r>
      <w:bookmarkEnd w:id="100253"/>
    </w:p>
    <w:p>
      <w:pPr>
        <w:keepNext/>
        <w:spacing w:after="80" w:before="160" w:line="312"/>
        <w:jc w:val="center"/>
      </w:pPr>
      <w:r>
        <w:rPr>
          <w:rFonts w:ascii="Times New Roman" w:eastAsia="SimSun"/>
          <w:b/>
          <w:bCs/>
          <w:color w:val="000000"/>
          <w:sz w:val="21"/>
          <w:szCs w:val="21"/>
        </w:rPr>
        <w:t xml:space="preserve">表 8-1 平台端口规划</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gridCol w:w="100"/>
      </w:tblGrid>
      <w:tr>
        <w:trPr>
          <w:cantSplit/>
          <w:tblHeader/>
        </w:trPr>
        <w:tc>
          <w:tcPr>
            <w:tcW w:type="pct" w:w="30%"/>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服务</w:t>
            </w:r>
          </w:p>
        </w:tc>
        <w:tc>
          <w:tcPr>
            <w:tcW w:type="pct" w:w="20%"/>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默认端口</w:t>
            </w:r>
          </w:p>
        </w:tc>
        <w:tc>
          <w:tcPr>
            <w:tcW w:type="pct" w:w="50%"/>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暴露范围</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统一网关（HTTPS）</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443</w:t>
            </w:r>
          </w:p>
        </w:tc>
        <w:tc>
          <w:tcPr>
            <w:tcW w:type="pct" w:w="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公网/局域网</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3005</w:t>
            </w:r>
          </w:p>
        </w:tc>
        <w:tc>
          <w:tcPr>
            <w:tcW w:type="pct" w:w="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仅本机（调试用），生产走网关</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小程序服务端</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3001</w:t>
            </w:r>
          </w:p>
        </w:tc>
        <w:tc>
          <w:tcPr>
            <w:tcW w:type="pct" w:w="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仅本机（调试用），生产走网关</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MySQL 数据库</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3306</w:t>
            </w:r>
          </w:p>
        </w:tc>
        <w:tc>
          <w:tcPr>
            <w:tcW w:type="pct" w:w="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宿主机，容器经内部地址访问</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Redis 缓存</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6379</w:t>
            </w:r>
          </w:p>
        </w:tc>
        <w:tc>
          <w:tcPr>
            <w:tcW w:type="pct" w:w="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仅本机</w:t>
            </w:r>
          </w:p>
        </w:tc>
      </w:tr>
    </w:tbl>
    <w:p>
      <w:pPr>
        <w:pStyle w:val="Heading2"/>
        <w:spacing w:after="140" w:before="300" w:line="312"/>
      </w:pPr>
      <w:bookmarkStart w:id="100254" w:name="_Toc100254"/>
      <w:r>
        <w:rPr>
          <w:rFonts w:ascii="Times New Roman" w:eastAsia="SimHei"/>
          <w:b/>
          <w:bCs/>
          <w:color w:val="000000"/>
          <w:sz w:val="30"/>
          <w:szCs w:val="30"/>
        </w:rPr>
        <w:t xml:space="preserve">8.2 初始化与种子数据</w:t>
      </w:r>
      <w:bookmarkEnd w:id="100254"/>
    </w:p>
    <w:p>
      <w:pPr>
        <w:spacing w:after="60" w:line="440" w:lineRule="exact"/>
        <w:ind w:firstLine="480"/>
        <w:jc w:val="both"/>
      </w:pPr>
      <w:r>
        <w:rPr>
          <w:rFonts w:ascii="Times New Roman" w:eastAsia="SimSun"/>
          <w:b w:val="false"/>
          <w:bCs w:val="false"/>
          <w:color w:val="000000"/>
          <w:sz w:val="24"/>
          <w:szCs w:val="24"/>
        </w:rPr>
        <w:t xml:space="preserve">首次部署时系统自动完成建表与种子数据初始化：管理员表为空时创建默认超级管理员（账号 admin，初始密码经环境变量可覆盖，首次登录后应立即修改）；配价分类为空时导入内置配价目录；估价系数为空时按内置题目选项灌入；系统参数以忽略重复方式写入默认值；平台表为空时写入示例平台。全部初始化语句幂等，二次启动不会产生重复数据。</w:t>
      </w:r>
    </w:p>
    <w:p>
      <w:pPr>
        <w:pStyle w:val="Heading2"/>
        <w:spacing w:after="140" w:before="300" w:line="312"/>
      </w:pPr>
      <w:bookmarkStart w:id="100255" w:name="_Toc100255"/>
      <w:r>
        <w:rPr>
          <w:rFonts w:ascii="Times New Roman" w:eastAsia="SimHei"/>
          <w:b/>
          <w:bCs/>
          <w:color w:val="000000"/>
          <w:sz w:val="30"/>
          <w:szCs w:val="30"/>
        </w:rPr>
        <w:t xml:space="preserve">8.3 健康检查与监控</w:t>
      </w:r>
      <w:bookmarkEnd w:id="100255"/>
    </w:p>
    <w:p>
      <w:pPr>
        <w:spacing w:after="60" w:line="440" w:lineRule="exact"/>
        <w:ind w:firstLine="480"/>
        <w:jc w:val="both"/>
      </w:pPr>
      <w:r>
        <w:rPr>
          <w:rFonts w:ascii="Times New Roman" w:eastAsia="SimSun"/>
          <w:b w:val="false"/>
          <w:bCs w:val="false"/>
          <w:color w:val="000000"/>
          <w:sz w:val="24"/>
          <w:szCs w:val="24"/>
        </w:rPr>
        <w:t xml:space="preserve">管理后台服务提供 /health 健康检查接口，对数据库执行连通性探测并返回服务状态与时间戳；容器编排层以此为依据进行健康监测与自动重启。服务端同时输出简要请求日志与统一错误处理日志，AI 服务、网关亦各有健康检查端点，便于运行期问题定位。</w:t>
      </w:r>
    </w:p>
    <w:p>
      <w:pPr>
        <w:pStyle w:val="Heading2"/>
        <w:spacing w:after="140" w:before="300" w:line="312"/>
      </w:pPr>
      <w:bookmarkStart w:id="100256" w:name="_Toc100256"/>
      <w:r>
        <w:rPr>
          <w:rFonts w:ascii="Times New Roman" w:eastAsia="SimHei"/>
          <w:b/>
          <w:bCs/>
          <w:color w:val="000000"/>
          <w:sz w:val="30"/>
          <w:szCs w:val="30"/>
        </w:rPr>
        <w:t xml:space="preserve">8.4 常见问题与处理</w:t>
      </w:r>
      <w:bookmarkEnd w:id="100256"/>
    </w:p>
    <w:p>
      <w:pPr>
        <w:keepNext/>
        <w:spacing w:after="80" w:before="160" w:line="312"/>
        <w:jc w:val="center"/>
      </w:pPr>
      <w:r>
        <w:rPr>
          <w:rFonts w:ascii="Times New Roman" w:eastAsia="SimSun"/>
          <w:b/>
          <w:bCs/>
          <w:color w:val="000000"/>
          <w:sz w:val="21"/>
          <w:szCs w:val="21"/>
        </w:rPr>
        <w:t xml:space="preserve">表 8-2 常见问题与处理方式</w:t>
      </w:r>
    </w:p>
    <w:tbl>
      <w:tblPr>
        <w:tblW w:type="pct" w:w="100%"/>
        <w:tblBorders>
          <w:top w:val="single" w:color="000000" w:sz="6"/>
          <w:left w:val="none" w:color="FFFFFF" w:sz="0"/>
          <w:bottom w:val="single" w:color="000000" w:sz="6"/>
          <w:right w:val="none" w:color="FFFFFF" w:sz="0"/>
          <w:insideH w:val="single" w:color="BFBFBF" w:sz="2"/>
          <w:insideV w:val="none" w:color="FFFFFF" w:sz="0"/>
        </w:tblBorders>
      </w:tblPr>
      <w:tblGrid>
        <w:gridCol w:w="100"/>
        <w:gridCol w:w="100"/>
      </w:tblGrid>
      <w:tr>
        <w:trPr>
          <w:cantSplit/>
          <w:tblHeader/>
        </w:trPr>
        <w:tc>
          <w:tcPr>
            <w:tcW w:type="pct" w:w="30%"/>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现象</w:t>
            </w:r>
          </w:p>
        </w:tc>
        <w:tc>
          <w:tcPr>
            <w:tcW w:type="pct" w:w="70%"/>
            <w:shd w:fill="F2F2F2" w:val="clear"/>
            <w:tcMar>
              <w:top w:type="dxa" w:w="60"/>
              <w:left w:type="dxa" w:w="120"/>
              <w:bottom w:type="dxa" w:w="60"/>
              <w:right w:type="dxa" w:w="120"/>
            </w:tcMar>
          </w:tcPr>
          <w:p>
            <w:pPr>
              <w:spacing w:line="276"/>
              <w:jc w:val="left"/>
            </w:pPr>
            <w:r>
              <w:rPr>
                <w:rFonts w:ascii="Times New Roman" w:eastAsia="SimSun"/>
                <w:b/>
                <w:bCs/>
                <w:color w:val="000000"/>
                <w:sz w:val="21"/>
                <w:szCs w:val="21"/>
              </w:rPr>
              <w:t xml:space="preserve">原因与处理</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小程序配价与后台不一致</w:t>
            </w:r>
          </w:p>
        </w:tc>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配价缓存有效期为十分钟，等待过期后重进页面；确认相关型号处于上架状态</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登录提示登录已过期</w:t>
            </w:r>
          </w:p>
        </w:tc>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令牌超过十二小时有效期，重新登录即可；若持续出现检查服务器时间</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报价提交被拒绝</w:t>
            </w:r>
          </w:p>
        </w:tc>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确认订单未处于已完成或已取消状态；金额需为非负数字</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调价被提示幅度超限</w:t>
            </w:r>
          </w:p>
        </w:tc>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系统默认单次调价幅度上限 20%，确认后在二次确认弹窗中选择强制调价</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导出 CSV 中文乱码</w:t>
            </w:r>
          </w:p>
        </w:tc>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导出文件自带 BOM 头，请使用 Excel 或支持 UTF-8 的工具打开</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单点登录失败</w:t>
            </w:r>
          </w:p>
        </w:tc>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先登录维修后台获取有效会话；仍失败时联系管理员检查回收账号是否被禁用</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AI 估价未生效</w:t>
            </w:r>
          </w:p>
        </w:tc>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检查系统设置中 AI 估价开关与密钥配置；AI 不可用时小程序自动使用本地估价，不影响下单</w:t>
            </w:r>
          </w:p>
        </w:tc>
      </w:tr>
    </w:tbl>
    <w:p>
      <w:pPr>
        <w:pStyle w:val="Heading2"/>
        <w:spacing w:after="140" w:before="300" w:line="312"/>
      </w:pPr>
      <w:bookmarkStart w:id="100257" w:name="_Toc100257"/>
      <w:r>
        <w:rPr>
          <w:rFonts w:ascii="Times New Roman" w:eastAsia="SimHei"/>
          <w:b/>
          <w:bCs/>
          <w:color w:val="000000"/>
          <w:sz w:val="30"/>
          <w:szCs w:val="30"/>
        </w:rPr>
        <w:t xml:space="preserve">8.5 备份恢复与升级</w:t>
      </w:r>
      <w:bookmarkEnd w:id="100257"/>
    </w:p>
    <w:p>
      <w:pPr>
        <w:pStyle w:val="Heading3"/>
        <w:spacing w:after="100" w:before="240" w:line="312"/>
      </w:pPr>
      <w:bookmarkStart w:id="100258" w:name="_Toc100258"/>
      <w:r>
        <w:rPr>
          <w:rFonts w:ascii="Times New Roman" w:eastAsia="SimHei"/>
          <w:b/>
          <w:bCs/>
          <w:color w:val="000000"/>
          <w:sz w:val="28"/>
          <w:szCs w:val="28"/>
        </w:rPr>
        <w:t xml:space="preserve">8.5.1 备份策略</w:t>
      </w:r>
      <w:bookmarkEnd w:id="100258"/>
    </w:p>
    <w:p>
      <w:pPr>
        <w:spacing w:after="60" w:line="440" w:lineRule="exact"/>
        <w:ind w:firstLine="480"/>
        <w:jc w:val="both"/>
      </w:pPr>
      <w:r>
        <w:rPr>
          <w:rFonts w:ascii="Times New Roman" w:eastAsia="SimSun"/>
          <w:b w:val="false"/>
          <w:bCs w:val="false"/>
          <w:color w:val="000000"/>
          <w:sz w:val="24"/>
          <w:szCs w:val="24"/>
        </w:rPr>
        <w:t xml:space="preserve">平台业务数据集中于共享 MySQL 实例，备份以数据库为单位执行：建议每日全量备份配合增量日志，配价库、估价配置、操作日志与回收订单随库一并保护；管理配置（环境变量文件）与前端构建所依赖的镜像版本随部署仓库留存；数据库口令与密钥的备份单独加密保管，不与代码同库。恢复时以备份集重建数据库后重启服务，幂等建表与种子逻辑会在启动时自动对齐表结构，无需人工修表。</w:t>
      </w:r>
    </w:p>
    <w:p>
      <w:pPr>
        <w:pStyle w:val="Heading3"/>
        <w:spacing w:after="100" w:before="240" w:line="312"/>
      </w:pPr>
      <w:bookmarkStart w:id="100259" w:name="_Toc100259"/>
      <w:r>
        <w:rPr>
          <w:rFonts w:ascii="Times New Roman" w:eastAsia="SimHei"/>
          <w:b/>
          <w:bCs/>
          <w:color w:val="000000"/>
          <w:sz w:val="28"/>
          <w:szCs w:val="28"/>
        </w:rPr>
        <w:t xml:space="preserve">8.5.2 升级流程</w:t>
      </w:r>
      <w:bookmarkEnd w:id="100259"/>
    </w:p>
    <w:p>
      <w:pPr>
        <w:spacing w:after="60" w:line="440" w:lineRule="exact"/>
        <w:ind w:firstLine="480"/>
        <w:jc w:val="both"/>
      </w:pPr>
      <w:r>
        <w:rPr>
          <w:rFonts w:ascii="Times New Roman" w:eastAsia="SimSun"/>
          <w:b w:val="false"/>
          <w:bCs w:val="false"/>
          <w:color w:val="000000"/>
          <w:sz w:val="24"/>
          <w:szCs w:val="24"/>
        </w:rPr>
        <w:t xml:space="preserve">升级按构建、替换、验证三步执行：拉取代码构建新镜像（前端子路径参数随构建注入）；编排仅更新回收后台相关容器，其余服务不受影响；升级完成后访问健康检查确认数据库连通、抽测核心接口。数据层升级依赖幂等建表——新增表与新增参数在服务启动时自动补齐，不依赖手工迁移脚本；升级异常时回滚至上一镜像版本即可恢复服务，历史数据向后兼容。配价与订单数据在升级全程不参与变更，业务零中断。</w:t>
      </w:r>
    </w:p>
    <w:p>
      <w:pPr>
        <w:spacing w:after="0" w:line="440" w:lineRule="exact"/>
        <w:ind w:firstLine="480"/>
        <w:jc w:val="both"/>
      </w:pPr>
      <w:r>
        <w:rPr>
          <w:rFonts w:ascii="Times New Roman" w:eastAsia="SimSun"/>
          <w:b w:val="false"/>
          <w:bCs w:val="false"/>
          <w:color w:val="000000"/>
          <w:sz w:val="24"/>
          <w:szCs w:val="24"/>
        </w:rPr>
        <w:t xml:space="preserve"> </w:t>
      </w:r>
    </w:p>
    <w:p>
      <w:pPr>
        <w:spacing w:after="0" w:line="440" w:lineRule="exact"/>
        <w:ind w:firstLine="480"/>
        <w:jc w:val="both"/>
      </w:pPr>
      <w:r>
        <w:rPr>
          <w:rFonts w:ascii="Times New Roman" w:eastAsia="SimSun"/>
          <w:b w:val="false"/>
          <w:bCs w:val="false"/>
          <w:color w:val="000000"/>
          <w:sz w:val="24"/>
          <w:szCs w:val="24"/>
        </w:rPr>
        <w:t xml:space="preserve">本说明书所述功能与实现以众云信息科技电子产品回收综合服务平台 V1.0 实际软件为准。</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color w:val="444444"/>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color w:val="444444"/>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after="0" w:line="240"/>
      <w:jc w:val="center"/>
    </w:pPr>
    <w:r>
      <w:rPr>
        <w:rFonts w:ascii="Times New Roman" w:eastAsia="SimSun"/>
        <w:color w:val="444444"/>
        <w:sz w:val="18"/>
        <w:szCs w:val="18"/>
      </w:rPr>
      <w:t xml:space="preserve">众云信息科技电子产品回收综合服务平台V1.0 软件说明书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after="0" w:line="240"/>
      <w:jc w:val="center"/>
    </w:pPr>
    <w:r>
      <w:rPr>
        <w:rFonts w:ascii="Times New Roman" w:eastAsia="SimSun"/>
        <w:color w:val="444444"/>
        <w:sz w:val="18"/>
        <w:szCs w:val="18"/>
      </w:rPr>
      <w:t xml:space="preserve">众云信息科技电子产品回收综合服务平台V1.0 软件说明书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line="312"/>
      <w:outlineLvl w:val="0"/>
    </w:pPr>
    <w:rPr>
      <w:rFonts w:ascii="Times New Roman" w:eastAsia="SimHei"/>
      <w:b/>
      <w:bCs/>
      <w:color w:val="000000"/>
      <w:sz w:val="32"/>
      <w:szCs w:val="32"/>
    </w:rPr>
  </w:style>
  <w:style w:type="paragraph" w:styleId="Heading2">
    <w:name w:val="Heading 2"/>
    <w:basedOn w:val="Normal"/>
    <w:next w:val="Normal"/>
    <w:qFormat/>
    <w:pPr>
      <w:spacing w:after="140" w:before="300" w:line="312"/>
      <w:outlineLvl w:val="1"/>
    </w:pPr>
    <w:rPr>
      <w:rFonts w:ascii="Times New Roman" w:eastAsia="SimHei"/>
      <w:b/>
      <w:bCs/>
      <w:color w:val="000000"/>
      <w:sz w:val="30"/>
      <w:szCs w:val="30"/>
    </w:rPr>
  </w:style>
  <w:style w:type="paragraph" w:styleId="Heading3">
    <w:name w:val="Heading 3"/>
    <w:basedOn w:val="Normal"/>
    <w:next w:val="Normal"/>
    <w:qFormat/>
    <w:pPr>
      <w:spacing w:after="100" w:before="240" w:line="312"/>
      <w:outlineLvl w:val="2"/>
    </w:pPr>
    <w:rPr>
      <w:rFonts w:ascii="Times New Roman" w:eastAsia="SimHei"/>
      <w:b/>
      <w:bCs/>
      <w:color w:val="000000"/>
      <w:sz w:val="28"/>
      <w:szCs w:val="28"/>
    </w:rPr>
  </w:style>
  <w:style w:type="paragraph" w:styleId="Heading4">
    <w:name w:val="Heading 4"/>
    <w:basedOn w:val="Normal"/>
    <w:next w:val="Normal"/>
    <w:qFormat/>
    <w:pPr>
      <w:spacing w:after="80" w:before="200" w:line="312"/>
      <w:outlineLvl w:val="3"/>
    </w:pPr>
    <w:rPr>
      <w:rFonts w:ascii="Times New Roman" w:eastAsia="SimHei"/>
      <w:b/>
      <w:bCs/>
      <w:color w:val="000000"/>
      <w:sz w:val="24"/>
      <w:szCs w:val="24"/>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众云信息科技电子产品回收综合服务平台V1.0 软件说明书</dc:title>
  <dc:creator>众云信息科技</dc:creator>
  <cp:lastModifiedBy>Un-named</cp:lastModifiedBy>
  <cp:revision>1</cp:revision>
  <dcterms:created xsi:type="dcterms:W3CDTF">2026-09-17T03:25:50.162Z</dcterms:created>
  <dcterms:modified xsi:type="dcterms:W3CDTF">2026-09-17T03:25:50.164Z</dcterms:modified>
</cp:coreProperties>
</file>

<file path=docProps/custom.xml><?xml version="1.0" encoding="utf-8"?>
<Properties xmlns="http://schemas.openxmlformats.org/officeDocument/2006/custom-properties" xmlns:vt="http://schemas.openxmlformats.org/officeDocument/2006/docPropsVTypes"/>
</file>