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38570">
      <w:pPr>
        <w:jc w:val="center"/>
      </w:pPr>
      <w:r>
        <w:rPr>
          <w:rFonts w:ascii="黑体" w:hAnsi="黑体" w:eastAsia="黑体"/>
          <w:b/>
          <w:sz w:val="32"/>
        </w:rPr>
        <w:t>软件著作权登记申请表（填写版）</w:t>
      </w:r>
    </w:p>
    <w:p w14:paraId="726CFA3D">
      <w:pPr>
        <w:jc w:val="center"/>
      </w:pPr>
      <w:r>
        <w:rPr>
          <w:rFonts w:ascii="黑体" w:hAnsi="黑体" w:eastAsia="黑体"/>
          <w:b/>
          <w:sz w:val="22"/>
        </w:rPr>
        <w:t>电子维修服务管理系统 V1.0</w:t>
      </w:r>
    </w:p>
    <w:p w14:paraId="7609E6CC">
      <w:r>
        <w:rPr>
          <w:rFonts w:ascii="宋体" w:hAnsi="宋体" w:eastAsia="宋体"/>
          <w:color w:val="888888"/>
          <w:sz w:val="18"/>
        </w:rPr>
        <w:t>说明：本表为按照中国版权保护中心申报要求整理的“填写版”参考文档，最终须在中国版权保护中心网上登记系统录入并加盖公章后扫描提交。</w:t>
      </w: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6228"/>
      </w:tblGrid>
      <w:tr w14:paraId="2B63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06" w:type="dxa"/>
            <w:gridSpan w:val="2"/>
            <w:shd w:val="clear" w:color="auto" w:fill="DCE6F1"/>
          </w:tcPr>
          <w:p w14:paraId="29C03A49">
            <w:pPr>
              <w:spacing w:after="0" w:line="240" w:lineRule="auto"/>
            </w:pPr>
            <w:r>
              <w:rPr>
                <w:rFonts w:ascii="黑体" w:hAnsi="黑体" w:eastAsia="黑体"/>
                <w:b/>
                <w:sz w:val="21"/>
              </w:rPr>
              <w:t>一、软件基本信息</w:t>
            </w:r>
          </w:p>
        </w:tc>
      </w:tr>
      <w:tr w14:paraId="488A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762F8621">
            <w:pPr>
              <w:spacing w:after="0" w:line="240" w:lineRule="auto"/>
            </w:pPr>
            <w:r>
              <w:rPr>
                <w:rFonts w:ascii="黑体" w:hAnsi="黑体" w:eastAsia="黑体"/>
                <w:b/>
                <w:sz w:val="21"/>
              </w:rPr>
              <w:t>软件全称</w:t>
            </w:r>
          </w:p>
        </w:tc>
        <w:tc>
          <w:tcPr>
            <w:tcW w:w="6406" w:type="dxa"/>
          </w:tcPr>
          <w:p w14:paraId="17A5425E">
            <w:pPr>
              <w:spacing w:after="0" w:line="240" w:lineRule="auto"/>
            </w:pPr>
            <w:r>
              <w:rPr>
                <w:rFonts w:ascii="宋体" w:hAnsi="宋体" w:eastAsia="宋体"/>
                <w:sz w:val="20"/>
              </w:rPr>
              <w:t>电子维修服务管理系统</w:t>
            </w:r>
          </w:p>
        </w:tc>
      </w:tr>
      <w:tr w14:paraId="1E44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0D0E6A73">
            <w:pPr>
              <w:spacing w:after="0" w:line="240" w:lineRule="auto"/>
            </w:pPr>
            <w:r>
              <w:rPr>
                <w:rFonts w:ascii="黑体" w:hAnsi="黑体" w:eastAsia="黑体"/>
                <w:b/>
                <w:sz w:val="21"/>
              </w:rPr>
              <w:t>软件简称</w:t>
            </w:r>
          </w:p>
        </w:tc>
        <w:tc>
          <w:tcPr>
            <w:tcW w:w="6406" w:type="dxa"/>
          </w:tcPr>
          <w:p w14:paraId="3DCD22B8">
            <w:pPr>
              <w:spacing w:after="0" w:line="240" w:lineRule="auto"/>
            </w:pPr>
            <w:r>
              <w:rPr>
                <w:rFonts w:ascii="宋体" w:hAnsi="宋体" w:eastAsia="宋体"/>
                <w:sz w:val="20"/>
              </w:rPr>
              <w:t>电子维修系统</w:t>
            </w:r>
          </w:p>
        </w:tc>
      </w:tr>
      <w:tr w14:paraId="4183F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0F273930">
            <w:pPr>
              <w:spacing w:after="0" w:line="240" w:lineRule="auto"/>
            </w:pPr>
            <w:r>
              <w:rPr>
                <w:rFonts w:ascii="黑体" w:hAnsi="黑体" w:eastAsia="黑体"/>
                <w:b/>
                <w:sz w:val="21"/>
              </w:rPr>
              <w:t>版本号</w:t>
            </w:r>
          </w:p>
        </w:tc>
        <w:tc>
          <w:tcPr>
            <w:tcW w:w="6406" w:type="dxa"/>
          </w:tcPr>
          <w:p w14:paraId="06B8F2AD">
            <w:pPr>
              <w:spacing w:after="0" w:line="240" w:lineRule="auto"/>
            </w:pPr>
            <w:r>
              <w:rPr>
                <w:rFonts w:ascii="宋体" w:hAnsi="宋体" w:eastAsia="宋体"/>
                <w:sz w:val="20"/>
              </w:rPr>
              <w:t>V1.0</w:t>
            </w:r>
          </w:p>
        </w:tc>
      </w:tr>
      <w:tr w14:paraId="076A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052F6296">
            <w:pPr>
              <w:spacing w:after="0" w:line="240" w:lineRule="auto"/>
            </w:pPr>
            <w:r>
              <w:rPr>
                <w:rFonts w:ascii="黑体" w:hAnsi="黑体" w:eastAsia="黑体"/>
                <w:b/>
                <w:sz w:val="21"/>
              </w:rPr>
              <w:t>软件分类</w:t>
            </w:r>
          </w:p>
        </w:tc>
        <w:tc>
          <w:tcPr>
            <w:tcW w:w="6406" w:type="dxa"/>
          </w:tcPr>
          <w:p w14:paraId="1469FFDD">
            <w:pPr>
              <w:spacing w:after="0" w:line="240" w:lineRule="auto"/>
            </w:pPr>
            <w:r>
              <w:rPr>
                <w:rFonts w:ascii="宋体" w:hAnsi="宋体" w:eastAsia="宋体"/>
                <w:sz w:val="20"/>
              </w:rPr>
              <w:t>应用软件</w:t>
            </w:r>
          </w:p>
        </w:tc>
      </w:tr>
      <w:tr w14:paraId="1855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11AF2116">
            <w:pPr>
              <w:spacing w:after="0" w:line="240" w:lineRule="auto"/>
            </w:pPr>
            <w:r>
              <w:rPr>
                <w:rFonts w:ascii="黑体" w:hAnsi="黑体" w:eastAsia="黑体"/>
                <w:b/>
                <w:sz w:val="21"/>
              </w:rPr>
              <w:t>是否发表</w:t>
            </w:r>
          </w:p>
        </w:tc>
        <w:tc>
          <w:tcPr>
            <w:tcW w:w="6406" w:type="dxa"/>
          </w:tcPr>
          <w:p w14:paraId="3357DC0A">
            <w:pPr>
              <w:spacing w:after="0" w:line="240" w:lineRule="auto"/>
            </w:pPr>
            <w:r>
              <w:rPr>
                <w:rFonts w:ascii="宋体" w:hAnsi="宋体" w:eastAsia="宋体"/>
                <w:sz w:val="20"/>
              </w:rPr>
              <w:t>否（未发表，无需提供发表证明）</w:t>
            </w:r>
          </w:p>
        </w:tc>
      </w:tr>
      <w:tr w14:paraId="7D74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1BF8EC48">
            <w:pPr>
              <w:spacing w:after="0" w:line="240" w:lineRule="auto"/>
            </w:pPr>
            <w:r>
              <w:rPr>
                <w:rFonts w:ascii="黑体" w:hAnsi="黑体" w:eastAsia="黑体"/>
                <w:b/>
                <w:sz w:val="21"/>
              </w:rPr>
              <w:t>开发完成日期</w:t>
            </w:r>
          </w:p>
        </w:tc>
        <w:tc>
          <w:tcPr>
            <w:tcW w:w="6406" w:type="dxa"/>
          </w:tcPr>
          <w:p w14:paraId="32292F4A">
            <w:pPr>
              <w:spacing w:after="0" w:line="240" w:lineRule="auto"/>
            </w:pPr>
            <w:r>
              <w:rPr>
                <w:rFonts w:ascii="宋体" w:hAnsi="宋体" w:eastAsia="宋体"/>
                <w:sz w:val="20"/>
              </w:rPr>
              <w:t>2026-03-10（占位，可按实际调整）</w:t>
            </w:r>
          </w:p>
        </w:tc>
      </w:tr>
      <w:tr w14:paraId="0209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16A27C5F">
            <w:pPr>
              <w:spacing w:after="0" w:line="240" w:lineRule="auto"/>
            </w:pPr>
            <w:r>
              <w:rPr>
                <w:rFonts w:ascii="黑体" w:hAnsi="黑体" w:eastAsia="黑体"/>
                <w:b/>
                <w:sz w:val="21"/>
              </w:rPr>
              <w:t>首次发表日期</w:t>
            </w:r>
          </w:p>
        </w:tc>
        <w:tc>
          <w:tcPr>
            <w:tcW w:w="6406" w:type="dxa"/>
          </w:tcPr>
          <w:p w14:paraId="2F19CB8B">
            <w:pPr>
              <w:spacing w:after="0" w:line="240" w:lineRule="auto"/>
            </w:pPr>
            <w:r>
              <w:rPr>
                <w:rFonts w:ascii="宋体" w:hAnsi="宋体" w:eastAsia="宋体"/>
                <w:sz w:val="20"/>
              </w:rPr>
              <w:t>（未发表，留空）</w:t>
            </w:r>
          </w:p>
        </w:tc>
      </w:tr>
      <w:tr w14:paraId="41F4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4FEBCCE3">
            <w:pPr>
              <w:spacing w:after="0" w:line="240" w:lineRule="auto"/>
            </w:pPr>
            <w:r>
              <w:rPr>
                <w:rFonts w:ascii="黑体" w:hAnsi="黑体" w:eastAsia="黑体"/>
                <w:b/>
                <w:sz w:val="21"/>
              </w:rPr>
              <w:t>面向领域 / 行业</w:t>
            </w:r>
          </w:p>
        </w:tc>
        <w:tc>
          <w:tcPr>
            <w:tcW w:w="6406" w:type="dxa"/>
          </w:tcPr>
          <w:p w14:paraId="64264E78">
            <w:pPr>
              <w:spacing w:after="0" w:line="240" w:lineRule="auto"/>
            </w:pPr>
            <w:r>
              <w:rPr>
                <w:rFonts w:ascii="宋体" w:hAnsi="宋体" w:eastAsia="宋体"/>
                <w:sz w:val="20"/>
              </w:rPr>
              <w:t>消费电子售后维修 / O2O 服务 / 智能客服</w:t>
            </w:r>
          </w:p>
        </w:tc>
      </w:tr>
      <w:tr w14:paraId="7F9E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06" w:type="dxa"/>
            <w:gridSpan w:val="2"/>
            <w:shd w:val="clear" w:color="auto" w:fill="DCE6F1"/>
          </w:tcPr>
          <w:p w14:paraId="69824ADE">
            <w:pPr>
              <w:spacing w:after="0" w:line="240" w:lineRule="auto"/>
            </w:pPr>
            <w:r>
              <w:rPr>
                <w:rFonts w:ascii="黑体" w:hAnsi="黑体" w:eastAsia="黑体"/>
                <w:b/>
                <w:sz w:val="21"/>
              </w:rPr>
              <w:t>二、著作权人信息</w:t>
            </w:r>
          </w:p>
        </w:tc>
      </w:tr>
      <w:tr w14:paraId="72AB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4B3398D7">
            <w:pPr>
              <w:spacing w:after="0" w:line="240" w:lineRule="auto"/>
            </w:pPr>
            <w:r>
              <w:rPr>
                <w:rFonts w:ascii="黑体" w:hAnsi="黑体" w:eastAsia="黑体"/>
                <w:b/>
                <w:sz w:val="21"/>
              </w:rPr>
              <w:t>著作权人名称</w:t>
            </w:r>
          </w:p>
        </w:tc>
        <w:tc>
          <w:tcPr>
            <w:tcW w:w="6406" w:type="dxa"/>
          </w:tcPr>
          <w:p w14:paraId="3C4A1EA5">
            <w:pPr>
              <w:spacing w:after="0" w:line="240" w:lineRule="auto"/>
            </w:pPr>
            <w:r>
              <w:rPr>
                <w:rFonts w:ascii="宋体" w:hAnsi="宋体" w:eastAsia="宋体"/>
                <w:sz w:val="20"/>
              </w:rPr>
              <w:t>深圳市众云信息科技有限公司</w:t>
            </w:r>
          </w:p>
        </w:tc>
      </w:tr>
      <w:tr w14:paraId="540A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072CB50F">
            <w:pPr>
              <w:spacing w:after="0" w:line="240" w:lineRule="auto"/>
            </w:pPr>
            <w:r>
              <w:rPr>
                <w:rFonts w:ascii="黑体" w:hAnsi="黑体" w:eastAsia="黑体"/>
                <w:b/>
                <w:sz w:val="21"/>
              </w:rPr>
              <w:t>著作权人性质</w:t>
            </w:r>
          </w:p>
        </w:tc>
        <w:tc>
          <w:tcPr>
            <w:tcW w:w="6406" w:type="dxa"/>
          </w:tcPr>
          <w:p w14:paraId="55319C33">
            <w:pPr>
              <w:spacing w:after="0" w:line="240" w:lineRule="auto"/>
            </w:pPr>
            <w:r>
              <w:rPr>
                <w:rFonts w:ascii="宋体" w:hAnsi="宋体" w:eastAsia="宋体"/>
                <w:sz w:val="20"/>
              </w:rPr>
              <w:t>企业法人</w:t>
            </w:r>
          </w:p>
        </w:tc>
      </w:tr>
      <w:tr w14:paraId="7594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14E23443">
            <w:pPr>
              <w:spacing w:after="0" w:line="240" w:lineRule="auto"/>
            </w:pPr>
            <w:r>
              <w:rPr>
                <w:rFonts w:ascii="黑体" w:hAnsi="黑体" w:eastAsia="黑体"/>
                <w:b/>
                <w:sz w:val="21"/>
              </w:rPr>
              <w:t>证件类型</w:t>
            </w:r>
          </w:p>
        </w:tc>
        <w:tc>
          <w:tcPr>
            <w:tcW w:w="6406" w:type="dxa"/>
          </w:tcPr>
          <w:p w14:paraId="2505D0D2">
            <w:pPr>
              <w:spacing w:after="0" w:line="240" w:lineRule="auto"/>
            </w:pPr>
            <w:r>
              <w:rPr>
                <w:rFonts w:ascii="宋体" w:hAnsi="宋体" w:eastAsia="宋体"/>
                <w:sz w:val="20"/>
              </w:rPr>
              <w:t>统一社会信用代码</w:t>
            </w:r>
          </w:p>
        </w:tc>
      </w:tr>
      <w:tr w14:paraId="15E6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0DAF4D97">
            <w:pPr>
              <w:spacing w:after="0" w:line="240" w:lineRule="auto"/>
            </w:pPr>
            <w:r>
              <w:rPr>
                <w:rFonts w:ascii="黑体" w:hAnsi="黑体" w:eastAsia="黑体"/>
                <w:b/>
                <w:sz w:val="21"/>
              </w:rPr>
              <w:t>证件号码</w:t>
            </w:r>
          </w:p>
        </w:tc>
        <w:tc>
          <w:tcPr>
            <w:tcW w:w="6406" w:type="dxa"/>
          </w:tcPr>
          <w:p w14:paraId="77EFFD15">
            <w:pPr>
              <w:spacing w:after="0" w:line="240" w:lineRule="auto"/>
            </w:pPr>
            <w:r>
              <w:rPr>
                <w:rFonts w:ascii="宋体" w:hAnsi="宋体" w:eastAsia="宋体"/>
                <w:sz w:val="20"/>
              </w:rPr>
              <w:t>［占位：请填写营业执照统一社会信用代码］</w:t>
            </w:r>
          </w:p>
        </w:tc>
      </w:tr>
      <w:tr w14:paraId="21F59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7CE19223">
            <w:pPr>
              <w:spacing w:after="0" w:line="240" w:lineRule="auto"/>
            </w:pPr>
            <w:r>
              <w:rPr>
                <w:rFonts w:ascii="黑体" w:hAnsi="黑体" w:eastAsia="黑体"/>
                <w:b/>
                <w:sz w:val="21"/>
              </w:rPr>
              <w:t>国家 / 地区</w:t>
            </w:r>
          </w:p>
        </w:tc>
        <w:tc>
          <w:tcPr>
            <w:tcW w:w="6406" w:type="dxa"/>
          </w:tcPr>
          <w:p w14:paraId="1B299F58">
            <w:pPr>
              <w:spacing w:after="0" w:line="240" w:lineRule="auto"/>
            </w:pPr>
            <w:r>
              <w:rPr>
                <w:rFonts w:ascii="宋体" w:hAnsi="宋体" w:eastAsia="宋体"/>
                <w:sz w:val="20"/>
              </w:rPr>
              <w:t>中国</w:t>
            </w:r>
          </w:p>
        </w:tc>
      </w:tr>
      <w:tr w14:paraId="1577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759A9781">
            <w:pPr>
              <w:spacing w:after="0" w:line="240" w:lineRule="auto"/>
            </w:pPr>
            <w:r>
              <w:rPr>
                <w:rFonts w:ascii="黑体" w:hAnsi="黑体" w:eastAsia="黑体"/>
                <w:b/>
                <w:sz w:val="21"/>
              </w:rPr>
              <w:t>省份 / 城市</w:t>
            </w:r>
          </w:p>
        </w:tc>
        <w:tc>
          <w:tcPr>
            <w:tcW w:w="6406" w:type="dxa"/>
          </w:tcPr>
          <w:p w14:paraId="34C71379">
            <w:pPr>
              <w:spacing w:after="0" w:line="240" w:lineRule="auto"/>
            </w:pPr>
            <w:r>
              <w:rPr>
                <w:rFonts w:ascii="宋体" w:hAnsi="宋体" w:eastAsia="宋体"/>
                <w:sz w:val="20"/>
              </w:rPr>
              <w:t>广东省 / 深圳市</w:t>
            </w:r>
          </w:p>
        </w:tc>
      </w:tr>
      <w:tr w14:paraId="5338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3EE26FF3">
            <w:pPr>
              <w:spacing w:after="0" w:line="240" w:lineRule="auto"/>
            </w:pPr>
            <w:r>
              <w:rPr>
                <w:rFonts w:ascii="黑体" w:hAnsi="黑体" w:eastAsia="黑体"/>
                <w:b/>
                <w:sz w:val="21"/>
              </w:rPr>
              <w:t>权利取得方式</w:t>
            </w:r>
          </w:p>
        </w:tc>
        <w:tc>
          <w:tcPr>
            <w:tcW w:w="6406" w:type="dxa"/>
          </w:tcPr>
          <w:p w14:paraId="39CEAC5A">
            <w:pPr>
              <w:spacing w:after="0" w:line="240" w:lineRule="auto"/>
            </w:pPr>
            <w:r>
              <w:rPr>
                <w:rFonts w:ascii="宋体" w:hAnsi="宋体" w:eastAsia="宋体"/>
                <w:sz w:val="20"/>
              </w:rPr>
              <w:t>原始取得</w:t>
            </w:r>
          </w:p>
        </w:tc>
      </w:tr>
      <w:tr w14:paraId="1ADF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3572B19B">
            <w:pPr>
              <w:spacing w:after="0" w:line="240" w:lineRule="auto"/>
            </w:pPr>
            <w:r>
              <w:rPr>
                <w:rFonts w:ascii="黑体" w:hAnsi="黑体" w:eastAsia="黑体"/>
                <w:b/>
                <w:sz w:val="21"/>
              </w:rPr>
              <w:t>权利范围</w:t>
            </w:r>
          </w:p>
        </w:tc>
        <w:tc>
          <w:tcPr>
            <w:tcW w:w="6406" w:type="dxa"/>
          </w:tcPr>
          <w:p w14:paraId="393A1C08">
            <w:pPr>
              <w:spacing w:after="0" w:line="240" w:lineRule="auto"/>
            </w:pPr>
            <w:r>
              <w:rPr>
                <w:rFonts w:ascii="宋体" w:hAnsi="宋体" w:eastAsia="宋体"/>
                <w:sz w:val="20"/>
              </w:rPr>
              <w:t>全部权利</w:t>
            </w:r>
          </w:p>
        </w:tc>
      </w:tr>
      <w:tr w14:paraId="3C3FD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30C9D292">
            <w:pPr>
              <w:spacing w:after="0" w:line="240" w:lineRule="auto"/>
            </w:pPr>
            <w:r>
              <w:rPr>
                <w:rFonts w:ascii="黑体" w:hAnsi="黑体" w:eastAsia="黑体"/>
                <w:b/>
                <w:sz w:val="21"/>
              </w:rPr>
              <w:t>质权登记</w:t>
            </w:r>
          </w:p>
        </w:tc>
        <w:tc>
          <w:tcPr>
            <w:tcW w:w="6406" w:type="dxa"/>
          </w:tcPr>
          <w:p w14:paraId="776DA91A">
            <w:pPr>
              <w:spacing w:after="0" w:line="240" w:lineRule="auto"/>
            </w:pPr>
            <w:r>
              <w:rPr>
                <w:rFonts w:ascii="宋体" w:hAnsi="宋体" w:eastAsia="宋体"/>
                <w:sz w:val="20"/>
              </w:rPr>
              <w:t>否</w:t>
            </w:r>
          </w:p>
        </w:tc>
      </w:tr>
      <w:tr w14:paraId="591E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06" w:type="dxa"/>
            <w:gridSpan w:val="2"/>
            <w:shd w:val="clear" w:color="auto" w:fill="DCE6F1"/>
          </w:tcPr>
          <w:p w14:paraId="782817FA">
            <w:pPr>
              <w:spacing w:after="0" w:line="240" w:lineRule="auto"/>
            </w:pPr>
            <w:r>
              <w:rPr>
                <w:rFonts w:ascii="黑体" w:hAnsi="黑体" w:eastAsia="黑体"/>
                <w:b/>
                <w:sz w:val="21"/>
              </w:rPr>
              <w:t>三、开发与运行环境</w:t>
            </w:r>
          </w:p>
        </w:tc>
      </w:tr>
      <w:tr w14:paraId="59E15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1755ED65">
            <w:pPr>
              <w:spacing w:after="0" w:line="240" w:lineRule="auto"/>
            </w:pPr>
            <w:r>
              <w:rPr>
                <w:rFonts w:ascii="黑体" w:hAnsi="黑体" w:eastAsia="黑体"/>
                <w:b/>
                <w:sz w:val="21"/>
              </w:rPr>
              <w:t>开发用硬件环境</w:t>
            </w:r>
          </w:p>
        </w:tc>
        <w:tc>
          <w:tcPr>
            <w:tcW w:w="6406" w:type="dxa"/>
          </w:tcPr>
          <w:p w14:paraId="7E17323E">
            <w:pPr>
              <w:spacing w:after="0" w:line="240" w:lineRule="auto"/>
            </w:pPr>
            <w:r>
              <w:rPr>
                <w:rFonts w:ascii="宋体" w:hAnsi="宋体" w:eastAsia="宋体"/>
                <w:sz w:val="20"/>
              </w:rPr>
              <w:t>Intel Core i5 处理器，16GB 内存，512GB SSD，1920×1080 显示器</w:t>
            </w:r>
          </w:p>
        </w:tc>
      </w:tr>
      <w:tr w14:paraId="3716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63CA848B">
            <w:pPr>
              <w:spacing w:after="0" w:line="240" w:lineRule="auto"/>
            </w:pPr>
            <w:r>
              <w:rPr>
                <w:rFonts w:ascii="黑体" w:hAnsi="黑体" w:eastAsia="黑体"/>
                <w:b/>
                <w:sz w:val="21"/>
              </w:rPr>
              <w:t>运行用硬件环境（服务端）</w:t>
            </w:r>
          </w:p>
        </w:tc>
        <w:tc>
          <w:tcPr>
            <w:tcW w:w="6406" w:type="dxa"/>
          </w:tcPr>
          <w:p w14:paraId="15D23643">
            <w:pPr>
              <w:spacing w:after="0" w:line="240" w:lineRule="auto"/>
            </w:pPr>
            <w:r>
              <w:rPr>
                <w:rFonts w:ascii="宋体" w:hAnsi="宋体" w:eastAsia="宋体"/>
                <w:sz w:val="20"/>
              </w:rPr>
              <w:t>CPU 4 核及以上，内存 8GB 及以上，硬盘 100GB SSD 及以上，千兆网卡</w:t>
            </w:r>
          </w:p>
        </w:tc>
      </w:tr>
      <w:tr w14:paraId="0A76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106F80A0">
            <w:pPr>
              <w:spacing w:after="0" w:line="240" w:lineRule="auto"/>
            </w:pPr>
            <w:r>
              <w:rPr>
                <w:rFonts w:ascii="黑体" w:hAnsi="黑体" w:eastAsia="黑体"/>
                <w:b/>
                <w:sz w:val="21"/>
              </w:rPr>
              <w:t>运行用硬件环境（客户端）</w:t>
            </w:r>
          </w:p>
        </w:tc>
        <w:tc>
          <w:tcPr>
            <w:tcW w:w="6406" w:type="dxa"/>
          </w:tcPr>
          <w:p w14:paraId="30CBE306">
            <w:pPr>
              <w:spacing w:after="0" w:line="240" w:lineRule="auto"/>
            </w:pPr>
            <w:r>
              <w:rPr>
                <w:rFonts w:ascii="宋体" w:hAnsi="宋体" w:eastAsia="宋体"/>
                <w:sz w:val="20"/>
              </w:rPr>
              <w:t>iOS/Android 智能手机、平板电脑、PC（Chrome/Safari/Edge）</w:t>
            </w:r>
          </w:p>
        </w:tc>
      </w:tr>
      <w:tr w14:paraId="62E7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1C4578C2">
            <w:pPr>
              <w:spacing w:after="0" w:line="240" w:lineRule="auto"/>
            </w:pPr>
            <w:r>
              <w:rPr>
                <w:rFonts w:ascii="黑体" w:hAnsi="黑体" w:eastAsia="黑体"/>
                <w:b/>
                <w:sz w:val="21"/>
              </w:rPr>
              <w:t>开发操作系统</w:t>
            </w:r>
          </w:p>
        </w:tc>
        <w:tc>
          <w:tcPr>
            <w:tcW w:w="6406" w:type="dxa"/>
          </w:tcPr>
          <w:p w14:paraId="75690B95">
            <w:pPr>
              <w:spacing w:after="0" w:line="240" w:lineRule="auto"/>
            </w:pPr>
            <w:r>
              <w:rPr>
                <w:rFonts w:ascii="宋体" w:hAnsi="宋体" w:eastAsia="宋体"/>
                <w:sz w:val="20"/>
              </w:rPr>
              <w:t>Windows 10/11，macOS 12+，Ubuntu 20.04+</w:t>
            </w:r>
          </w:p>
        </w:tc>
      </w:tr>
      <w:tr w14:paraId="1263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54F2D071">
            <w:pPr>
              <w:spacing w:after="0" w:line="240" w:lineRule="auto"/>
            </w:pPr>
            <w:r>
              <w:rPr>
                <w:rFonts w:ascii="黑体" w:hAnsi="黑体" w:eastAsia="黑体"/>
                <w:b/>
                <w:sz w:val="21"/>
              </w:rPr>
              <w:t>软件开发环境 / 开发工具</w:t>
            </w:r>
          </w:p>
        </w:tc>
        <w:tc>
          <w:tcPr>
            <w:tcW w:w="6406" w:type="dxa"/>
          </w:tcPr>
          <w:p w14:paraId="77C21F3D">
            <w:pPr>
              <w:spacing w:after="0" w:line="240" w:lineRule="auto"/>
            </w:pPr>
            <w:r>
              <w:rPr>
                <w:rFonts w:ascii="宋体" w:hAnsi="宋体" w:eastAsia="宋体"/>
                <w:sz w:val="20"/>
              </w:rPr>
              <w:t>微信开发者工具，VS Code，Git，Docker，Node.js 18+，ESLint</w:t>
            </w:r>
          </w:p>
        </w:tc>
      </w:tr>
      <w:tr w14:paraId="7E3D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759D443E">
            <w:pPr>
              <w:spacing w:after="0" w:line="240" w:lineRule="auto"/>
            </w:pPr>
            <w:r>
              <w:rPr>
                <w:rFonts w:ascii="黑体" w:hAnsi="黑体" w:eastAsia="黑体"/>
                <w:b/>
                <w:sz w:val="21"/>
              </w:rPr>
              <w:t>运行平台（服务端）</w:t>
            </w:r>
          </w:p>
        </w:tc>
        <w:tc>
          <w:tcPr>
            <w:tcW w:w="6406" w:type="dxa"/>
          </w:tcPr>
          <w:p w14:paraId="79F1BE7E">
            <w:pPr>
              <w:spacing w:after="0" w:line="240" w:lineRule="auto"/>
            </w:pPr>
            <w:r>
              <w:rPr>
                <w:rFonts w:ascii="宋体" w:hAnsi="宋体" w:eastAsia="宋体"/>
                <w:sz w:val="20"/>
              </w:rPr>
              <w:t>Ubuntu 20.04 / CentOS 7 / Debian 11，Nginx 1.20+</w:t>
            </w:r>
          </w:p>
        </w:tc>
      </w:tr>
      <w:tr w14:paraId="35D0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58AF580F">
            <w:pPr>
              <w:spacing w:after="0" w:line="240" w:lineRule="auto"/>
            </w:pPr>
            <w:r>
              <w:rPr>
                <w:rFonts w:ascii="黑体" w:hAnsi="黑体" w:eastAsia="黑体"/>
                <w:b/>
                <w:sz w:val="21"/>
              </w:rPr>
              <w:t>运行平台（客户端）</w:t>
            </w:r>
          </w:p>
        </w:tc>
        <w:tc>
          <w:tcPr>
            <w:tcW w:w="6406" w:type="dxa"/>
          </w:tcPr>
          <w:p w14:paraId="2283E3C1">
            <w:pPr>
              <w:spacing w:after="0" w:line="240" w:lineRule="auto"/>
            </w:pPr>
            <w:r>
              <w:rPr>
                <w:rFonts w:ascii="宋体" w:hAnsi="宋体" w:eastAsia="宋体"/>
                <w:sz w:val="20"/>
              </w:rPr>
              <w:t>微信 8.0+，iOS 15+，Android 10+</w:t>
            </w:r>
          </w:p>
        </w:tc>
      </w:tr>
      <w:tr w14:paraId="3EE3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5071E6CB">
            <w:pPr>
              <w:spacing w:after="0" w:line="240" w:lineRule="auto"/>
            </w:pPr>
            <w:r>
              <w:rPr>
                <w:rFonts w:ascii="黑体" w:hAnsi="黑体" w:eastAsia="黑体"/>
                <w:b/>
                <w:sz w:val="21"/>
              </w:rPr>
              <w:t>运行支撑环境</w:t>
            </w:r>
          </w:p>
        </w:tc>
        <w:tc>
          <w:tcPr>
            <w:tcW w:w="6406" w:type="dxa"/>
          </w:tcPr>
          <w:p w14:paraId="58393F72">
            <w:pPr>
              <w:spacing w:after="0" w:line="240" w:lineRule="auto"/>
            </w:pPr>
            <w:r>
              <w:rPr>
                <w:rFonts w:ascii="宋体" w:hAnsi="宋体" w:eastAsia="宋体"/>
                <w:sz w:val="20"/>
              </w:rPr>
              <w:t>Node.js 18+，MySQL 8.0，Nginx，PM2（WebSocket）</w:t>
            </w:r>
          </w:p>
        </w:tc>
      </w:tr>
      <w:tr w14:paraId="2A16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3E802656">
            <w:pPr>
              <w:spacing w:after="0" w:line="240" w:lineRule="auto"/>
            </w:pPr>
            <w:r>
              <w:rPr>
                <w:rFonts w:ascii="黑体" w:hAnsi="黑体" w:eastAsia="黑体"/>
                <w:b/>
                <w:sz w:val="21"/>
              </w:rPr>
              <w:t>编程语言</w:t>
            </w:r>
          </w:p>
        </w:tc>
        <w:tc>
          <w:tcPr>
            <w:tcW w:w="6406" w:type="dxa"/>
          </w:tcPr>
          <w:p w14:paraId="11DE83EC">
            <w:pPr>
              <w:spacing w:after="0" w:line="240" w:lineRule="auto"/>
            </w:pPr>
            <w:r>
              <w:rPr>
                <w:rFonts w:ascii="宋体" w:hAnsi="宋体" w:eastAsia="宋体"/>
                <w:sz w:val="20"/>
              </w:rPr>
              <w:t>JavaScript（WXML/WXSS/HTML5/CSS3/SQL）</w:t>
            </w:r>
          </w:p>
        </w:tc>
      </w:tr>
      <w:tr w14:paraId="0523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03A83CAC">
            <w:pPr>
              <w:spacing w:after="0" w:line="240" w:lineRule="auto"/>
            </w:pPr>
            <w:r>
              <w:rPr>
                <w:rFonts w:ascii="黑体" w:hAnsi="黑体" w:eastAsia="黑体"/>
                <w:b/>
                <w:sz w:val="21"/>
              </w:rPr>
              <w:t>源程序量</w:t>
            </w:r>
          </w:p>
        </w:tc>
        <w:tc>
          <w:tcPr>
            <w:tcW w:w="6406" w:type="dxa"/>
          </w:tcPr>
          <w:p w14:paraId="71DBCE97">
            <w:pPr>
              <w:spacing w:after="0" w:line="240" w:lineRule="auto"/>
            </w:pPr>
            <w:r>
              <w:rPr>
                <w:rFonts w:ascii="宋体" w:hAnsi="宋体" w:eastAsia="宋体"/>
                <w:sz w:val="20"/>
              </w:rPr>
              <w:t>约 52,000 行</w:t>
            </w:r>
          </w:p>
        </w:tc>
      </w:tr>
      <w:tr w14:paraId="4D0D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06" w:type="dxa"/>
            <w:gridSpan w:val="2"/>
            <w:shd w:val="clear" w:color="auto" w:fill="DCE6F1"/>
          </w:tcPr>
          <w:p w14:paraId="7EB075F3">
            <w:pPr>
              <w:spacing w:after="0" w:line="240" w:lineRule="auto"/>
            </w:pPr>
            <w:r>
              <w:rPr>
                <w:rFonts w:ascii="黑体" w:hAnsi="黑体" w:eastAsia="黑体"/>
                <w:b/>
                <w:sz w:val="21"/>
              </w:rPr>
              <w:t>四、软件说明</w:t>
            </w:r>
          </w:p>
        </w:tc>
      </w:tr>
      <w:tr w14:paraId="19FF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002F68C9">
            <w:pPr>
              <w:spacing w:after="0" w:line="240" w:lineRule="auto"/>
            </w:pPr>
            <w:r>
              <w:rPr>
                <w:rFonts w:ascii="黑体" w:hAnsi="黑体" w:eastAsia="黑体"/>
                <w:b/>
                <w:sz w:val="21"/>
              </w:rPr>
              <w:t>开发目的</w:t>
            </w:r>
          </w:p>
        </w:tc>
        <w:tc>
          <w:tcPr>
            <w:tcW w:w="6406" w:type="dxa"/>
          </w:tcPr>
          <w:p w14:paraId="78AA074E">
            <w:pPr>
              <w:spacing w:after="0" w:line="240" w:lineRule="auto"/>
            </w:pPr>
            <w:r>
              <w:rPr>
                <w:rFonts w:ascii="宋体" w:hAnsi="宋体" w:eastAsia="宋体"/>
                <w:sz w:val="20"/>
              </w:rPr>
              <w:t>面向电子设备维修与回收服务，提供 AI 自检、在线报价、进度追踪一体化平台，提升售后效率。</w:t>
            </w:r>
          </w:p>
        </w:tc>
      </w:tr>
      <w:tr w14:paraId="0026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1FC8274A">
            <w:pPr>
              <w:spacing w:after="0" w:line="240" w:lineRule="auto"/>
            </w:pPr>
            <w:r>
              <w:rPr>
                <w:rFonts w:ascii="黑体" w:hAnsi="黑体" w:eastAsia="黑体"/>
                <w:b/>
                <w:sz w:val="21"/>
              </w:rPr>
              <w:t>主要功能</w:t>
            </w:r>
          </w:p>
        </w:tc>
        <w:tc>
          <w:tcPr>
            <w:tcW w:w="6406" w:type="dxa"/>
          </w:tcPr>
          <w:p w14:paraId="0141C054">
            <w:pPr>
              <w:spacing w:after="0" w:line="240" w:lineRule="auto"/>
            </w:pPr>
            <w:r>
              <w:rPr>
                <w:rFonts w:ascii="宋体" w:hAnsi="宋体" w:eastAsia="宋体"/>
                <w:sz w:val="20"/>
              </w:rPr>
              <w:t>（1）AI 故障自检与智能客服：用户选择设备品类、品牌与故障现象后，系统调用大模型进行初步故障分析，并在客服会话中基于规则引擎与知识库自动识别设备、品牌与故障类型，提供快捷回复、订单与报价查询，消息内可直接跳转下单，显著降低沟通成本。</w:t>
            </w:r>
          </w:p>
          <w:p w14:paraId="0D0BB35F">
            <w:pPr>
              <w:spacing w:after="0" w:line="240" w:lineRule="auto"/>
            </w:pPr>
            <w:r>
              <w:rPr>
                <w:rFonts w:ascii="宋体" w:hAnsi="宋体" w:eastAsia="宋体"/>
                <w:sz w:val="20"/>
              </w:rPr>
              <w:t>（2）在线维修 / 回收下单：支持到店与上门两种服务方式，分步表单完成设备选择、品牌型号、故障描述、故障图片上传与估价；上门取件可关联用户收货地址与企业单位；回收业务支持成色评估与预估回收价，生成唯一订单号并进入工单流转。</w:t>
            </w:r>
          </w:p>
          <w:p w14:paraId="060BDBEA">
            <w:pPr>
              <w:spacing w:after="0" w:line="240" w:lineRule="auto"/>
            </w:pPr>
            <w:r>
              <w:rPr>
                <w:rFonts w:ascii="宋体" w:hAnsi="宋体" w:eastAsia="宋体"/>
                <w:sz w:val="20"/>
              </w:rPr>
              <w:t>（3）透明报价与确认：维修管理员对待处理订单提交报价（金额、说明与报告文件），用户在订单详情中接受或拒绝报价，状态于 pending→quoted→confirmed→processing→completed 间有序流转；拒绝后可重新报价，全程留痕、报价清晰可查。</w:t>
            </w:r>
          </w:p>
          <w:p w14:paraId="1FA78450">
            <w:pPr>
              <w:spacing w:after="0" w:line="240" w:lineRule="auto"/>
            </w:pPr>
            <w:r>
              <w:rPr>
                <w:rFonts w:ascii="宋体" w:hAnsi="宋体" w:eastAsia="宋体"/>
                <w:sz w:val="20"/>
              </w:rPr>
              <w:t>（4）维修进度实时反馈与管理后台：维修人员通过进度反馈模块上传百分比、文字、图片（≤9 张）与视频（≤100MB），用户实时查看；管理员与超级管理员可进行用户、设备、配件价格、工单分配、进度申请审批、配送分配与数据统计等系统管理。</w:t>
            </w:r>
          </w:p>
          <w:p w14:paraId="4B7C1728">
            <w:pPr>
              <w:spacing w:after="0" w:line="240" w:lineRule="auto"/>
            </w:pPr>
            <w:r>
              <w:rPr>
                <w:rFonts w:ascii="宋体" w:hAnsi="宋体" w:eastAsia="宋体"/>
                <w:sz w:val="20"/>
              </w:rPr>
              <w:t>系统服务于消费电子（手机、电脑、平板、手表、耳机、相机、游戏机、无人机等）的售后维修与回收场景，打通“检测—报价—维修—进度—评价”全流程，实现服务过程可追踪、报价透明、运营高效。</w:t>
            </w:r>
          </w:p>
        </w:tc>
      </w:tr>
      <w:tr w14:paraId="7BAB3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562944DE">
            <w:pPr>
              <w:spacing w:after="0" w:line="240" w:lineRule="auto"/>
            </w:pPr>
            <w:r>
              <w:rPr>
                <w:rFonts w:ascii="黑体" w:hAnsi="黑体" w:eastAsia="黑体"/>
                <w:b/>
                <w:sz w:val="21"/>
              </w:rPr>
              <w:t>技术特点</w:t>
            </w:r>
          </w:p>
        </w:tc>
        <w:tc>
          <w:tcPr>
            <w:tcW w:w="6406" w:type="dxa"/>
          </w:tcPr>
          <w:p w14:paraId="5255F198">
            <w:pPr>
              <w:spacing w:after="0" w:line="240" w:lineRule="auto"/>
            </w:pPr>
            <w:r>
              <w:rPr>
                <w:rFonts w:ascii="宋体" w:hAnsi="宋体" w:eastAsia="宋体"/>
                <w:sz w:val="20"/>
              </w:rPr>
              <w:t>小程序，人工智能软件。基于微信小程序与 Express 服务端，集成大模型智能客服与故障自检。</w:t>
            </w:r>
          </w:p>
        </w:tc>
      </w:tr>
      <w:tr w14:paraId="3156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Pr>
          <w:p w14:paraId="5FCAD7DE">
            <w:pPr>
              <w:spacing w:after="0" w:line="240" w:lineRule="auto"/>
            </w:pPr>
            <w:r>
              <w:rPr>
                <w:rFonts w:ascii="黑体" w:hAnsi="黑体" w:eastAsia="黑体"/>
                <w:b/>
                <w:sz w:val="21"/>
              </w:rPr>
              <w:t>软件鉴别材料</w:t>
            </w:r>
          </w:p>
        </w:tc>
        <w:tc>
          <w:tcPr>
            <w:tcW w:w="6406" w:type="dxa"/>
          </w:tcPr>
          <w:p w14:paraId="2F50E7F7">
            <w:pPr>
              <w:spacing w:after="0" w:line="240" w:lineRule="auto"/>
            </w:pPr>
            <w:r>
              <w:rPr>
                <w:rFonts w:ascii="宋体" w:hAnsi="宋体" w:eastAsia="宋体"/>
                <w:sz w:val="20"/>
              </w:rPr>
              <w:t>一般交存（源程序前 30 页 + 后 30 页，共 60 页）</w:t>
            </w:r>
          </w:p>
        </w:tc>
      </w:tr>
    </w:tbl>
    <w:p w14:paraId="47DCDAE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970A01"/>
    <w:rsid w:val="7A6829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1214</Words>
  <Characters>1508</Characters>
  <Lines>0</Lines>
  <Paragraphs>0</Paragraphs>
  <TotalTime>10</TotalTime>
  <ScaleCrop>false</ScaleCrop>
  <LinksUpToDate>false</LinksUpToDate>
  <CharactersWithSpaces>1577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刘仁俊</cp:lastModifiedBy>
  <dcterms:modified xsi:type="dcterms:W3CDTF">2026-08-24T09:30:11Z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eyJoZGlkIjoiZGE0YTY3NjRlM2JlOTcyYWIwMjVjMGRjOTFjNmM2OGIiLCJ1c2VySWQiOiIxODA5NzQzNTMwIn0=</vt:lpwstr>
  </property>
  <property fmtid="{D5CDD505-2E9C-101B-9397-08002B2CF9AE}" pid="3" name="KSOProductBuildVer">
    <vt:lpwstr>2052-12.1.0.28043</vt:lpwstr>
  </property>
  <property fmtid="{D5CDD505-2E9C-101B-9397-08002B2CF9AE}" pid="4" name="ICV">
    <vt:lpwstr>0AE571CFBD8B4282B27DBCB5388DCB97_12</vt:lpwstr>
  </property>
</Properties>
</file>