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3681" w14:textId="77777777" w:rsidR="00FA407B" w:rsidRDefault="00FA407B" w:rsidP="00FA407B">
      <w:pPr>
        <w:jc w:val="center"/>
        <w:rPr>
          <w:rFonts w:ascii="Arial" w:hAnsi="Arial" w:cs="Arial"/>
          <w:b/>
          <w:sz w:val="32"/>
        </w:rPr>
      </w:pPr>
      <w:r w:rsidRPr="00FA407B">
        <w:rPr>
          <w:rFonts w:ascii="Arial" w:hAnsi="Arial" w:cs="Arial"/>
          <w:b/>
          <w:sz w:val="32"/>
        </w:rPr>
        <w:t>Mortgage Insurance Factor</w:t>
      </w:r>
    </w:p>
    <w:p w14:paraId="2B17DCE3" w14:textId="77777777" w:rsidR="00FA407B" w:rsidRPr="00FA407B" w:rsidRDefault="00FA407B" w:rsidP="00FA407B">
      <w:pPr>
        <w:jc w:val="center"/>
        <w:rPr>
          <w:rFonts w:ascii="Arial" w:hAnsi="Arial" w:cs="Arial"/>
          <w:b/>
          <w:sz w:val="12"/>
          <w:szCs w:val="12"/>
        </w:rPr>
      </w:pPr>
    </w:p>
    <w:p w14:paraId="4D81CB21" w14:textId="77777777" w:rsidR="009E2AF2" w:rsidRPr="00FA407B" w:rsidRDefault="00FA407B" w:rsidP="00FA407B">
      <w:pPr>
        <w:jc w:val="center"/>
        <w:rPr>
          <w:rFonts w:ascii="Arial" w:hAnsi="Arial" w:cs="Arial"/>
          <w:b/>
          <w:sz w:val="36"/>
        </w:rPr>
      </w:pPr>
      <w:r>
        <w:rPr>
          <w:rFonts w:ascii="Arial" w:hAnsi="Arial" w:cs="Arial"/>
          <w:b/>
          <w:sz w:val="28"/>
        </w:rPr>
        <w:t>A Proposal to Simplify</w:t>
      </w:r>
      <w:r w:rsidRPr="00FA407B">
        <w:rPr>
          <w:rFonts w:ascii="Arial" w:hAnsi="Arial" w:cs="Arial"/>
          <w:b/>
          <w:sz w:val="28"/>
        </w:rPr>
        <w:t xml:space="preserve"> </w:t>
      </w:r>
      <w:r w:rsidR="00E84635">
        <w:rPr>
          <w:rFonts w:ascii="Arial" w:hAnsi="Arial" w:cs="Arial"/>
          <w:b/>
          <w:sz w:val="28"/>
        </w:rPr>
        <w:t xml:space="preserve">Disallowances and </w:t>
      </w:r>
      <w:r w:rsidRPr="00FA407B">
        <w:rPr>
          <w:rFonts w:ascii="Arial" w:hAnsi="Arial" w:cs="Arial"/>
          <w:b/>
          <w:sz w:val="28"/>
        </w:rPr>
        <w:t>Curtailment</w:t>
      </w:r>
      <w:r w:rsidR="00E84635">
        <w:rPr>
          <w:rFonts w:ascii="Arial" w:hAnsi="Arial" w:cs="Arial"/>
          <w:b/>
          <w:sz w:val="28"/>
        </w:rPr>
        <w:t>s</w:t>
      </w:r>
    </w:p>
    <w:p w14:paraId="075A8297" w14:textId="77777777" w:rsidR="002B1259" w:rsidRPr="002B1259" w:rsidRDefault="002B1259" w:rsidP="002B1259">
      <w:pPr>
        <w:jc w:val="center"/>
        <w:rPr>
          <w:b/>
          <w:sz w:val="28"/>
        </w:rPr>
      </w:pPr>
    </w:p>
    <w:p w14:paraId="365086EA" w14:textId="7819E850" w:rsidR="002B1259" w:rsidRPr="00561DDB" w:rsidRDefault="00F73D2B" w:rsidP="00740174">
      <w:pPr>
        <w:jc w:val="center"/>
        <w:rPr>
          <w:rFonts w:ascii="Arial" w:hAnsi="Arial" w:cs="Arial"/>
          <w:b/>
        </w:rPr>
      </w:pPr>
      <w:r w:rsidRPr="005D46FE">
        <w:rPr>
          <w:rFonts w:ascii="Arial" w:hAnsi="Arial" w:cs="Arial"/>
          <w:b/>
        </w:rPr>
        <w:t>July</w:t>
      </w:r>
      <w:r w:rsidR="00DF05EE">
        <w:rPr>
          <w:rFonts w:ascii="Arial" w:hAnsi="Arial" w:cs="Arial"/>
          <w:b/>
        </w:rPr>
        <w:t xml:space="preserve"> 8</w:t>
      </w:r>
      <w:r w:rsidR="002B1259" w:rsidRPr="00561DDB">
        <w:rPr>
          <w:rFonts w:ascii="Arial" w:hAnsi="Arial" w:cs="Arial"/>
          <w:b/>
        </w:rPr>
        <w:t>, 2016</w:t>
      </w:r>
    </w:p>
    <w:p w14:paraId="4A54915B" w14:textId="77777777" w:rsidR="00740174" w:rsidRDefault="00740174" w:rsidP="002B1259">
      <w:pPr>
        <w:rPr>
          <w:rFonts w:ascii="Arial" w:hAnsi="Arial" w:cs="Arial"/>
          <w:b/>
        </w:rPr>
      </w:pPr>
    </w:p>
    <w:p w14:paraId="29591B70" w14:textId="77777777" w:rsidR="0055480C" w:rsidRPr="0055480C" w:rsidRDefault="005F5B10" w:rsidP="0055480C">
      <w:pPr>
        <w:rPr>
          <w:rFonts w:ascii="Arial" w:hAnsi="Arial" w:cs="Arial"/>
          <w:b/>
        </w:rPr>
      </w:pPr>
      <w:r>
        <w:rPr>
          <w:rFonts w:ascii="Arial" w:hAnsi="Arial" w:cs="Arial"/>
          <w:b/>
        </w:rPr>
        <w:t>EXECUTIVE SUMMARY</w:t>
      </w:r>
    </w:p>
    <w:p w14:paraId="5A7E672F" w14:textId="77777777" w:rsidR="006030B3" w:rsidRDefault="006030B3" w:rsidP="000B32E5"/>
    <w:p w14:paraId="3AC1B2E7" w14:textId="3F4E177E" w:rsidR="007A6902" w:rsidRDefault="00D37136" w:rsidP="00464D53">
      <w:pPr>
        <w:jc w:val="both"/>
      </w:pPr>
      <w:r>
        <w:t>W</w:t>
      </w:r>
      <w:r w:rsidR="00FA7B09">
        <w:t>hile disallowances and c</w:t>
      </w:r>
      <w:r w:rsidR="00997508">
        <w:t xml:space="preserve">urtailments </w:t>
      </w:r>
      <w:r w:rsidR="00705122">
        <w:t xml:space="preserve">are responsible for only a </w:t>
      </w:r>
      <w:r w:rsidR="00FA7B09">
        <w:t>relatively small reduction in</w:t>
      </w:r>
      <w:r w:rsidR="00246E53">
        <w:t xml:space="preserve"> the</w:t>
      </w:r>
      <w:r w:rsidR="00FA7B09">
        <w:t xml:space="preserve"> overall mortgage insurance (MI)</w:t>
      </w:r>
      <w:r w:rsidR="00595831">
        <w:t xml:space="preserve"> claim payment</w:t>
      </w:r>
      <w:r w:rsidR="00705122">
        <w:t>s</w:t>
      </w:r>
      <w:r w:rsidR="007551CE">
        <w:t xml:space="preserve">, </w:t>
      </w:r>
      <w:r w:rsidR="00246E53">
        <w:t>they are present on the vast major</w:t>
      </w:r>
      <w:r w:rsidR="007551CE">
        <w:t>ity of all MI claim settlements</w:t>
      </w:r>
      <w:r w:rsidR="00FA7B09">
        <w:t xml:space="preserve">.  </w:t>
      </w:r>
      <w:r w:rsidR="00AD60B4">
        <w:t xml:space="preserve">Disallowances and curtailments </w:t>
      </w:r>
      <w:r w:rsidR="004F1EAC">
        <w:t>in the MI claims process create</w:t>
      </w:r>
      <w:r w:rsidR="00AD60B4">
        <w:t xml:space="preserve"> uncertainty with MI claim payments</w:t>
      </w:r>
      <w:r w:rsidR="004F1EAC">
        <w:t xml:space="preserve"> as well as </w:t>
      </w:r>
      <w:r w:rsidR="00AD60B4">
        <w:t>significant processing and staffing burdens.  They also extend settlement timelines due to the rebuttal process for curtailments</w:t>
      </w:r>
      <w:r w:rsidR="00EE3C22">
        <w:t xml:space="preserve"> with Fannie Mae’s servicers</w:t>
      </w:r>
      <w:r w:rsidR="00AD60B4">
        <w:t xml:space="preserve">, which can take up to </w:t>
      </w:r>
      <w:r w:rsidR="005662E8">
        <w:t>two or more years</w:t>
      </w:r>
      <w:r w:rsidR="00AD60B4">
        <w:t>.</w:t>
      </w:r>
    </w:p>
    <w:p w14:paraId="73EAAB2D" w14:textId="77777777" w:rsidR="007A6902" w:rsidRDefault="007A6902" w:rsidP="00464D53">
      <w:pPr>
        <w:jc w:val="both"/>
      </w:pPr>
    </w:p>
    <w:p w14:paraId="6A254642" w14:textId="08C4A5AB" w:rsidR="0044096E" w:rsidRDefault="00C57CF0" w:rsidP="00464D53">
      <w:pPr>
        <w:jc w:val="both"/>
      </w:pPr>
      <w:r>
        <w:t xml:space="preserve">Fannie Mae is proposing </w:t>
      </w:r>
      <w:r w:rsidR="004F1EAC">
        <w:t xml:space="preserve">to </w:t>
      </w:r>
      <w:r w:rsidR="009D2416">
        <w:t>eliminate</w:t>
      </w:r>
      <w:r w:rsidR="00AD60B4">
        <w:t xml:space="preserve"> these issues by using </w:t>
      </w:r>
      <w:r w:rsidR="009D2416">
        <w:t xml:space="preserve">an “MI Factor” </w:t>
      </w:r>
      <w:r w:rsidR="00D25286">
        <w:t xml:space="preserve">algorithm to self-disallow and to self-curtail claims prior to </w:t>
      </w:r>
      <w:r w:rsidR="006026E6">
        <w:t xml:space="preserve">their </w:t>
      </w:r>
      <w:r w:rsidR="00D25286">
        <w:t xml:space="preserve">submission </w:t>
      </w:r>
      <w:r w:rsidR="00EC53FB">
        <w:t>to</w:t>
      </w:r>
      <w:r w:rsidR="00D25286">
        <w:t xml:space="preserve"> the MI companies.</w:t>
      </w:r>
      <w:r w:rsidR="00EC53FB">
        <w:t xml:space="preserve">  </w:t>
      </w:r>
      <w:r w:rsidR="004F1EAC">
        <w:t>This would eliminate the uncertainty, the processing and staffing burdens, and the extended timelines s</w:t>
      </w:r>
      <w:r w:rsidR="0044096E">
        <w:t>ince t</w:t>
      </w:r>
      <w:r w:rsidR="00EC53FB">
        <w:t>he MI claim amount would already be inclusive of disallowa</w:t>
      </w:r>
      <w:r w:rsidR="00734513">
        <w:t>nce and curtailment adjustments</w:t>
      </w:r>
      <w:r w:rsidR="0044096E">
        <w:t>.</w:t>
      </w:r>
      <w:r w:rsidR="00EE3C22">
        <w:t xml:space="preserve">  The MI Factor would be applied against certain loan-level information shortly after loan liquidation through a foreclosure sale or alternative to foreclosure.</w:t>
      </w:r>
    </w:p>
    <w:p w14:paraId="69409928" w14:textId="77777777" w:rsidR="0044096E" w:rsidRDefault="0044096E" w:rsidP="00464D53">
      <w:pPr>
        <w:jc w:val="both"/>
      </w:pPr>
    </w:p>
    <w:p w14:paraId="21B045F6" w14:textId="109FE1E1" w:rsidR="007551CE" w:rsidRDefault="0044096E" w:rsidP="00464D53">
      <w:pPr>
        <w:jc w:val="both"/>
      </w:pPr>
      <w:r>
        <w:t>To self-disallow, the proposed algorithm would leverage a st</w:t>
      </w:r>
      <w:r w:rsidR="001643F7">
        <w:t>andardized list of disallowed costs</w:t>
      </w:r>
      <w:r>
        <w:t xml:space="preserve"> to remove all </w:t>
      </w:r>
      <w:proofErr w:type="spellStart"/>
      <w:r>
        <w:t>unclaimable</w:t>
      </w:r>
      <w:proofErr w:type="spellEnd"/>
      <w:r>
        <w:t xml:space="preserve"> expenses from the algorithm’s estimation population.  To self-curtail, the proposal is to leverage Fannie Mae’s published foreclosure timelines, including allowable delays, to cap the actual timelines.  This capping would apply to both the interest and foreclosure cost components of the MI claim amount calculation.</w:t>
      </w:r>
    </w:p>
    <w:p w14:paraId="12CE7557" w14:textId="77777777" w:rsidR="002E3CBE" w:rsidRDefault="002E3CBE" w:rsidP="00464D53">
      <w:pPr>
        <w:jc w:val="both"/>
      </w:pPr>
    </w:p>
    <w:p w14:paraId="48F88072" w14:textId="6711C3DA" w:rsidR="000F3099" w:rsidRDefault="002E3CBE" w:rsidP="00464D53">
      <w:pPr>
        <w:jc w:val="both"/>
      </w:pPr>
      <w:r>
        <w:t xml:space="preserve">The proposed MI Factor algorithm </w:t>
      </w:r>
      <w:r w:rsidR="00844779">
        <w:t>estimates average foreclosure costs using</w:t>
      </w:r>
      <w:r>
        <w:t xml:space="preserve"> Fannie Mae’s actual foreclosure cost data</w:t>
      </w:r>
      <w:r w:rsidR="00844779">
        <w:t>, adjusted for disallowances and curtailments.  The algorithm uses</w:t>
      </w:r>
      <w:r w:rsidR="00392940">
        <w:t xml:space="preserve"> key loan characteristics such as disposition type, geography, propert</w:t>
      </w:r>
      <w:r>
        <w:t>y value, and property type</w:t>
      </w:r>
      <w:r w:rsidR="00844779">
        <w:t xml:space="preserve"> in its specification</w:t>
      </w:r>
      <w:r>
        <w:t>.  This</w:t>
      </w:r>
      <w:r w:rsidR="00392940">
        <w:t xml:space="preserve"> granularity </w:t>
      </w:r>
      <w:r>
        <w:t xml:space="preserve">provides the </w:t>
      </w:r>
      <w:r w:rsidR="00392940">
        <w:t>flexibility</w:t>
      </w:r>
      <w:r>
        <w:t xml:space="preserve"> needed</w:t>
      </w:r>
      <w:r w:rsidR="00392940">
        <w:t xml:space="preserve"> to capture changing market dynamics.</w:t>
      </w:r>
      <w:r w:rsidR="002C6DA2">
        <w:t xml:space="preserve">  The proposed algorithm performs</w:t>
      </w:r>
      <w:r w:rsidR="00C220E8">
        <w:t xml:space="preserve"> we</w:t>
      </w:r>
      <w:r w:rsidR="002C6DA2">
        <w:t>ll from a statistical perspective</w:t>
      </w:r>
      <w:r w:rsidR="00C220E8">
        <w:t xml:space="preserve"> and should be easy to update going forward.  S</w:t>
      </w:r>
      <w:r w:rsidR="000F3099">
        <w:t>ince the average costs will be calculated by key loan characteristics, a grid implementation</w:t>
      </w:r>
      <w:r w:rsidR="00392940">
        <w:t>, updated annually,</w:t>
      </w:r>
      <w:r w:rsidR="000F3099">
        <w:t xml:space="preserve"> is recommended.</w:t>
      </w:r>
    </w:p>
    <w:p w14:paraId="3DD9817B" w14:textId="77777777" w:rsidR="000F3099" w:rsidRDefault="000F3099" w:rsidP="00C233FB">
      <w:pPr>
        <w:rPr>
          <w:u w:val="single"/>
        </w:rPr>
      </w:pPr>
    </w:p>
    <w:p w14:paraId="5C4930C3" w14:textId="4C223975" w:rsidR="00DA582B" w:rsidRDefault="00860686" w:rsidP="002B1259">
      <w:pPr>
        <w:rPr>
          <w:rFonts w:ascii="Arial" w:hAnsi="Arial" w:cs="Arial"/>
          <w:b/>
        </w:rPr>
      </w:pPr>
      <w:r>
        <w:rPr>
          <w:rFonts w:ascii="Arial" w:hAnsi="Arial" w:cs="Arial"/>
          <w:b/>
        </w:rPr>
        <w:t>MORTGAGE INSURANCE</w:t>
      </w:r>
      <w:r w:rsidR="00F82591">
        <w:rPr>
          <w:rFonts w:ascii="Arial" w:hAnsi="Arial" w:cs="Arial"/>
          <w:b/>
        </w:rPr>
        <w:t xml:space="preserve"> </w:t>
      </w:r>
      <w:r w:rsidR="000A6813">
        <w:rPr>
          <w:rFonts w:ascii="Arial" w:hAnsi="Arial" w:cs="Arial"/>
          <w:b/>
        </w:rPr>
        <w:t>OVERVIEW</w:t>
      </w:r>
    </w:p>
    <w:p w14:paraId="7EE083F3" w14:textId="77777777" w:rsidR="003B4D2B" w:rsidRPr="00A91E5C" w:rsidRDefault="003B4D2B" w:rsidP="003B4D2B"/>
    <w:p w14:paraId="0632FCB0" w14:textId="77777777" w:rsidR="003B4D2B" w:rsidRPr="009E5261" w:rsidRDefault="00B324BB" w:rsidP="003B4D2B">
      <w:pPr>
        <w:rPr>
          <w:u w:val="single"/>
        </w:rPr>
      </w:pPr>
      <w:r>
        <w:rPr>
          <w:u w:val="single"/>
        </w:rPr>
        <w:t>Background</w:t>
      </w:r>
    </w:p>
    <w:p w14:paraId="6D14A5B4" w14:textId="5C453573" w:rsidR="003B4D2B" w:rsidRDefault="00CE6381" w:rsidP="00464D53">
      <w:pPr>
        <w:jc w:val="both"/>
      </w:pPr>
      <w:r>
        <w:t>B</w:t>
      </w:r>
      <w:r w:rsidR="003B4D2B">
        <w:t>orro</w:t>
      </w:r>
      <w:r w:rsidR="00CB3C50">
        <w:t>wer-paid mortgage insurance</w:t>
      </w:r>
      <w:r w:rsidR="003B4D2B">
        <w:t xml:space="preserve"> </w:t>
      </w:r>
      <w:r>
        <w:t xml:space="preserve">is an important tool used by mortgage investors to mitigate the credit </w:t>
      </w:r>
      <w:proofErr w:type="gramStart"/>
      <w:r>
        <w:t>losses</w:t>
      </w:r>
      <w:proofErr w:type="gramEnd"/>
      <w:r>
        <w:t xml:space="preserve"> that occur when a borrow defaults on their </w:t>
      </w:r>
      <w:r w:rsidR="003B4D2B">
        <w:t>mortgage.</w:t>
      </w:r>
      <w:r w:rsidR="00E41C66">
        <w:rPr>
          <w:rStyle w:val="FootnoteReference"/>
        </w:rPr>
        <w:footnoteReference w:id="1"/>
      </w:r>
      <w:r w:rsidR="003B4D2B">
        <w:t xml:space="preserve">  </w:t>
      </w:r>
      <w:r w:rsidR="009851DE">
        <w:t>B</w:t>
      </w:r>
      <w:r w:rsidR="003B4D2B">
        <w:t xml:space="preserve">orrowers </w:t>
      </w:r>
      <w:r w:rsidR="009851DE">
        <w:t xml:space="preserve">are required </w:t>
      </w:r>
      <w:r w:rsidR="003B4D2B">
        <w:t>to pay for</w:t>
      </w:r>
      <w:r>
        <w:t xml:space="preserve"> </w:t>
      </w:r>
      <w:r w:rsidR="009851DE">
        <w:t xml:space="preserve">mortgage insurance policies on </w:t>
      </w:r>
      <w:r>
        <w:t xml:space="preserve">the mortgage investor’s </w:t>
      </w:r>
      <w:r w:rsidR="003B4D2B">
        <w:t xml:space="preserve">behalf </w:t>
      </w:r>
      <w:r w:rsidR="009851DE">
        <w:t xml:space="preserve">on any conventional mortgage </w:t>
      </w:r>
      <w:r w:rsidR="003B4D2B">
        <w:t xml:space="preserve">where the </w:t>
      </w:r>
      <w:r w:rsidR="009851DE">
        <w:t xml:space="preserve">origination </w:t>
      </w:r>
      <w:r w:rsidR="003B4D2B">
        <w:t>loan</w:t>
      </w:r>
      <w:r w:rsidR="009146C5">
        <w:t>-to-value ratio</w:t>
      </w:r>
      <w:r w:rsidR="003B4D2B">
        <w:t xml:space="preserve"> </w:t>
      </w:r>
      <w:r w:rsidR="009146C5">
        <w:t xml:space="preserve">(LTV) </w:t>
      </w:r>
      <w:r w:rsidR="003B4D2B">
        <w:t xml:space="preserve">is greater than 80%.  Should the borrower default on their mortgage, resulting in a credit loss for </w:t>
      </w:r>
      <w:r>
        <w:t>the mortgage investor</w:t>
      </w:r>
      <w:r w:rsidR="003B4D2B">
        <w:t xml:space="preserve">, the MI </w:t>
      </w:r>
      <w:proofErr w:type="gramStart"/>
      <w:r w:rsidR="003B4D2B">
        <w:t>company</w:t>
      </w:r>
      <w:proofErr w:type="gramEnd"/>
      <w:r w:rsidR="003B4D2B">
        <w:t xml:space="preserve"> </w:t>
      </w:r>
      <w:r>
        <w:t>pay</w:t>
      </w:r>
      <w:r w:rsidR="007A59AD">
        <w:t>s</w:t>
      </w:r>
      <w:r>
        <w:t xml:space="preserve"> the investor </w:t>
      </w:r>
      <w:r w:rsidR="003B4D2B">
        <w:t xml:space="preserve">a claim amount based on the </w:t>
      </w:r>
      <w:r w:rsidR="003B4D2B">
        <w:lastRenderedPageBreak/>
        <w:t>MI policy</w:t>
      </w:r>
      <w:r>
        <w:t xml:space="preserve"> that is</w:t>
      </w:r>
      <w:r w:rsidR="006A394B">
        <w:t xml:space="preserve"> in place for the</w:t>
      </w:r>
      <w:r>
        <w:t xml:space="preserve"> mortgage</w:t>
      </w:r>
      <w:r w:rsidR="003B4D2B">
        <w:t xml:space="preserve">.  </w:t>
      </w:r>
      <w:r w:rsidR="000767DF">
        <w:t>In 2015</w:t>
      </w:r>
      <w:r w:rsidR="003B4D2B">
        <w:t xml:space="preserve">, </w:t>
      </w:r>
      <w:r w:rsidR="000767DF">
        <w:t>40</w:t>
      </w:r>
      <w:r w:rsidR="003B4D2B">
        <w:t xml:space="preserve">% of all </w:t>
      </w:r>
      <w:r>
        <w:t xml:space="preserve">of Fannie Mae’s </w:t>
      </w:r>
      <w:r w:rsidR="003B4D2B">
        <w:t xml:space="preserve">loan defaults were covered by MI policies allowing </w:t>
      </w:r>
      <w:r>
        <w:t xml:space="preserve">for </w:t>
      </w:r>
      <w:r w:rsidR="003B4D2B">
        <w:t>$</w:t>
      </w:r>
      <w:r w:rsidR="00BE0D73">
        <w:t>1.9</w:t>
      </w:r>
      <w:r w:rsidR="000767DF">
        <w:t xml:space="preserve"> </w:t>
      </w:r>
      <w:r w:rsidR="003A2169">
        <w:t>billion</w:t>
      </w:r>
      <w:r w:rsidR="003B4D2B">
        <w:t xml:space="preserve"> in </w:t>
      </w:r>
      <w:r w:rsidR="006A394B">
        <w:t xml:space="preserve">borrower-paid mortgage insurance </w:t>
      </w:r>
      <w:r>
        <w:t>recoveries</w:t>
      </w:r>
      <w:r w:rsidR="003B4D2B">
        <w:t>.</w:t>
      </w:r>
    </w:p>
    <w:p w14:paraId="4C25EC51" w14:textId="77777777" w:rsidR="003B4D2B" w:rsidRDefault="003B4D2B" w:rsidP="003B4D2B"/>
    <w:p w14:paraId="040E8ACB" w14:textId="3E582DD7" w:rsidR="001C54E2" w:rsidRDefault="003952EF" w:rsidP="00464D53">
      <w:pPr>
        <w:jc w:val="center"/>
        <w:rPr>
          <w:rFonts w:ascii="Arial" w:hAnsi="Arial" w:cs="Arial"/>
          <w:sz w:val="18"/>
        </w:rPr>
      </w:pPr>
      <w:r w:rsidRPr="00447BB1">
        <w:rPr>
          <w:rFonts w:ascii="Arial" w:hAnsi="Arial" w:cs="Arial"/>
          <w:sz w:val="18"/>
        </w:rPr>
        <w:t>Figure</w:t>
      </w:r>
      <w:r w:rsidR="001C54E2" w:rsidRPr="00447BB1">
        <w:rPr>
          <w:rFonts w:ascii="Arial" w:hAnsi="Arial" w:cs="Arial"/>
          <w:sz w:val="18"/>
        </w:rPr>
        <w:t xml:space="preserve"> 1:  </w:t>
      </w:r>
      <w:r w:rsidR="00F51A1C" w:rsidRPr="00447BB1">
        <w:rPr>
          <w:rFonts w:ascii="Arial" w:hAnsi="Arial" w:cs="Arial"/>
          <w:sz w:val="18"/>
        </w:rPr>
        <w:t>Mortgage Defaults by MI Coverage</w:t>
      </w:r>
    </w:p>
    <w:p w14:paraId="19DD9E42" w14:textId="77777777" w:rsidR="00447BB1" w:rsidRDefault="00447BB1" w:rsidP="00464D53">
      <w:pPr>
        <w:jc w:val="center"/>
        <w:rPr>
          <w:rFonts w:ascii="Arial" w:hAnsi="Arial" w:cs="Arial"/>
          <w:sz w:val="18"/>
        </w:rPr>
      </w:pPr>
    </w:p>
    <w:p w14:paraId="660CFF79" w14:textId="1BB1B953" w:rsidR="00447BB1" w:rsidRPr="00730093" w:rsidRDefault="00447BB1" w:rsidP="00464D53">
      <w:pPr>
        <w:jc w:val="center"/>
        <w:rPr>
          <w:rFonts w:ascii="Arial" w:hAnsi="Arial" w:cs="Arial"/>
          <w:sz w:val="18"/>
        </w:rPr>
      </w:pPr>
      <w:r>
        <w:rPr>
          <w:noProof/>
        </w:rPr>
        <w:drawing>
          <wp:inline distT="0" distB="0" distL="0" distR="0" wp14:anchorId="0C1F5C01" wp14:editId="0BA3C37F">
            <wp:extent cx="2122556" cy="197892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5501" cy="2000317"/>
                    </a:xfrm>
                    <a:prstGeom prst="rect">
                      <a:avLst/>
                    </a:prstGeom>
                  </pic:spPr>
                </pic:pic>
              </a:graphicData>
            </a:graphic>
          </wp:inline>
        </w:drawing>
      </w:r>
    </w:p>
    <w:p w14:paraId="55A875F3" w14:textId="77777777" w:rsidR="00074AD7" w:rsidRDefault="00074AD7" w:rsidP="00535DBB"/>
    <w:p w14:paraId="15E19904" w14:textId="77777777" w:rsidR="004733FA" w:rsidRPr="004733FA" w:rsidRDefault="004733FA" w:rsidP="00535DBB">
      <w:pPr>
        <w:rPr>
          <w:u w:val="single"/>
        </w:rPr>
      </w:pPr>
      <w:r w:rsidRPr="004733FA">
        <w:rPr>
          <w:u w:val="single"/>
        </w:rPr>
        <w:t>MI Claim</w:t>
      </w:r>
      <w:r w:rsidR="00FE2917">
        <w:rPr>
          <w:u w:val="single"/>
        </w:rPr>
        <w:t xml:space="preserve"> Amount</w:t>
      </w:r>
      <w:r w:rsidR="000445EB">
        <w:rPr>
          <w:u w:val="single"/>
        </w:rPr>
        <w:t xml:space="preserve"> &amp;</w:t>
      </w:r>
      <w:r w:rsidR="00FE2917">
        <w:rPr>
          <w:u w:val="single"/>
        </w:rPr>
        <w:t xml:space="preserve"> </w:t>
      </w:r>
      <w:r w:rsidR="00653B1E">
        <w:rPr>
          <w:u w:val="single"/>
        </w:rPr>
        <w:t xml:space="preserve">MI </w:t>
      </w:r>
      <w:r w:rsidR="00FE2917">
        <w:rPr>
          <w:u w:val="single"/>
        </w:rPr>
        <w:t xml:space="preserve">Expected </w:t>
      </w:r>
      <w:r w:rsidR="000D4756">
        <w:rPr>
          <w:u w:val="single"/>
        </w:rPr>
        <w:t>Payment</w:t>
      </w:r>
    </w:p>
    <w:p w14:paraId="0AB7F6B0" w14:textId="6D6E095D" w:rsidR="004733FA" w:rsidRDefault="00535DBB" w:rsidP="00464D53">
      <w:pPr>
        <w:jc w:val="both"/>
      </w:pPr>
      <w:r>
        <w:t xml:space="preserve">When a </w:t>
      </w:r>
      <w:r w:rsidR="004733FA">
        <w:t xml:space="preserve">mortgage defaults with an MI </w:t>
      </w:r>
      <w:r>
        <w:t>policy in place, the mortgage servicer</w:t>
      </w:r>
      <w:r w:rsidR="004733FA">
        <w:t xml:space="preserve"> </w:t>
      </w:r>
      <w:r>
        <w:t>file</w:t>
      </w:r>
      <w:r w:rsidR="004733FA">
        <w:t>s</w:t>
      </w:r>
      <w:r>
        <w:t xml:space="preserve"> the claim with the MI </w:t>
      </w:r>
      <w:proofErr w:type="gramStart"/>
      <w:r>
        <w:t>company</w:t>
      </w:r>
      <w:proofErr w:type="gramEnd"/>
      <w:r>
        <w:t xml:space="preserve">.  The </w:t>
      </w:r>
      <w:r w:rsidR="009107D1">
        <w:t xml:space="preserve">filed </w:t>
      </w:r>
      <w:r w:rsidR="00BB5479">
        <w:t xml:space="preserve">MI </w:t>
      </w:r>
      <w:r>
        <w:t>claim amount</w:t>
      </w:r>
      <w:r w:rsidR="00BB5479">
        <w:t xml:space="preserve"> is equal to the sum of the </w:t>
      </w:r>
      <w:r w:rsidR="002C6E08">
        <w:t xml:space="preserve">unpaid principal balance (UPB), </w:t>
      </w:r>
      <w:r w:rsidR="00BB5479">
        <w:t xml:space="preserve">the </w:t>
      </w:r>
      <w:r w:rsidR="00EE3C22">
        <w:t xml:space="preserve">accrued delinquent </w:t>
      </w:r>
      <w:r w:rsidR="00BB5479">
        <w:t xml:space="preserve">interest, and the foreclosure </w:t>
      </w:r>
      <w:r w:rsidR="009107D1">
        <w:t>costs.</w:t>
      </w:r>
    </w:p>
    <w:p w14:paraId="4E7F754F" w14:textId="77777777" w:rsidR="004733FA" w:rsidRDefault="004733FA" w:rsidP="00464D53">
      <w:pPr>
        <w:pStyle w:val="ListParagraph"/>
        <w:jc w:val="both"/>
      </w:pPr>
    </w:p>
    <w:p w14:paraId="0AC43A75" w14:textId="77777777" w:rsidR="004733FA" w:rsidRDefault="004733FA" w:rsidP="00464D53">
      <w:pPr>
        <w:pStyle w:val="ListParagraph"/>
        <w:numPr>
          <w:ilvl w:val="0"/>
          <w:numId w:val="15"/>
        </w:numPr>
        <w:jc w:val="both"/>
      </w:pPr>
      <w:r>
        <w:t xml:space="preserve">UPB:  </w:t>
      </w:r>
      <w:r w:rsidR="00C0473E">
        <w:t>Th</w:t>
      </w:r>
      <w:r>
        <w:t>e balance of the unpaid principal at the time of loan liquidation</w:t>
      </w:r>
      <w:r w:rsidR="009107D1">
        <w:t>.</w:t>
      </w:r>
    </w:p>
    <w:p w14:paraId="25035D6B" w14:textId="77777777" w:rsidR="004733FA" w:rsidRDefault="004733FA" w:rsidP="00464D53">
      <w:pPr>
        <w:pStyle w:val="ListParagraph"/>
        <w:jc w:val="both"/>
      </w:pPr>
    </w:p>
    <w:p w14:paraId="0D238D38" w14:textId="4EECFA83" w:rsidR="004733FA" w:rsidRDefault="002C6E08" w:rsidP="00464D53">
      <w:pPr>
        <w:pStyle w:val="ListParagraph"/>
        <w:numPr>
          <w:ilvl w:val="0"/>
          <w:numId w:val="15"/>
        </w:numPr>
        <w:jc w:val="both"/>
      </w:pPr>
      <w:r>
        <w:t>I</w:t>
      </w:r>
      <w:r w:rsidR="004733FA">
        <w:t>nterest</w:t>
      </w:r>
      <w:r>
        <w:t>:</w:t>
      </w:r>
      <w:r w:rsidR="00C0473E">
        <w:t xml:space="preserve">  The total accrued interest at</w:t>
      </w:r>
      <w:r w:rsidR="00BB5479">
        <w:t xml:space="preserve"> the time of loan liquidation</w:t>
      </w:r>
      <w:r w:rsidR="00C10DCC">
        <w:t>, which is the product of the UPB, the note rate on the mortgage</w:t>
      </w:r>
      <w:r w:rsidR="00005657" w:rsidRPr="00005657">
        <w:t xml:space="preserve"> </w:t>
      </w:r>
      <w:r w:rsidR="00005657" w:rsidRPr="00123C72">
        <w:t xml:space="preserve">divided by </w:t>
      </w:r>
      <w:r w:rsidR="00EE6EB9" w:rsidRPr="00123C72">
        <w:t>365.25</w:t>
      </w:r>
      <w:r w:rsidR="00C10DCC" w:rsidRPr="00123C72">
        <w:t>, and</w:t>
      </w:r>
      <w:r w:rsidR="00C10DCC">
        <w:t xml:space="preserve"> the number of da</w:t>
      </w:r>
      <w:r w:rsidR="00C62DC2">
        <w:t>ys in delinquency</w:t>
      </w:r>
      <w:r w:rsidR="009107D1">
        <w:t>.</w:t>
      </w:r>
    </w:p>
    <w:p w14:paraId="27ED4B6D" w14:textId="77777777" w:rsidR="004733FA" w:rsidRDefault="004733FA" w:rsidP="00464D53">
      <w:pPr>
        <w:pStyle w:val="ListParagraph"/>
        <w:jc w:val="both"/>
      </w:pPr>
    </w:p>
    <w:p w14:paraId="55736345" w14:textId="2BF192ED" w:rsidR="002C6E08" w:rsidRDefault="002C6E08" w:rsidP="00464D53">
      <w:pPr>
        <w:pStyle w:val="ListParagraph"/>
        <w:numPr>
          <w:ilvl w:val="0"/>
          <w:numId w:val="15"/>
        </w:numPr>
        <w:jc w:val="both"/>
      </w:pPr>
      <w:r>
        <w:t xml:space="preserve">Foreclosure Costs:  </w:t>
      </w:r>
      <w:r w:rsidR="00C0473E">
        <w:t>T</w:t>
      </w:r>
      <w:r w:rsidR="004733FA">
        <w:t xml:space="preserve">he sum total of all of </w:t>
      </w:r>
      <w:r w:rsidR="00C0473E">
        <w:t xml:space="preserve">the </w:t>
      </w:r>
      <w:r w:rsidR="00535DBB">
        <w:t>costs</w:t>
      </w:r>
      <w:r w:rsidR="004733FA">
        <w:t xml:space="preserve"> </w:t>
      </w:r>
      <w:r w:rsidR="00C0473E">
        <w:t xml:space="preserve">that the servicer incurred related to the mortgage and its underlying collateral </w:t>
      </w:r>
      <w:r w:rsidR="004733FA">
        <w:t xml:space="preserve">during </w:t>
      </w:r>
      <w:r w:rsidR="00C0473E">
        <w:t xml:space="preserve">the </w:t>
      </w:r>
      <w:r w:rsidR="004733FA">
        <w:t>del</w:t>
      </w:r>
      <w:r w:rsidR="00C0473E">
        <w:t>inquent</w:t>
      </w:r>
      <w:r w:rsidR="004733FA">
        <w:t xml:space="preserve"> </w:t>
      </w:r>
      <w:r w:rsidR="00C0473E">
        <w:t xml:space="preserve">time period </w:t>
      </w:r>
      <w:r w:rsidR="004733FA">
        <w:t xml:space="preserve">through </w:t>
      </w:r>
      <w:r w:rsidR="00C0473E">
        <w:t xml:space="preserve">loan </w:t>
      </w:r>
      <w:r w:rsidR="004733FA">
        <w:t>liquidation</w:t>
      </w:r>
      <w:r>
        <w:t>.</w:t>
      </w:r>
      <w:r w:rsidR="004F5CD7">
        <w:t xml:space="preserve">  Some foreclosure costs may be one-time costs, such as eviction costs, which are </w:t>
      </w:r>
      <w:r w:rsidR="00EE3C22">
        <w:t xml:space="preserve">classified </w:t>
      </w:r>
      <w:r w:rsidR="004F5CD7">
        <w:t xml:space="preserve">as fixed costs.  Other foreclosure costs may be periodic, such as </w:t>
      </w:r>
      <w:r w:rsidR="00EE3C22">
        <w:t>property preservation items</w:t>
      </w:r>
      <w:r w:rsidR="004F5CD7">
        <w:t xml:space="preserve">, which are </w:t>
      </w:r>
      <w:r w:rsidR="00EE3C22">
        <w:t xml:space="preserve">classified </w:t>
      </w:r>
      <w:r w:rsidR="004F5CD7">
        <w:t xml:space="preserve">as </w:t>
      </w:r>
      <w:r w:rsidR="00DA0B60">
        <w:t>variable</w:t>
      </w:r>
      <w:r w:rsidR="004F5CD7">
        <w:t xml:space="preserve"> costs.</w:t>
      </w:r>
    </w:p>
    <w:p w14:paraId="46B443A1" w14:textId="77777777" w:rsidR="00535DBB" w:rsidRDefault="00535DBB" w:rsidP="00464D53">
      <w:pPr>
        <w:jc w:val="both"/>
      </w:pPr>
    </w:p>
    <w:p w14:paraId="0C93511B" w14:textId="77777777" w:rsidR="009107D1" w:rsidRDefault="0001098E" w:rsidP="00464D53">
      <w:pPr>
        <w:jc w:val="both"/>
      </w:pPr>
      <w:r>
        <w:t>Since both the</w:t>
      </w:r>
      <w:r w:rsidR="00535DBB">
        <w:t xml:space="preserve"> interest and foreclosure cost components </w:t>
      </w:r>
      <w:r>
        <w:t xml:space="preserve">accumulate </w:t>
      </w:r>
      <w:r w:rsidR="00EE1FA9">
        <w:t>while the mortgage is delinquent</w:t>
      </w:r>
      <w:r>
        <w:t xml:space="preserve">, they </w:t>
      </w:r>
      <w:r w:rsidR="00535DBB">
        <w:t xml:space="preserve">are both </w:t>
      </w:r>
      <w:r>
        <w:t xml:space="preserve">significantly </w:t>
      </w:r>
      <w:r w:rsidR="00535DBB">
        <w:t xml:space="preserve">impacted by the </w:t>
      </w:r>
      <w:r>
        <w:t xml:space="preserve">length of time the mortgage </w:t>
      </w:r>
      <w:r w:rsidR="00FE2917">
        <w:t>was</w:t>
      </w:r>
      <w:r w:rsidR="00EE1FA9">
        <w:t xml:space="preserve"> in</w:t>
      </w:r>
      <w:r>
        <w:t xml:space="preserve"> d</w:t>
      </w:r>
      <w:r w:rsidR="00EE1FA9">
        <w:t>elinquency</w:t>
      </w:r>
      <w:r>
        <w:t xml:space="preserve">, </w:t>
      </w:r>
      <w:r w:rsidR="00AA5F89">
        <w:t xml:space="preserve">also </w:t>
      </w:r>
      <w:r>
        <w:t xml:space="preserve">known as the </w:t>
      </w:r>
      <w:r w:rsidR="00535DBB">
        <w:t>foreclosure timeline</w:t>
      </w:r>
      <w:r w:rsidR="009107D1">
        <w:t>.</w:t>
      </w:r>
    </w:p>
    <w:p w14:paraId="0A9B3594" w14:textId="77777777" w:rsidR="009107D1" w:rsidRDefault="009107D1" w:rsidP="00464D53">
      <w:pPr>
        <w:jc w:val="both"/>
      </w:pPr>
    </w:p>
    <w:p w14:paraId="7F632E27" w14:textId="77777777" w:rsidR="0001098E" w:rsidRDefault="009107D1" w:rsidP="00464D53">
      <w:pPr>
        <w:pStyle w:val="ListParagraph"/>
        <w:numPr>
          <w:ilvl w:val="0"/>
          <w:numId w:val="20"/>
        </w:numPr>
        <w:jc w:val="both"/>
      </w:pPr>
      <w:r>
        <w:t xml:space="preserve">Foreclosure Timeline:  The mortgage’s delinquency time period, </w:t>
      </w:r>
      <w:r w:rsidR="00BB5479">
        <w:t>defined</w:t>
      </w:r>
      <w:r w:rsidR="00535DBB" w:rsidRPr="002418B8">
        <w:t xml:space="preserve"> as the number of days between </w:t>
      </w:r>
      <w:r w:rsidR="00535DBB">
        <w:t xml:space="preserve">the </w:t>
      </w:r>
      <w:r w:rsidR="00EE1FA9">
        <w:t xml:space="preserve">beginning of </w:t>
      </w:r>
      <w:r w:rsidR="00653B1E">
        <w:t>delinquency, known as</w:t>
      </w:r>
      <w:r w:rsidR="00EE1FA9">
        <w:t xml:space="preserve"> the</w:t>
      </w:r>
      <w:r w:rsidR="0001098E">
        <w:t xml:space="preserve"> </w:t>
      </w:r>
      <w:r w:rsidR="00535DBB" w:rsidRPr="002418B8">
        <w:t>last paid installm</w:t>
      </w:r>
      <w:r w:rsidR="00535DBB">
        <w:t xml:space="preserve">ent </w:t>
      </w:r>
      <w:r w:rsidR="00EE1FA9">
        <w:t xml:space="preserve">(LPI) </w:t>
      </w:r>
      <w:r w:rsidR="00535DBB">
        <w:t>date</w:t>
      </w:r>
      <w:r w:rsidR="0001098E">
        <w:t>,</w:t>
      </w:r>
      <w:r w:rsidR="00535DBB">
        <w:t xml:space="preserve"> and the liquidation event.</w:t>
      </w:r>
    </w:p>
    <w:p w14:paraId="1AEE81A3" w14:textId="77777777" w:rsidR="00535DBB" w:rsidRDefault="00535DBB" w:rsidP="00464D53">
      <w:pPr>
        <w:jc w:val="both"/>
      </w:pPr>
    </w:p>
    <w:p w14:paraId="4AEFFA3E" w14:textId="77777777" w:rsidR="00653B1E" w:rsidRDefault="000D4756" w:rsidP="00464D53">
      <w:pPr>
        <w:jc w:val="both"/>
      </w:pPr>
      <w:r>
        <w:t xml:space="preserve">The </w:t>
      </w:r>
      <w:r w:rsidR="00653B1E">
        <w:t>MI claim’s expected payment can be derived from the MI claim amount by multiplying it by the MI coverage percent.</w:t>
      </w:r>
    </w:p>
    <w:p w14:paraId="736006EB" w14:textId="77777777" w:rsidR="00653B1E" w:rsidRDefault="00653B1E" w:rsidP="00464D53">
      <w:pPr>
        <w:jc w:val="both"/>
      </w:pPr>
    </w:p>
    <w:p w14:paraId="45F662E0" w14:textId="77777777" w:rsidR="00C10DCC" w:rsidRDefault="00653B1E" w:rsidP="00464D53">
      <w:pPr>
        <w:pStyle w:val="ListParagraph"/>
        <w:numPr>
          <w:ilvl w:val="0"/>
          <w:numId w:val="20"/>
        </w:numPr>
        <w:jc w:val="both"/>
      </w:pPr>
      <w:r>
        <w:t xml:space="preserve">MI Coverage Percent:  The percent of the MI claim amount, specified in the MI policy, that the MI </w:t>
      </w:r>
      <w:proofErr w:type="gramStart"/>
      <w:r>
        <w:t>company</w:t>
      </w:r>
      <w:proofErr w:type="gramEnd"/>
      <w:r>
        <w:t xml:space="preserve"> will cover in the case of mortgage default.</w:t>
      </w:r>
    </w:p>
    <w:p w14:paraId="5310D019" w14:textId="77777777" w:rsidR="00E9727B" w:rsidRPr="00EF71A3" w:rsidRDefault="00E9727B" w:rsidP="00E9727B">
      <w:pPr>
        <w:rPr>
          <w:u w:val="single"/>
        </w:rPr>
      </w:pPr>
      <w:r w:rsidRPr="00EF71A3">
        <w:rPr>
          <w:u w:val="single"/>
        </w:rPr>
        <w:lastRenderedPageBreak/>
        <w:t>MI Settlement Types</w:t>
      </w:r>
    </w:p>
    <w:p w14:paraId="470C3210" w14:textId="77777777" w:rsidR="00E9727B" w:rsidRDefault="00E9727B" w:rsidP="00464D53">
      <w:pPr>
        <w:jc w:val="both"/>
      </w:pPr>
      <w:r>
        <w:t>There are three ways in which an MI claim may be settled:  an option settlement, a presale with influence, or an MI acquisition.</w:t>
      </w:r>
    </w:p>
    <w:p w14:paraId="39E967A1" w14:textId="77777777" w:rsidR="00E9727B" w:rsidRDefault="00E9727B" w:rsidP="00464D53">
      <w:pPr>
        <w:jc w:val="both"/>
      </w:pPr>
    </w:p>
    <w:p w14:paraId="4A3960D5" w14:textId="35A51920" w:rsidR="00E9727B" w:rsidRDefault="00E9727B" w:rsidP="00464D53">
      <w:pPr>
        <w:pStyle w:val="ListParagraph"/>
        <w:numPr>
          <w:ilvl w:val="0"/>
          <w:numId w:val="1"/>
        </w:numPr>
        <w:jc w:val="both"/>
      </w:pPr>
      <w:r>
        <w:t>Option Se</w:t>
      </w:r>
      <w:r w:rsidR="00AA5F89">
        <w:t xml:space="preserve">ttlement:  The MI </w:t>
      </w:r>
      <w:proofErr w:type="gramStart"/>
      <w:r w:rsidR="00AA5F89">
        <w:t>company</w:t>
      </w:r>
      <w:proofErr w:type="gramEnd"/>
      <w:r w:rsidR="00AA5F89">
        <w:t xml:space="preserve"> pays the MI coverage </w:t>
      </w:r>
      <w:r>
        <w:t xml:space="preserve">percentage of the </w:t>
      </w:r>
      <w:r w:rsidR="00AA5F89">
        <w:t xml:space="preserve">MI </w:t>
      </w:r>
      <w:r>
        <w:t>claim amount.  In 2015, claims were settled as opt</w:t>
      </w:r>
      <w:r w:rsidR="00171CB2">
        <w:t>ion settlements approximately 96</w:t>
      </w:r>
      <w:r>
        <w:t>% of the time.</w:t>
      </w:r>
    </w:p>
    <w:p w14:paraId="1644A0F3" w14:textId="77777777" w:rsidR="00E9727B" w:rsidRDefault="00E9727B" w:rsidP="00464D53">
      <w:pPr>
        <w:pStyle w:val="ListParagraph"/>
        <w:jc w:val="both"/>
      </w:pPr>
      <w:r>
        <w:t xml:space="preserve"> </w:t>
      </w:r>
    </w:p>
    <w:p w14:paraId="61DF4E63" w14:textId="77777777" w:rsidR="00E9727B" w:rsidRDefault="00E9727B" w:rsidP="00464D53">
      <w:pPr>
        <w:pStyle w:val="ListParagraph"/>
        <w:numPr>
          <w:ilvl w:val="0"/>
          <w:numId w:val="1"/>
        </w:numPr>
        <w:jc w:val="both"/>
      </w:pPr>
      <w:r>
        <w:t>Presale with Influence:  This settlement type takes into account the actual sale proceeds and sale costs for the foreclosed property.  Rather than paying a specified percentage, the property’s sale proceeds are subtracted from the claim amount and the difference is paid.  This settlement type also includes a supplemental bill for real estate owned (REO) costs.  In 2015, claims were settled as presales</w:t>
      </w:r>
      <w:r w:rsidR="005F5EEC">
        <w:t xml:space="preserve"> with influence approximately 4</w:t>
      </w:r>
      <w:r>
        <w:t>% of the time.</w:t>
      </w:r>
    </w:p>
    <w:p w14:paraId="4ECF0A13" w14:textId="77777777" w:rsidR="00E9727B" w:rsidRDefault="00E9727B" w:rsidP="00464D53">
      <w:pPr>
        <w:pStyle w:val="ListParagraph"/>
        <w:jc w:val="both"/>
      </w:pPr>
    </w:p>
    <w:p w14:paraId="77C25A22" w14:textId="0D55B5B7" w:rsidR="00E9727B" w:rsidRDefault="00E9727B" w:rsidP="00464D53">
      <w:pPr>
        <w:pStyle w:val="ListParagraph"/>
        <w:numPr>
          <w:ilvl w:val="0"/>
          <w:numId w:val="1"/>
        </w:numPr>
        <w:jc w:val="both"/>
      </w:pPr>
      <w:r>
        <w:t xml:space="preserve">MI Acquisition:  The MI </w:t>
      </w:r>
      <w:proofErr w:type="gramStart"/>
      <w:r>
        <w:t>company</w:t>
      </w:r>
      <w:proofErr w:type="gramEnd"/>
      <w:r>
        <w:t xml:space="preserve">, rather than making a claim payment, chooses to make Fannie Mae whole on the loss and takes the foreclosed property into its inventory.  In 2015, claims were settled as </w:t>
      </w:r>
      <w:r w:rsidR="005F5EEC">
        <w:t xml:space="preserve">MI acquisitions </w:t>
      </w:r>
      <w:r w:rsidR="00171CB2">
        <w:t>less than</w:t>
      </w:r>
      <w:r w:rsidR="005F5EEC">
        <w:t xml:space="preserve"> 1</w:t>
      </w:r>
      <w:r>
        <w:t>% of the time.</w:t>
      </w:r>
    </w:p>
    <w:p w14:paraId="2D43A1BA" w14:textId="77777777" w:rsidR="00263785" w:rsidRPr="00E9727B" w:rsidRDefault="00263785" w:rsidP="00535DBB"/>
    <w:p w14:paraId="16A0360A" w14:textId="77777777" w:rsidR="000445EB" w:rsidRPr="000445EB" w:rsidRDefault="000445EB" w:rsidP="00535DBB">
      <w:pPr>
        <w:rPr>
          <w:u w:val="single"/>
        </w:rPr>
      </w:pPr>
      <w:r w:rsidRPr="00517AD7">
        <w:rPr>
          <w:u w:val="single"/>
        </w:rPr>
        <w:t>Disallowances &amp; Curtailments</w:t>
      </w:r>
    </w:p>
    <w:p w14:paraId="1B45CC77" w14:textId="73DB202D" w:rsidR="00653B1E" w:rsidRDefault="00653B1E" w:rsidP="00464D53">
      <w:pPr>
        <w:jc w:val="both"/>
      </w:pPr>
      <w:r>
        <w:t>A</w:t>
      </w:r>
      <w:r w:rsidR="000445EB">
        <w:t xml:space="preserve"> number of</w:t>
      </w:r>
      <w:r w:rsidR="00FE2917">
        <w:t xml:space="preserve"> issues </w:t>
      </w:r>
      <w:r w:rsidR="000445EB">
        <w:t xml:space="preserve">can </w:t>
      </w:r>
      <w:r w:rsidR="00FE2917">
        <w:t xml:space="preserve">occur </w:t>
      </w:r>
      <w:r w:rsidR="000445EB">
        <w:t xml:space="preserve">that result in </w:t>
      </w:r>
      <w:r>
        <w:t xml:space="preserve">an actual MI payment that is </w:t>
      </w:r>
      <w:r w:rsidR="000445EB">
        <w:t>less than expected</w:t>
      </w:r>
      <w:r w:rsidR="00FE2917">
        <w:t>.</w:t>
      </w:r>
      <w:r w:rsidR="000445EB">
        <w:t xml:space="preserve">  </w:t>
      </w:r>
      <w:r>
        <w:t>The MI Factor proposal concerns the simplification of two such issues:  disallowances and curtailments</w:t>
      </w:r>
      <w:r w:rsidR="008B03CD">
        <w:rPr>
          <w:rStyle w:val="FootnoteReference"/>
        </w:rPr>
        <w:footnoteReference w:id="2"/>
      </w:r>
      <w:r>
        <w:t>.</w:t>
      </w:r>
    </w:p>
    <w:p w14:paraId="5FC1B8DC" w14:textId="77777777" w:rsidR="00653B1E" w:rsidRDefault="00653B1E" w:rsidP="00464D53">
      <w:pPr>
        <w:jc w:val="both"/>
      </w:pPr>
    </w:p>
    <w:p w14:paraId="25DDC2A4" w14:textId="1E2C67C8" w:rsidR="00653B1E" w:rsidRDefault="00653B1E" w:rsidP="00464D53">
      <w:pPr>
        <w:pStyle w:val="ListParagraph"/>
        <w:numPr>
          <w:ilvl w:val="0"/>
          <w:numId w:val="21"/>
        </w:numPr>
        <w:jc w:val="both"/>
      </w:pPr>
      <w:r>
        <w:t>Disallowances:  If the servicer</w:t>
      </w:r>
      <w:r w:rsidR="00EC7FB9">
        <w:t xml:space="preserve"> erroneously</w:t>
      </w:r>
      <w:r>
        <w:t xml:space="preserve"> includes foreclosure costs in the MI claim amount that the MI policy does not cover, like the MI premium pa</w:t>
      </w:r>
      <w:r w:rsidR="00EC7FB9">
        <w:t xml:space="preserve">yments, the MI </w:t>
      </w:r>
      <w:proofErr w:type="gramStart"/>
      <w:r w:rsidR="00EC7FB9">
        <w:t>company</w:t>
      </w:r>
      <w:proofErr w:type="gramEnd"/>
      <w:r w:rsidR="00EC7FB9">
        <w:t xml:space="preserve"> will exclude </w:t>
      </w:r>
      <w:r>
        <w:t xml:space="preserve">these costs </w:t>
      </w:r>
      <w:r w:rsidR="00EC7FB9">
        <w:t>from</w:t>
      </w:r>
      <w:r>
        <w:t xml:space="preserve"> the claim amount when calculating the actual MI payment.  Disallowances result in a reduction in the overall MI claim amount, and thus the actual MI payment.</w:t>
      </w:r>
    </w:p>
    <w:p w14:paraId="4780C493" w14:textId="77777777" w:rsidR="00653B1E" w:rsidRDefault="00653B1E" w:rsidP="00464D53">
      <w:pPr>
        <w:ind w:left="360"/>
        <w:jc w:val="both"/>
      </w:pPr>
    </w:p>
    <w:p w14:paraId="320221AE" w14:textId="1E02A4F6" w:rsidR="00653B1E" w:rsidRDefault="007D49A0" w:rsidP="00464D53">
      <w:pPr>
        <w:pStyle w:val="ListParagraph"/>
        <w:numPr>
          <w:ilvl w:val="0"/>
          <w:numId w:val="21"/>
        </w:numPr>
        <w:jc w:val="both"/>
      </w:pPr>
      <w:r>
        <w:t>Curtailments</w:t>
      </w:r>
      <w:r w:rsidR="00653B1E">
        <w:t>:  W</w:t>
      </w:r>
      <w:r>
        <w:t>hen issues are found with the servicing of the mortgage</w:t>
      </w:r>
      <w:r w:rsidR="00653B1E">
        <w:t xml:space="preserve"> that cause the overall MI claim amount to be unreasonably high</w:t>
      </w:r>
      <w:r>
        <w:t>, such as</w:t>
      </w:r>
      <w:r w:rsidR="00653B1E">
        <w:t xml:space="preserve"> the servicer taking too long to foreclose, </w:t>
      </w:r>
      <w:r w:rsidR="00B66A37">
        <w:t xml:space="preserve">the MI company will curtail the </w:t>
      </w:r>
      <w:r w:rsidR="00653B1E">
        <w:t xml:space="preserve">MI </w:t>
      </w:r>
      <w:r w:rsidR="00B66A37">
        <w:t>claim amount to a reasonable level</w:t>
      </w:r>
      <w:r w:rsidR="00653B1E">
        <w:t>.  This results in a reduction in the overall MI claim amount, and thus the actual MI payment.</w:t>
      </w:r>
    </w:p>
    <w:p w14:paraId="16D2E7BB" w14:textId="3C580FE8" w:rsidR="00653B1E" w:rsidRDefault="00653B1E" w:rsidP="00464D53">
      <w:pPr>
        <w:jc w:val="both"/>
      </w:pPr>
    </w:p>
    <w:p w14:paraId="3410AA68" w14:textId="6B53F5EC" w:rsidR="0094105B" w:rsidRDefault="003B2326" w:rsidP="00464D53">
      <w:pPr>
        <w:jc w:val="both"/>
      </w:pPr>
      <w:r>
        <w:t>I</w:t>
      </w:r>
      <w:r w:rsidR="0094105B">
        <w:t>n 2015</w:t>
      </w:r>
      <w:r w:rsidRPr="00CF7ED3">
        <w:t xml:space="preserve">, </w:t>
      </w:r>
      <w:r w:rsidR="00AE23DB">
        <w:t>72</w:t>
      </w:r>
      <w:r w:rsidR="00116035" w:rsidRPr="00CF7ED3">
        <w:t>% of</w:t>
      </w:r>
      <w:r w:rsidR="00116035">
        <w:t xml:space="preserve"> </w:t>
      </w:r>
      <w:r w:rsidR="00BE5883">
        <w:t xml:space="preserve">all MI claims were subject to </w:t>
      </w:r>
      <w:r w:rsidR="00116035">
        <w:t>disallowance</w:t>
      </w:r>
      <w:r>
        <w:t xml:space="preserve"> </w:t>
      </w:r>
      <w:r w:rsidR="00BE5883">
        <w:t xml:space="preserve">or </w:t>
      </w:r>
      <w:r>
        <w:t>c</w:t>
      </w:r>
      <w:r w:rsidR="00116035">
        <w:t xml:space="preserve">urtailment, which </w:t>
      </w:r>
      <w:r w:rsidR="003F2C77">
        <w:t>translates to a</w:t>
      </w:r>
      <w:r w:rsidR="00BE5883">
        <w:t>n average</w:t>
      </w:r>
      <w:r w:rsidR="003F2C77">
        <w:t xml:space="preserve"> </w:t>
      </w:r>
      <w:r w:rsidR="00BE5883">
        <w:t xml:space="preserve">MI payment reduction of </w:t>
      </w:r>
      <w:r w:rsidR="00E66EE5">
        <w:t>7.7</w:t>
      </w:r>
      <w:r w:rsidR="00116035">
        <w:t>%</w:t>
      </w:r>
      <w:r w:rsidR="0094105B">
        <w:t>.</w:t>
      </w:r>
    </w:p>
    <w:p w14:paraId="0AA4CC90" w14:textId="022269D2" w:rsidR="00A723CB" w:rsidRDefault="00A723CB">
      <w:pPr>
        <w:rPr>
          <w:rFonts w:ascii="Arial" w:hAnsi="Arial" w:cs="Arial"/>
          <w:sz w:val="18"/>
        </w:rPr>
      </w:pPr>
    </w:p>
    <w:p w14:paraId="63440802" w14:textId="77777777" w:rsidR="00022EEE" w:rsidRDefault="00022EEE">
      <w:pPr>
        <w:rPr>
          <w:rFonts w:ascii="Arial" w:hAnsi="Arial" w:cs="Arial"/>
          <w:sz w:val="18"/>
        </w:rPr>
      </w:pPr>
      <w:r>
        <w:rPr>
          <w:rFonts w:ascii="Arial" w:hAnsi="Arial" w:cs="Arial"/>
          <w:sz w:val="18"/>
        </w:rPr>
        <w:br w:type="page"/>
      </w:r>
    </w:p>
    <w:p w14:paraId="6909504B" w14:textId="211CA71F" w:rsidR="00A723CB" w:rsidRPr="00730093" w:rsidRDefault="006658BA" w:rsidP="00464D53">
      <w:pPr>
        <w:jc w:val="center"/>
        <w:rPr>
          <w:rFonts w:ascii="Arial" w:hAnsi="Arial" w:cs="Arial"/>
          <w:sz w:val="18"/>
        </w:rPr>
      </w:pPr>
      <w:r w:rsidRPr="00EF3516">
        <w:rPr>
          <w:rFonts w:ascii="Arial" w:hAnsi="Arial" w:cs="Arial"/>
          <w:sz w:val="18"/>
        </w:rPr>
        <w:lastRenderedPageBreak/>
        <w:t>Figure</w:t>
      </w:r>
      <w:r w:rsidR="00FD2AE2" w:rsidRPr="00EF3516">
        <w:rPr>
          <w:rFonts w:ascii="Arial" w:hAnsi="Arial" w:cs="Arial"/>
          <w:sz w:val="18"/>
        </w:rPr>
        <w:t xml:space="preserve"> 2</w:t>
      </w:r>
      <w:r w:rsidR="00A723CB" w:rsidRPr="00EF3516">
        <w:rPr>
          <w:rFonts w:ascii="Arial" w:hAnsi="Arial" w:cs="Arial"/>
          <w:sz w:val="18"/>
        </w:rPr>
        <w:t>:  MI Claims with Disallowances and Curtailments</w:t>
      </w:r>
    </w:p>
    <w:p w14:paraId="7DD90417" w14:textId="0BDECEFA" w:rsidR="00A723CB" w:rsidRDefault="00AE23DB" w:rsidP="00464D53">
      <w:pPr>
        <w:jc w:val="center"/>
      </w:pPr>
      <w:r>
        <w:rPr>
          <w:noProof/>
        </w:rPr>
        <w:drawing>
          <wp:inline distT="0" distB="0" distL="0" distR="0" wp14:anchorId="6249AF03" wp14:editId="7485382A">
            <wp:extent cx="2320119" cy="1989796"/>
            <wp:effectExtent l="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6812" cy="2029841"/>
                    </a:xfrm>
                    <a:prstGeom prst="rect">
                      <a:avLst/>
                    </a:prstGeom>
                  </pic:spPr>
                </pic:pic>
              </a:graphicData>
            </a:graphic>
          </wp:inline>
        </w:drawing>
      </w:r>
    </w:p>
    <w:p w14:paraId="1631D1DA" w14:textId="77777777" w:rsidR="00022EEE" w:rsidRDefault="00022EEE" w:rsidP="00464D53">
      <w:pPr>
        <w:jc w:val="center"/>
      </w:pPr>
    </w:p>
    <w:p w14:paraId="5EBAB14A" w14:textId="05AE990A" w:rsidR="00FD2AE2" w:rsidRPr="00730093" w:rsidRDefault="006658BA" w:rsidP="00FD2AE2">
      <w:pPr>
        <w:rPr>
          <w:rFonts w:ascii="Arial" w:hAnsi="Arial" w:cs="Arial"/>
          <w:sz w:val="18"/>
        </w:rPr>
      </w:pPr>
      <w:r w:rsidRPr="005662E8">
        <w:rPr>
          <w:rFonts w:ascii="Arial" w:hAnsi="Arial" w:cs="Arial"/>
          <w:sz w:val="18"/>
        </w:rPr>
        <w:t>Figure</w:t>
      </w:r>
      <w:r w:rsidR="005C4197" w:rsidRPr="005662E8">
        <w:rPr>
          <w:rFonts w:ascii="Arial" w:hAnsi="Arial" w:cs="Arial"/>
          <w:sz w:val="18"/>
        </w:rPr>
        <w:t xml:space="preserve"> 3</w:t>
      </w:r>
      <w:r w:rsidR="00FD2AE2" w:rsidRPr="005662E8">
        <w:rPr>
          <w:rFonts w:ascii="Arial" w:hAnsi="Arial" w:cs="Arial"/>
          <w:sz w:val="18"/>
        </w:rPr>
        <w:t xml:space="preserve">:  </w:t>
      </w:r>
      <w:r w:rsidR="003952EF" w:rsidRPr="005662E8">
        <w:rPr>
          <w:rFonts w:ascii="Arial" w:hAnsi="Arial" w:cs="Arial"/>
          <w:sz w:val="18"/>
        </w:rPr>
        <w:t xml:space="preserve">MI </w:t>
      </w:r>
      <w:r w:rsidR="00022EEE">
        <w:rPr>
          <w:rFonts w:ascii="Arial" w:hAnsi="Arial" w:cs="Arial"/>
          <w:sz w:val="18"/>
        </w:rPr>
        <w:t xml:space="preserve">Benefit </w:t>
      </w:r>
      <w:r w:rsidR="003952EF" w:rsidRPr="005662E8">
        <w:rPr>
          <w:rFonts w:ascii="Arial" w:hAnsi="Arial" w:cs="Arial"/>
          <w:sz w:val="18"/>
        </w:rPr>
        <w:t>Payment R</w:t>
      </w:r>
      <w:r w:rsidR="00FD2AE2" w:rsidRPr="005662E8">
        <w:rPr>
          <w:rFonts w:ascii="Arial" w:hAnsi="Arial" w:cs="Arial"/>
          <w:sz w:val="18"/>
        </w:rPr>
        <w:t>eductions due to Disallowances and Curtailments</w:t>
      </w:r>
    </w:p>
    <w:p w14:paraId="5309CC02" w14:textId="59C21034" w:rsidR="00FD2AE2" w:rsidRDefault="00376472" w:rsidP="00FE2917">
      <w:r>
        <w:rPr>
          <w:noProof/>
        </w:rPr>
        <w:drawing>
          <wp:inline distT="0" distB="0" distL="0" distR="0" wp14:anchorId="04F48A9D" wp14:editId="17089477">
            <wp:extent cx="6337190" cy="1489995"/>
            <wp:effectExtent l="0" t="0" r="698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6496" cy="1506290"/>
                    </a:xfrm>
                    <a:prstGeom prst="rect">
                      <a:avLst/>
                    </a:prstGeom>
                  </pic:spPr>
                </pic:pic>
              </a:graphicData>
            </a:graphic>
          </wp:inline>
        </w:drawing>
      </w:r>
    </w:p>
    <w:p w14:paraId="39E44531" w14:textId="77777777" w:rsidR="00FD2AE2" w:rsidRDefault="00FD2AE2" w:rsidP="00FE2917"/>
    <w:p w14:paraId="7FF6F4CF" w14:textId="77777777" w:rsidR="004A73C1" w:rsidRPr="004A73C1" w:rsidRDefault="004A73C1" w:rsidP="00FE2917">
      <w:pPr>
        <w:rPr>
          <w:u w:val="single"/>
        </w:rPr>
      </w:pPr>
      <w:r w:rsidRPr="004A73C1">
        <w:rPr>
          <w:u w:val="single"/>
        </w:rPr>
        <w:t>Causes of Curtailments</w:t>
      </w:r>
    </w:p>
    <w:p w14:paraId="401A989E" w14:textId="77777777" w:rsidR="0094105B" w:rsidRDefault="0094105B" w:rsidP="00464D53">
      <w:pPr>
        <w:jc w:val="both"/>
      </w:pPr>
      <w:r>
        <w:t xml:space="preserve">Disallowances </w:t>
      </w:r>
      <w:r w:rsidR="00665FBB">
        <w:t xml:space="preserve">have a single cause, which is the </w:t>
      </w:r>
      <w:r>
        <w:t xml:space="preserve">inclusion </w:t>
      </w:r>
      <w:r w:rsidR="00B260DD">
        <w:t xml:space="preserve">of </w:t>
      </w:r>
      <w:proofErr w:type="spellStart"/>
      <w:r w:rsidR="00B260DD">
        <w:t>unclaimabl</w:t>
      </w:r>
      <w:r w:rsidR="00665FBB">
        <w:t>e</w:t>
      </w:r>
      <w:proofErr w:type="spellEnd"/>
      <w:r w:rsidR="00665FBB">
        <w:t xml:space="preserve"> costs in the MI claim amount.  Curtailments, </w:t>
      </w:r>
      <w:r w:rsidR="00B260DD">
        <w:t xml:space="preserve">however, </w:t>
      </w:r>
      <w:r w:rsidR="00A74AAE">
        <w:t>are caused by several different kinds of servicing issues</w:t>
      </w:r>
      <w:r w:rsidR="00665FBB">
        <w:t>:  foreclosure timeline issues, the absence of loss mitigation, and cost threshold issues.</w:t>
      </w:r>
    </w:p>
    <w:p w14:paraId="575DC322" w14:textId="77777777" w:rsidR="00B260DD" w:rsidRDefault="00B260DD" w:rsidP="00464D53">
      <w:pPr>
        <w:jc w:val="both"/>
      </w:pPr>
    </w:p>
    <w:p w14:paraId="4313D21B" w14:textId="104C5B09" w:rsidR="00FE2917" w:rsidRDefault="00C1315B" w:rsidP="00464D53">
      <w:pPr>
        <w:pStyle w:val="ListParagraph"/>
        <w:numPr>
          <w:ilvl w:val="0"/>
          <w:numId w:val="3"/>
        </w:numPr>
        <w:jc w:val="both"/>
      </w:pPr>
      <w:r>
        <w:t>Foreclosure Timeline Issues</w:t>
      </w:r>
      <w:r w:rsidR="00FE2917">
        <w:t>:  I</w:t>
      </w:r>
      <w:r w:rsidR="00D43EEE">
        <w:t xml:space="preserve">f the </w:t>
      </w:r>
      <w:r w:rsidR="00FE2917">
        <w:t>foreclose</w:t>
      </w:r>
      <w:r w:rsidR="00D43EEE">
        <w:t xml:space="preserve"> timelines are unreasonably long</w:t>
      </w:r>
      <w:r w:rsidR="00FE2917">
        <w:t xml:space="preserve">, </w:t>
      </w:r>
      <w:r w:rsidR="00D43EEE">
        <w:t xml:space="preserve">this results in upward pressure on both the interest as well as the foreclosure cost components of the MI claim amount equation.  </w:t>
      </w:r>
      <w:r w:rsidR="00AD2D3C">
        <w:t xml:space="preserve">If the foreclosure timeline is deemed unreasonable, the MI </w:t>
      </w:r>
      <w:proofErr w:type="gramStart"/>
      <w:r w:rsidR="00AD2D3C">
        <w:t>company</w:t>
      </w:r>
      <w:proofErr w:type="gramEnd"/>
      <w:r w:rsidR="00AD2D3C">
        <w:t xml:space="preserve"> will curtail the timeline to a reasonable length of time, thereby reducing both the interest and </w:t>
      </w:r>
      <w:r w:rsidR="00226C47">
        <w:t>foreclosure cost components of the total MI claim amount</w:t>
      </w:r>
      <w:r w:rsidR="00AD2D3C">
        <w:t xml:space="preserve">.  </w:t>
      </w:r>
      <w:r w:rsidR="00D43EEE">
        <w:t>Fannie Mae publishes guidance on allowable foreclosure timelines and allowable delays</w:t>
      </w:r>
      <w:r w:rsidR="00A70234">
        <w:t>,</w:t>
      </w:r>
      <w:r w:rsidR="00A70234" w:rsidRPr="002418B8">
        <w:t xml:space="preserve"> e.g.</w:t>
      </w:r>
      <w:r w:rsidR="00A70234">
        <w:t>, bankruptcy</w:t>
      </w:r>
      <w:r w:rsidR="00D43EEE">
        <w:t>, which many MI companies choose to follow; however, several MI companies curtail</w:t>
      </w:r>
      <w:r w:rsidR="00022EEE">
        <w:t>ed historically</w:t>
      </w:r>
      <w:r w:rsidR="00D43EEE">
        <w:t xml:space="preserve"> based off of their own in-house timelines.</w:t>
      </w:r>
    </w:p>
    <w:p w14:paraId="6A703F15" w14:textId="77777777" w:rsidR="00DD2069" w:rsidRDefault="00DD2069" w:rsidP="00464D53">
      <w:pPr>
        <w:pStyle w:val="ListParagraph"/>
        <w:jc w:val="both"/>
      </w:pPr>
    </w:p>
    <w:p w14:paraId="6F30EA55" w14:textId="77777777" w:rsidR="00A31010" w:rsidRPr="00C1315B" w:rsidRDefault="00DD2069" w:rsidP="00464D53">
      <w:pPr>
        <w:pStyle w:val="ListParagraph"/>
        <w:numPr>
          <w:ilvl w:val="0"/>
          <w:numId w:val="3"/>
        </w:numPr>
        <w:jc w:val="both"/>
      </w:pPr>
      <w:r w:rsidRPr="00C1315B">
        <w:t>Absence of Loss Mitigation:</w:t>
      </w:r>
      <w:r w:rsidR="004170A2">
        <w:t xml:space="preserve">  Loss mitigation a</w:t>
      </w:r>
      <w:r w:rsidR="00A31010">
        <w:t xml:space="preserve">ctivities, such as loan modifications, are designed to prevent mortgage defaults and to keep borrowers in their homes.  If the mortgage default is prevented due to loss mitigation, no loss would result and the MI </w:t>
      </w:r>
      <w:proofErr w:type="gramStart"/>
      <w:r w:rsidR="00A31010">
        <w:t>company</w:t>
      </w:r>
      <w:proofErr w:type="gramEnd"/>
      <w:r w:rsidR="00A31010">
        <w:t xml:space="preserve"> would not be required to make an MI payment.  Not all loss mitigation activities are successful, however.  If a foreclosure occurs without any attempt at loss mitigation, the MI </w:t>
      </w:r>
      <w:proofErr w:type="gramStart"/>
      <w:r w:rsidR="00A31010">
        <w:t>company</w:t>
      </w:r>
      <w:proofErr w:type="gramEnd"/>
      <w:r w:rsidR="00A31010">
        <w:t xml:space="preserve"> will curtail the payment as the loss may have been avoided had loss mitigation activities occurred.</w:t>
      </w:r>
    </w:p>
    <w:p w14:paraId="429AB9B0" w14:textId="77777777" w:rsidR="00FE2917" w:rsidRDefault="00FE2917" w:rsidP="00464D53">
      <w:pPr>
        <w:jc w:val="both"/>
      </w:pPr>
    </w:p>
    <w:p w14:paraId="44D263B0" w14:textId="6D9E45C4" w:rsidR="00FE2917" w:rsidRDefault="00C1315B" w:rsidP="00464D53">
      <w:pPr>
        <w:pStyle w:val="ListParagraph"/>
        <w:numPr>
          <w:ilvl w:val="0"/>
          <w:numId w:val="3"/>
        </w:numPr>
        <w:jc w:val="both"/>
      </w:pPr>
      <w:r>
        <w:t>Cost Threshold Issues</w:t>
      </w:r>
      <w:r w:rsidR="00FE2917">
        <w:t>:  Cost threshold issues result in curtailments of the foreclosure cost component of the MI claim amount equation.</w:t>
      </w:r>
      <w:r>
        <w:t xml:space="preserve">  When the amount of any given allowable cost is </w:t>
      </w:r>
      <w:r>
        <w:lastRenderedPageBreak/>
        <w:t xml:space="preserve">deemed to be unreasonably high, the MI </w:t>
      </w:r>
      <w:proofErr w:type="gramStart"/>
      <w:r>
        <w:t>company</w:t>
      </w:r>
      <w:proofErr w:type="gramEnd"/>
      <w:r>
        <w:t xml:space="preserve"> imposes a cost threshold that caps the expense at a reasonable level.</w:t>
      </w:r>
      <w:r w:rsidR="00FE2917">
        <w:t xml:space="preserve">  </w:t>
      </w:r>
      <w:r>
        <w:t>Cost t</w:t>
      </w:r>
      <w:r w:rsidR="00FE2917">
        <w:t>hreshold issues are closely related to</w:t>
      </w:r>
      <w:r>
        <w:t xml:space="preserve"> foreclosure timeline issues</w:t>
      </w:r>
      <w:r w:rsidR="00FE2917">
        <w:t xml:space="preserve"> </w:t>
      </w:r>
      <w:r>
        <w:t xml:space="preserve">since extended timelines </w:t>
      </w:r>
      <w:r w:rsidR="004C1550">
        <w:t xml:space="preserve">can </w:t>
      </w:r>
      <w:r>
        <w:t xml:space="preserve">result in a </w:t>
      </w:r>
      <w:r w:rsidR="004C1550">
        <w:t xml:space="preserve">substantial </w:t>
      </w:r>
      <w:r>
        <w:t xml:space="preserve">increase in </w:t>
      </w:r>
      <w:r w:rsidR="000429DD">
        <w:t>variable</w:t>
      </w:r>
      <w:r>
        <w:t xml:space="preserve"> costs</w:t>
      </w:r>
      <w:r w:rsidR="00FE2917">
        <w:t>.</w:t>
      </w:r>
    </w:p>
    <w:p w14:paraId="56472D1B" w14:textId="77777777" w:rsidR="00FE2917" w:rsidRDefault="00FE2917" w:rsidP="00464D53">
      <w:pPr>
        <w:jc w:val="both"/>
      </w:pPr>
    </w:p>
    <w:p w14:paraId="039A3A4E" w14:textId="680B5C85" w:rsidR="000D3A23" w:rsidRDefault="00330434" w:rsidP="00464D53">
      <w:pPr>
        <w:jc w:val="both"/>
      </w:pPr>
      <w:r>
        <w:t xml:space="preserve">As the MI Factor algorithm results </w:t>
      </w:r>
      <w:r w:rsidR="000006A3">
        <w:t xml:space="preserve">will </w:t>
      </w:r>
      <w:r>
        <w:t xml:space="preserve">show, </w:t>
      </w:r>
      <w:r w:rsidR="000D3A23">
        <w:t xml:space="preserve">Fannie Mae’s research </w:t>
      </w:r>
      <w:r>
        <w:t xml:space="preserve">indicates </w:t>
      </w:r>
      <w:r w:rsidR="000D3A23">
        <w:t>that foreclosure timeline issues explain the vast majority of all curtailments.</w:t>
      </w:r>
    </w:p>
    <w:p w14:paraId="14A9F916" w14:textId="77777777" w:rsidR="00FF1456" w:rsidRDefault="00FF1456" w:rsidP="000D3A23"/>
    <w:p w14:paraId="57C572D2" w14:textId="77777777" w:rsidR="003F5370" w:rsidRPr="009C430B" w:rsidRDefault="003F5370" w:rsidP="000D3A23">
      <w:pPr>
        <w:rPr>
          <w:u w:val="single"/>
        </w:rPr>
      </w:pPr>
      <w:r w:rsidRPr="009C430B">
        <w:rPr>
          <w:u w:val="single"/>
        </w:rPr>
        <w:t>Servicer Billing</w:t>
      </w:r>
    </w:p>
    <w:p w14:paraId="4CD2B41C" w14:textId="2893BA52" w:rsidR="002B352C" w:rsidRDefault="00EC227C" w:rsidP="00464D53">
      <w:pPr>
        <w:jc w:val="both"/>
      </w:pPr>
      <w:r>
        <w:t xml:space="preserve">Since curtailments are </w:t>
      </w:r>
      <w:r w:rsidR="00027062">
        <w:t xml:space="preserve">associated with </w:t>
      </w:r>
      <w:r>
        <w:t>servicing issues, i</w:t>
      </w:r>
      <w:r w:rsidR="00A74AAE">
        <w:t xml:space="preserve">f the MI </w:t>
      </w:r>
      <w:proofErr w:type="gramStart"/>
      <w:r w:rsidR="00A74AAE">
        <w:t>company</w:t>
      </w:r>
      <w:proofErr w:type="gramEnd"/>
      <w:r w:rsidR="00A74AAE">
        <w:t xml:space="preserve"> curtails a claim</w:t>
      </w:r>
      <w:r w:rsidR="004C04D3">
        <w:t xml:space="preserve">, </w:t>
      </w:r>
      <w:r w:rsidR="002B352C">
        <w:t>Fannie Mae will send a supplemental bill to the servicer</w:t>
      </w:r>
      <w:r w:rsidR="00A74AAE">
        <w:t xml:space="preserve"> for the </w:t>
      </w:r>
      <w:r w:rsidR="004C04D3">
        <w:t xml:space="preserve">total </w:t>
      </w:r>
      <w:r w:rsidR="00A74AAE">
        <w:t>amount of the curtailment.</w:t>
      </w:r>
      <w:r w:rsidR="004C04D3">
        <w:t xml:space="preserve">  </w:t>
      </w:r>
      <w:r>
        <w:t>T</w:t>
      </w:r>
      <w:r w:rsidR="004C04D3">
        <w:t xml:space="preserve">he servicer </w:t>
      </w:r>
      <w:r>
        <w:t xml:space="preserve">frequently </w:t>
      </w:r>
      <w:r w:rsidR="004C04D3">
        <w:t>disagree</w:t>
      </w:r>
      <w:r>
        <w:t>s</w:t>
      </w:r>
      <w:r w:rsidR="004C04D3">
        <w:t xml:space="preserve"> with the curtailme</w:t>
      </w:r>
      <w:r>
        <w:t xml:space="preserve">nt in part or in total and </w:t>
      </w:r>
      <w:r w:rsidR="004C04D3">
        <w:t>rebut</w:t>
      </w:r>
      <w:r>
        <w:t>s</w:t>
      </w:r>
      <w:r w:rsidR="004C04D3">
        <w:t xml:space="preserve"> the curtailment with the MI </w:t>
      </w:r>
      <w:proofErr w:type="gramStart"/>
      <w:r w:rsidR="004C04D3">
        <w:t>company</w:t>
      </w:r>
      <w:proofErr w:type="gramEnd"/>
      <w:r w:rsidR="004C04D3">
        <w:t xml:space="preserve">.  The rebuttal process can take up to </w:t>
      </w:r>
      <w:r w:rsidR="001D5C57">
        <w:t xml:space="preserve">two or more years </w:t>
      </w:r>
      <w:r w:rsidR="004C04D3">
        <w:t>before all parties agree on what is owed and all clai</w:t>
      </w:r>
      <w:r w:rsidR="003A7314">
        <w:t>m paymen</w:t>
      </w:r>
      <w:r w:rsidR="00E3457D">
        <w:t xml:space="preserve">ts are made.  </w:t>
      </w:r>
      <w:r w:rsidR="005D0D18">
        <w:t>Practically</w:t>
      </w:r>
      <w:r w:rsidR="00953E45">
        <w:t xml:space="preserve"> all MI curtailments </w:t>
      </w:r>
      <w:r w:rsidR="005D0D18">
        <w:t>include</w:t>
      </w:r>
      <w:r w:rsidR="004C04D3">
        <w:t xml:space="preserve"> a supplemental bill to </w:t>
      </w:r>
      <w:r w:rsidR="00953E45">
        <w:t>the servicer</w:t>
      </w:r>
      <w:r w:rsidR="005D0D18">
        <w:t>; t</w:t>
      </w:r>
      <w:r w:rsidR="00E3457D">
        <w:t xml:space="preserve">o date, </w:t>
      </w:r>
      <w:r w:rsidR="003D18C6">
        <w:t>only 22</w:t>
      </w:r>
      <w:r w:rsidR="002B352C" w:rsidRPr="003D18C6">
        <w:t>%</w:t>
      </w:r>
      <w:r w:rsidR="002B352C">
        <w:t xml:space="preserve"> of the total </w:t>
      </w:r>
      <w:r w:rsidR="004C04D3">
        <w:t xml:space="preserve">amount billed to </w:t>
      </w:r>
      <w:r w:rsidR="002B352C">
        <w:t>servicer</w:t>
      </w:r>
      <w:r w:rsidR="004C04D3">
        <w:t xml:space="preserve">s </w:t>
      </w:r>
      <w:r w:rsidR="00872AB4">
        <w:t xml:space="preserve">for 2015 MI claims </w:t>
      </w:r>
      <w:r w:rsidR="004C04D3">
        <w:t>has been paid</w:t>
      </w:r>
      <w:r w:rsidR="002B352C">
        <w:t>.</w:t>
      </w:r>
    </w:p>
    <w:p w14:paraId="4A547D7F" w14:textId="77777777" w:rsidR="00534689" w:rsidRDefault="00534689" w:rsidP="000D3A23"/>
    <w:p w14:paraId="33613FAC" w14:textId="2899FD2E" w:rsidR="006658BA" w:rsidRPr="00367019" w:rsidRDefault="006658BA" w:rsidP="000D3A23">
      <w:pPr>
        <w:rPr>
          <w:rFonts w:ascii="Arial" w:hAnsi="Arial" w:cs="Arial"/>
          <w:sz w:val="18"/>
        </w:rPr>
      </w:pPr>
      <w:r w:rsidRPr="001D5C57">
        <w:rPr>
          <w:rFonts w:ascii="Arial" w:hAnsi="Arial" w:cs="Arial"/>
          <w:sz w:val="18"/>
        </w:rPr>
        <w:t>Figure 4:  Servicer Billings for Curtailments</w:t>
      </w:r>
    </w:p>
    <w:p w14:paraId="5B280BB8" w14:textId="253BCD2C" w:rsidR="007211F9" w:rsidRDefault="00367019" w:rsidP="000D3A23">
      <w:r>
        <w:rPr>
          <w:noProof/>
        </w:rPr>
        <w:drawing>
          <wp:inline distT="0" distB="0" distL="0" distR="0" wp14:anchorId="023AD014" wp14:editId="77EF0B86">
            <wp:extent cx="6400800" cy="264033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2640330"/>
                    </a:xfrm>
                    <a:prstGeom prst="rect">
                      <a:avLst/>
                    </a:prstGeom>
                  </pic:spPr>
                </pic:pic>
              </a:graphicData>
            </a:graphic>
          </wp:inline>
        </w:drawing>
      </w:r>
    </w:p>
    <w:p w14:paraId="727B308E" w14:textId="22A9D10E" w:rsidR="00276F52" w:rsidRDefault="00276F52">
      <w:pPr>
        <w:rPr>
          <w:u w:val="single"/>
        </w:rPr>
      </w:pPr>
    </w:p>
    <w:p w14:paraId="09772829" w14:textId="60B3F2EC" w:rsidR="003F5370" w:rsidRDefault="003F5370" w:rsidP="000D3A23">
      <w:pPr>
        <w:rPr>
          <w:u w:val="single"/>
        </w:rPr>
      </w:pPr>
      <w:r w:rsidRPr="009C430B">
        <w:rPr>
          <w:u w:val="single"/>
        </w:rPr>
        <w:t>MI Claims Process Issues</w:t>
      </w:r>
    </w:p>
    <w:p w14:paraId="3B4C6491" w14:textId="77777777" w:rsidR="000A6813" w:rsidRPr="009C430B" w:rsidRDefault="000A6813" w:rsidP="000D3A23">
      <w:pPr>
        <w:rPr>
          <w:u w:val="single"/>
        </w:rPr>
      </w:pPr>
    </w:p>
    <w:p w14:paraId="7CBAE6F0" w14:textId="5D32F706" w:rsidR="006A06B5" w:rsidRDefault="004C04D3" w:rsidP="00464D53">
      <w:pPr>
        <w:jc w:val="both"/>
      </w:pPr>
      <w:r>
        <w:t>There are a number of issues in the MI claims process caused by d</w:t>
      </w:r>
      <w:r w:rsidR="006A06B5">
        <w:t>i</w:t>
      </w:r>
      <w:r>
        <w:t>sallowances and curtailments</w:t>
      </w:r>
      <w:r w:rsidR="002264B6">
        <w:t xml:space="preserve"> such as</w:t>
      </w:r>
      <w:r>
        <w:t xml:space="preserve"> claim payment uncertainty, processing</w:t>
      </w:r>
      <w:r w:rsidR="004031B6">
        <w:t xml:space="preserve"> and staffing</w:t>
      </w:r>
      <w:r>
        <w:t xml:space="preserve"> burden</w:t>
      </w:r>
      <w:r w:rsidR="00723671">
        <w:t>s</w:t>
      </w:r>
      <w:r>
        <w:t>,</w:t>
      </w:r>
      <w:r w:rsidR="002F293B">
        <w:t xml:space="preserve"> and</w:t>
      </w:r>
      <w:r>
        <w:t xml:space="preserve"> extended timelines</w:t>
      </w:r>
      <w:r w:rsidR="002264B6">
        <w:t>.  Each are explained below.</w:t>
      </w:r>
    </w:p>
    <w:p w14:paraId="293A8458" w14:textId="77777777" w:rsidR="006A06B5" w:rsidRDefault="006A06B5" w:rsidP="00464D53">
      <w:pPr>
        <w:jc w:val="both"/>
      </w:pPr>
    </w:p>
    <w:p w14:paraId="44F3E0E3" w14:textId="14F76AE7" w:rsidR="009C430B" w:rsidRDefault="009C430B" w:rsidP="00464D53">
      <w:pPr>
        <w:pStyle w:val="ListParagraph"/>
        <w:numPr>
          <w:ilvl w:val="0"/>
          <w:numId w:val="22"/>
        </w:numPr>
        <w:jc w:val="both"/>
      </w:pPr>
      <w:r>
        <w:t>Claim Payment Uncertainty</w:t>
      </w:r>
      <w:r w:rsidR="00332C09">
        <w:t xml:space="preserve">:  </w:t>
      </w:r>
      <w:r w:rsidR="002264B6">
        <w:t>D</w:t>
      </w:r>
      <w:r w:rsidR="00332C09">
        <w:t>isallowance</w:t>
      </w:r>
      <w:r w:rsidR="002264B6">
        <w:t>s</w:t>
      </w:r>
      <w:r w:rsidR="00332C09">
        <w:t xml:space="preserve"> and curtailment</w:t>
      </w:r>
      <w:r w:rsidR="002264B6">
        <w:t xml:space="preserve">s </w:t>
      </w:r>
      <w:r w:rsidR="00332C09">
        <w:t xml:space="preserve">create uncertainty </w:t>
      </w:r>
      <w:r w:rsidR="002264B6">
        <w:t xml:space="preserve">in the </w:t>
      </w:r>
      <w:r w:rsidR="006D698A">
        <w:t xml:space="preserve">MI claim </w:t>
      </w:r>
      <w:r w:rsidR="002264B6">
        <w:t xml:space="preserve">process </w:t>
      </w:r>
      <w:r w:rsidR="00332C09">
        <w:t xml:space="preserve">since the actual claim payment </w:t>
      </w:r>
      <w:r w:rsidR="002264B6">
        <w:t>amount is not known until the payment occurs.  This</w:t>
      </w:r>
      <w:r w:rsidR="00332C09">
        <w:t xml:space="preserve"> uncertainty is aggravated by </w:t>
      </w:r>
      <w:r w:rsidR="002264B6">
        <w:t>a lack of standardization across the MI industry.  E</w:t>
      </w:r>
      <w:r>
        <w:t xml:space="preserve">ach MI company </w:t>
      </w:r>
      <w:r w:rsidR="002264B6">
        <w:t xml:space="preserve">follows their own internal policies to </w:t>
      </w:r>
      <w:r>
        <w:t xml:space="preserve">determine </w:t>
      </w:r>
      <w:r w:rsidR="00D12DE0">
        <w:t xml:space="preserve">their </w:t>
      </w:r>
      <w:r w:rsidR="002264B6">
        <w:t>approach to curtailments, making actual claim payments difficult to predict industry-wide</w:t>
      </w:r>
      <w:r w:rsidR="00387EA8">
        <w:t xml:space="preserve">, although generally the </w:t>
      </w:r>
      <w:proofErr w:type="spellStart"/>
      <w:r w:rsidR="00387EA8">
        <w:t>there</w:t>
      </w:r>
      <w:proofErr w:type="spellEnd"/>
      <w:r w:rsidR="00387EA8">
        <w:t xml:space="preserve"> have been trends toward closer alignment in recent years</w:t>
      </w:r>
      <w:r w:rsidR="002264B6">
        <w:t>.</w:t>
      </w:r>
    </w:p>
    <w:p w14:paraId="3E0DFD9B" w14:textId="73FA7549" w:rsidR="009C430B" w:rsidRDefault="009C430B" w:rsidP="00464D53">
      <w:pPr>
        <w:pStyle w:val="ListParagraph"/>
        <w:numPr>
          <w:ilvl w:val="0"/>
          <w:numId w:val="22"/>
        </w:numPr>
        <w:jc w:val="both"/>
      </w:pPr>
      <w:r>
        <w:t>Processing</w:t>
      </w:r>
      <w:r w:rsidR="004031B6">
        <w:t xml:space="preserve"> and Staffing</w:t>
      </w:r>
      <w:r>
        <w:t xml:space="preserve"> Burden</w:t>
      </w:r>
      <w:r w:rsidR="00723671">
        <w:t>s</w:t>
      </w:r>
      <w:r w:rsidR="006D698A">
        <w:t xml:space="preserve">:  </w:t>
      </w:r>
      <w:r w:rsidR="00FC124C">
        <w:t>MI companies review,</w:t>
      </w:r>
      <w:r w:rsidR="006D698A">
        <w:t xml:space="preserve"> decision</w:t>
      </w:r>
      <w:r w:rsidR="00FC124C">
        <w:t>, and pay</w:t>
      </w:r>
      <w:r w:rsidR="006D698A">
        <w:t xml:space="preserve"> </w:t>
      </w:r>
      <w:r w:rsidR="008B5FA8">
        <w:t xml:space="preserve">each claim individually for </w:t>
      </w:r>
      <w:r w:rsidR="006D698A">
        <w:t xml:space="preserve">disallowance and curtailment </w:t>
      </w:r>
      <w:r w:rsidR="008B5FA8">
        <w:t>issues.</w:t>
      </w:r>
      <w:r w:rsidR="00FC124C">
        <w:t xml:space="preserve"> </w:t>
      </w:r>
      <w:r w:rsidR="00332C09">
        <w:t xml:space="preserve"> </w:t>
      </w:r>
      <w:r w:rsidR="00FC124C">
        <w:t xml:space="preserve">As a result, each claim payment is </w:t>
      </w:r>
      <w:r w:rsidR="00823B08">
        <w:t xml:space="preserve">also </w:t>
      </w:r>
      <w:r w:rsidR="00FC124C">
        <w:t xml:space="preserve">processed </w:t>
      </w:r>
      <w:r w:rsidR="00FC124C">
        <w:lastRenderedPageBreak/>
        <w:t>individually by Fannie Mae</w:t>
      </w:r>
      <w:r w:rsidR="000D618E">
        <w:t xml:space="preserve"> and its servicers</w:t>
      </w:r>
      <w:r w:rsidR="00FC124C">
        <w:t xml:space="preserve">.  Processing every claim individually creates a significant staffing burden for </w:t>
      </w:r>
      <w:r w:rsidR="000D618E">
        <w:t>all parties involved</w:t>
      </w:r>
      <w:r w:rsidR="001D7151">
        <w:t>.  This burden is a</w:t>
      </w:r>
      <w:r w:rsidR="00FC124C">
        <w:t xml:space="preserve">ggravated by the </w:t>
      </w:r>
      <w:r w:rsidR="001D7151">
        <w:t xml:space="preserve">additional staff needed to process curtailment </w:t>
      </w:r>
      <w:r w:rsidR="00FC124C">
        <w:t>rebuttal</w:t>
      </w:r>
      <w:r w:rsidR="00B01D72">
        <w:t xml:space="preserve">s. </w:t>
      </w:r>
      <w:r w:rsidR="00FC124C">
        <w:t xml:space="preserve"> </w:t>
      </w:r>
      <w:r w:rsidR="008B5FA8">
        <w:t>In 2015, Fannie Mae</w:t>
      </w:r>
      <w:r w:rsidR="00FC124C">
        <w:t>’s outsourcing cost for managing the MI claims process</w:t>
      </w:r>
      <w:r w:rsidR="001D7151">
        <w:t>, including rebuttals,</w:t>
      </w:r>
      <w:r w:rsidR="00FC124C">
        <w:t xml:space="preserve"> was </w:t>
      </w:r>
      <w:r w:rsidR="00D12DE0" w:rsidRPr="00D12DE0">
        <w:t>$1.6</w:t>
      </w:r>
      <w:r w:rsidR="002E0A47">
        <w:t xml:space="preserve"> million</w:t>
      </w:r>
      <w:r w:rsidR="00654C18">
        <w:t xml:space="preserve">, not counting any ancillary expenses associated with other teams at Fannie Mae indirectly who exist with coordinating servicer conversations </w:t>
      </w:r>
      <w:r w:rsidR="008B5FA8" w:rsidRPr="008B5FA8">
        <w:t>.</w:t>
      </w:r>
    </w:p>
    <w:p w14:paraId="39C6FA60" w14:textId="77777777" w:rsidR="006D698A" w:rsidRDefault="006D698A" w:rsidP="00464D53">
      <w:pPr>
        <w:jc w:val="both"/>
      </w:pPr>
    </w:p>
    <w:p w14:paraId="49230FC1" w14:textId="4D30C7E4" w:rsidR="00AF734D" w:rsidRDefault="009C430B" w:rsidP="00464D53">
      <w:pPr>
        <w:pStyle w:val="ListParagraph"/>
        <w:numPr>
          <w:ilvl w:val="0"/>
          <w:numId w:val="22"/>
        </w:numPr>
        <w:jc w:val="both"/>
      </w:pPr>
      <w:r>
        <w:t>Extended Timelines</w:t>
      </w:r>
      <w:r w:rsidR="00B01D72">
        <w:t xml:space="preserve">:  Curtailment rebuttals cause significant delays in receiving the full MI claim payment.  </w:t>
      </w:r>
      <w:r w:rsidR="00654C18">
        <w:t xml:space="preserve">Rebutting of curtailments involves explaining in detail any events associated with the foreclosure process which had adverse effects on timelines, which is document intensive.  </w:t>
      </w:r>
      <w:r w:rsidR="00B01D72">
        <w:t xml:space="preserve">Settling rebuttals </w:t>
      </w:r>
      <w:r w:rsidR="00654C18">
        <w:t xml:space="preserve">for final decisions on payments </w:t>
      </w:r>
      <w:r w:rsidR="00B01D72">
        <w:t xml:space="preserve">requires significant back and forth between the servicers, the MI companies, and Fannie Mae that can take up to </w:t>
      </w:r>
      <w:r w:rsidR="005662E8">
        <w:t>two or more years</w:t>
      </w:r>
      <w:r w:rsidR="00B01D72">
        <w:t>.</w:t>
      </w:r>
    </w:p>
    <w:p w14:paraId="4090D2CE" w14:textId="58E3AC2D" w:rsidR="002C354F" w:rsidRDefault="002C354F" w:rsidP="000D3A23"/>
    <w:p w14:paraId="0EF3FE1C" w14:textId="77777777" w:rsidR="002C354F" w:rsidRDefault="003F5370" w:rsidP="004A3317">
      <w:pPr>
        <w:rPr>
          <w:u w:val="single"/>
        </w:rPr>
      </w:pPr>
      <w:r w:rsidRPr="009E5261">
        <w:rPr>
          <w:u w:val="single"/>
        </w:rPr>
        <w:t>Historical Approach</w:t>
      </w:r>
    </w:p>
    <w:p w14:paraId="41682069" w14:textId="690938AC" w:rsidR="00577BDD" w:rsidRDefault="00FC3EA0" w:rsidP="00464D53">
      <w:pPr>
        <w:jc w:val="both"/>
      </w:pPr>
      <w:r>
        <w:t>Historically</w:t>
      </w:r>
      <w:r w:rsidR="003D0BC1">
        <w:t>, a</w:t>
      </w:r>
      <w:r w:rsidR="0070078F">
        <w:t xml:space="preserve"> different</w:t>
      </w:r>
      <w:r w:rsidR="003D0BC1">
        <w:t xml:space="preserve"> f</w:t>
      </w:r>
      <w:r w:rsidR="00933B32">
        <w:t>actor approach</w:t>
      </w:r>
      <w:r w:rsidR="001064B1">
        <w:t xml:space="preserve"> was in use to address curtailment issues.  This approach</w:t>
      </w:r>
      <w:r w:rsidR="006A6806">
        <w:t>, kn</w:t>
      </w:r>
      <w:r w:rsidR="0067230D">
        <w:t>own as streamline f</w:t>
      </w:r>
      <w:r w:rsidR="006A6806">
        <w:t>actor,</w:t>
      </w:r>
      <w:r w:rsidR="00933B32">
        <w:t xml:space="preserve"> </w:t>
      </w:r>
      <w:r w:rsidR="00836889">
        <w:t xml:space="preserve">settled claims by using a UPB </w:t>
      </w:r>
      <w:r w:rsidR="00ED2258">
        <w:t>multiplier</w:t>
      </w:r>
      <w:r w:rsidR="00836889">
        <w:t xml:space="preserve"> that accounted for interest and foreclosure costs</w:t>
      </w:r>
      <w:r w:rsidR="00577BDD">
        <w:t>.  For ex</w:t>
      </w:r>
      <w:r w:rsidR="0067230D">
        <w:t xml:space="preserve">ample, if the UPB was $100,000 and </w:t>
      </w:r>
      <w:r w:rsidR="00577BDD">
        <w:t xml:space="preserve">the </w:t>
      </w:r>
      <w:r w:rsidR="0067230D">
        <w:t>s</w:t>
      </w:r>
      <w:r w:rsidR="00577BDD">
        <w:t xml:space="preserve">treamline factor </w:t>
      </w:r>
      <w:r w:rsidR="00535216">
        <w:t xml:space="preserve">was </w:t>
      </w:r>
      <w:r w:rsidR="00577BDD">
        <w:t xml:space="preserve">116%, </w:t>
      </w:r>
      <w:r w:rsidR="00535216">
        <w:t xml:space="preserve">then </w:t>
      </w:r>
      <w:r w:rsidR="00577BDD">
        <w:t xml:space="preserve">the final claim amount </w:t>
      </w:r>
      <w:r w:rsidR="00535216">
        <w:t xml:space="preserve">would have been </w:t>
      </w:r>
      <w:r w:rsidR="00577BDD">
        <w:t xml:space="preserve">$116,000.  </w:t>
      </w:r>
      <w:r w:rsidR="00F47F50">
        <w:t>The</w:t>
      </w:r>
      <w:r w:rsidR="00577BDD">
        <w:t xml:space="preserve"> factor was updated annually based on a rolling two-year window </w:t>
      </w:r>
      <w:r w:rsidR="003B376F">
        <w:t>of actual default data</w:t>
      </w:r>
      <w:r w:rsidR="00914080">
        <w:t>,</w:t>
      </w:r>
      <w:r w:rsidR="003B376F">
        <w:t xml:space="preserve"> </w:t>
      </w:r>
      <w:r w:rsidR="00577BDD">
        <w:t>and</w:t>
      </w:r>
      <w:r w:rsidR="00914080">
        <w:t xml:space="preserve"> </w:t>
      </w:r>
      <w:r w:rsidR="00F47F50">
        <w:t xml:space="preserve">it </w:t>
      </w:r>
      <w:r w:rsidR="00577BDD">
        <w:t>was</w:t>
      </w:r>
      <w:r w:rsidR="00914080">
        <w:t xml:space="preserve"> applied as a </w:t>
      </w:r>
      <w:r w:rsidR="00577BDD">
        <w:t xml:space="preserve">single </w:t>
      </w:r>
      <w:r w:rsidR="00914080">
        <w:t xml:space="preserve">multiplier </w:t>
      </w:r>
      <w:r w:rsidR="00577BDD">
        <w:t>in each year for each state.</w:t>
      </w:r>
    </w:p>
    <w:p w14:paraId="52B02460" w14:textId="77777777" w:rsidR="00577BDD" w:rsidRDefault="00577BDD" w:rsidP="00464D53">
      <w:pPr>
        <w:jc w:val="both"/>
      </w:pPr>
    </w:p>
    <w:p w14:paraId="4A70549C" w14:textId="412E4B27" w:rsidR="0050041C" w:rsidRDefault="00655FDC" w:rsidP="00464D53">
      <w:pPr>
        <w:jc w:val="both"/>
      </w:pPr>
      <w:r>
        <w:t xml:space="preserve">There were a number of issues with the </w:t>
      </w:r>
      <w:r w:rsidR="00F47F50">
        <w:t xml:space="preserve">historical </w:t>
      </w:r>
      <w:r>
        <w:t>s</w:t>
      </w:r>
      <w:r w:rsidR="00F47F50">
        <w:t>treamline factor approach</w:t>
      </w:r>
      <w:r>
        <w:t xml:space="preserve"> that limited its ability to capture changing</w:t>
      </w:r>
      <w:r w:rsidR="00C37351">
        <w:t xml:space="preserve"> market</w:t>
      </w:r>
      <w:r>
        <w:t xml:space="preserve"> dynamics</w:t>
      </w:r>
      <w:r w:rsidR="00C37351">
        <w:t xml:space="preserve">.  </w:t>
      </w:r>
      <w:r w:rsidR="00732D34">
        <w:t>T</w:t>
      </w:r>
      <w:r w:rsidR="0060632E">
        <w:t xml:space="preserve">he </w:t>
      </w:r>
      <w:r w:rsidR="000F2357">
        <w:t>h</w:t>
      </w:r>
      <w:r w:rsidR="0050041C">
        <w:t xml:space="preserve">ousing collapse </w:t>
      </w:r>
      <w:r w:rsidR="00732D34">
        <w:t>caused</w:t>
      </w:r>
      <w:r w:rsidR="0060632E">
        <w:t xml:space="preserve"> major </w:t>
      </w:r>
      <w:r w:rsidR="000F2357">
        <w:t>changes</w:t>
      </w:r>
      <w:r w:rsidR="0060632E">
        <w:t xml:space="preserve"> in </w:t>
      </w:r>
      <w:r w:rsidR="00732D34">
        <w:t xml:space="preserve">default volumes, </w:t>
      </w:r>
      <w:r w:rsidR="0060632E">
        <w:t xml:space="preserve">foreclosure timelines, </w:t>
      </w:r>
      <w:r w:rsidR="00732D34">
        <w:t xml:space="preserve">foreclosure </w:t>
      </w:r>
      <w:r w:rsidR="0060632E">
        <w:t>procedures,</w:t>
      </w:r>
      <w:r w:rsidR="0087498A">
        <w:t xml:space="preserve"> and</w:t>
      </w:r>
      <w:r w:rsidR="00781164">
        <w:t xml:space="preserve"> </w:t>
      </w:r>
      <w:r w:rsidR="00732D34">
        <w:t xml:space="preserve">foreclosure </w:t>
      </w:r>
      <w:r w:rsidR="0060632E">
        <w:t>costs</w:t>
      </w:r>
      <w:r w:rsidR="00092708">
        <w:t>.  Additionally, w</w:t>
      </w:r>
      <w:r w:rsidR="00781164">
        <w:t>ith</w:t>
      </w:r>
      <w:r w:rsidR="0060632E">
        <w:t xml:space="preserve"> </w:t>
      </w:r>
      <w:r w:rsidR="00781164">
        <w:t xml:space="preserve">higher-value properties defaulting, </w:t>
      </w:r>
      <w:r w:rsidR="000F2357">
        <w:t>there were changes in</w:t>
      </w:r>
      <w:r w:rsidR="00732D34">
        <w:t xml:space="preserve"> </w:t>
      </w:r>
      <w:r w:rsidR="008256E9">
        <w:t xml:space="preserve">the types of </w:t>
      </w:r>
      <w:r w:rsidR="00732D34">
        <w:t>loan</w:t>
      </w:r>
      <w:r w:rsidR="008256E9">
        <w:t>s</w:t>
      </w:r>
      <w:r w:rsidR="00732D34" w:rsidRPr="00732D34">
        <w:t xml:space="preserve"> </w:t>
      </w:r>
      <w:r w:rsidR="008256E9">
        <w:t xml:space="preserve">that </w:t>
      </w:r>
      <w:r w:rsidR="00092708">
        <w:t xml:space="preserve">were </w:t>
      </w:r>
      <w:r w:rsidR="0060632E">
        <w:t>default</w:t>
      </w:r>
      <w:r w:rsidR="00092708">
        <w:t>ing</w:t>
      </w:r>
      <w:r w:rsidR="0060632E">
        <w:t>.</w:t>
      </w:r>
      <w:r w:rsidR="00B529CB">
        <w:t xml:space="preserve">  </w:t>
      </w:r>
      <w:r w:rsidR="00092708">
        <w:t>T</w:t>
      </w:r>
      <w:r w:rsidR="00B529CB">
        <w:t xml:space="preserve">he streamline factor’s </w:t>
      </w:r>
      <w:r w:rsidR="00092708">
        <w:t>specification was un</w:t>
      </w:r>
      <w:r w:rsidR="00B529CB">
        <w:t>ab</w:t>
      </w:r>
      <w:r w:rsidR="00092708">
        <w:t>le</w:t>
      </w:r>
      <w:r w:rsidR="00B529CB">
        <w:t xml:space="preserve"> to reflect these market changes</w:t>
      </w:r>
      <w:r w:rsidR="0050041C">
        <w:t>,</w:t>
      </w:r>
      <w:r w:rsidR="00092708">
        <w:t xml:space="preserve"> and</w:t>
      </w:r>
      <w:r w:rsidR="0050041C">
        <w:t xml:space="preserve"> almost all of the MI companies using th</w:t>
      </w:r>
      <w:r w:rsidR="00092708">
        <w:t>is</w:t>
      </w:r>
      <w:r w:rsidR="0050041C">
        <w:t xml:space="preserve"> approach opted out during the </w:t>
      </w:r>
      <w:r w:rsidR="00092708">
        <w:t>crisis</w:t>
      </w:r>
      <w:r w:rsidR="0050041C">
        <w:t>.</w:t>
      </w:r>
    </w:p>
    <w:p w14:paraId="526AC76D" w14:textId="77777777" w:rsidR="0050041C" w:rsidRDefault="0050041C" w:rsidP="00464D53">
      <w:pPr>
        <w:jc w:val="both"/>
      </w:pPr>
    </w:p>
    <w:p w14:paraId="657189DF" w14:textId="6FCCD650" w:rsidR="00B30710" w:rsidRDefault="001C1F49" w:rsidP="00464D53">
      <w:pPr>
        <w:jc w:val="both"/>
      </w:pPr>
      <w:r>
        <w:t>The</w:t>
      </w:r>
      <w:r w:rsidR="00DA2020" w:rsidRPr="001C1F49">
        <w:t xml:space="preserve"> </w:t>
      </w:r>
      <w:r>
        <w:t xml:space="preserve">historical </w:t>
      </w:r>
      <w:r w:rsidR="004E031D">
        <w:t xml:space="preserve">specification for streamline </w:t>
      </w:r>
      <w:r>
        <w:t xml:space="preserve">factor </w:t>
      </w:r>
      <w:r w:rsidR="004E031D">
        <w:t>was unable to capture market changes for three reasons</w:t>
      </w:r>
      <w:r>
        <w:t>:  it lack</w:t>
      </w:r>
      <w:r w:rsidR="004E031D">
        <w:t>ed granularity by loan characteristics</w:t>
      </w:r>
      <w:r>
        <w:t>, it did not capture</w:t>
      </w:r>
      <w:r w:rsidR="00815C05">
        <w:t xml:space="preserve"> the</w:t>
      </w:r>
      <w:r>
        <w:t xml:space="preserve"> extending foreclosure timelines</w:t>
      </w:r>
      <w:r w:rsidR="00815C05">
        <w:t xml:space="preserve"> or the MI companies’ </w:t>
      </w:r>
      <w:r w:rsidR="008850FE">
        <w:t xml:space="preserve">foreclosure </w:t>
      </w:r>
      <w:r w:rsidR="00815C05">
        <w:t>timeline policies</w:t>
      </w:r>
      <w:r>
        <w:t>, and it ignored preferred liquidation strategies.</w:t>
      </w:r>
    </w:p>
    <w:p w14:paraId="4FC311B8" w14:textId="77777777" w:rsidR="004A3317" w:rsidRDefault="004A3317" w:rsidP="004A3317"/>
    <w:p w14:paraId="098B944B" w14:textId="03C450E1" w:rsidR="00864EAB" w:rsidRDefault="00174B30" w:rsidP="00464D53">
      <w:pPr>
        <w:pStyle w:val="ListParagraph"/>
        <w:numPr>
          <w:ilvl w:val="0"/>
          <w:numId w:val="22"/>
        </w:numPr>
        <w:jc w:val="both"/>
      </w:pPr>
      <w:r>
        <w:t>Lack of Granularity:</w:t>
      </w:r>
      <w:r w:rsidR="00034630">
        <w:t xml:space="preserve">  </w:t>
      </w:r>
      <w:r w:rsidR="00C366F0">
        <w:t xml:space="preserve">The lack of granularity </w:t>
      </w:r>
      <w:r w:rsidR="00B53214">
        <w:t>is</w:t>
      </w:r>
      <w:r w:rsidR="00C366F0">
        <w:t xml:space="preserve"> the</w:t>
      </w:r>
      <w:r w:rsidR="003C3297">
        <w:t xml:space="preserve"> primary issue </w:t>
      </w:r>
      <w:r w:rsidR="00C366F0">
        <w:t xml:space="preserve">with </w:t>
      </w:r>
      <w:r w:rsidR="003C3297">
        <w:t xml:space="preserve">the </w:t>
      </w:r>
      <w:r w:rsidR="00B53214">
        <w:t xml:space="preserve">historical </w:t>
      </w:r>
      <w:r w:rsidR="003C3297">
        <w:t>streamline factor.</w:t>
      </w:r>
      <w:r w:rsidR="00864EAB">
        <w:t xml:space="preserve">  Since </w:t>
      </w:r>
      <w:r w:rsidR="00B53214">
        <w:t xml:space="preserve">state was </w:t>
      </w:r>
      <w:r w:rsidR="00864EAB">
        <w:t xml:space="preserve">the only loan characteristic used, no changes in the default distribution </w:t>
      </w:r>
      <w:r w:rsidR="00B621DE">
        <w:t xml:space="preserve">by any other important loan characteristic </w:t>
      </w:r>
      <w:r w:rsidR="00F90313">
        <w:t>were captured</w:t>
      </w:r>
      <w:r w:rsidR="00864EAB">
        <w:t>.</w:t>
      </w:r>
      <w:r w:rsidR="00394066">
        <w:t xml:space="preserve">  This would often cause substantial variation between claims processed using actual data versus those using the factor.</w:t>
      </w:r>
    </w:p>
    <w:p w14:paraId="4AC4A98F" w14:textId="77777777" w:rsidR="00071FF3" w:rsidRDefault="00864EAB" w:rsidP="00464D53">
      <w:pPr>
        <w:pStyle w:val="ListParagraph"/>
        <w:jc w:val="both"/>
      </w:pPr>
      <w:r>
        <w:t xml:space="preserve"> </w:t>
      </w:r>
    </w:p>
    <w:p w14:paraId="75A9A225" w14:textId="2805E731" w:rsidR="00B6554D" w:rsidRDefault="00407E46" w:rsidP="00464D53">
      <w:pPr>
        <w:pStyle w:val="ListParagraph"/>
        <w:numPr>
          <w:ilvl w:val="0"/>
          <w:numId w:val="22"/>
        </w:numPr>
        <w:jc w:val="both"/>
      </w:pPr>
      <w:r>
        <w:t xml:space="preserve">Foreclosure Timelines:  </w:t>
      </w:r>
      <w:r w:rsidR="001C39FE">
        <w:t xml:space="preserve">As the housing collapse </w:t>
      </w:r>
      <w:r w:rsidR="00394066">
        <w:t>protracted</w:t>
      </w:r>
      <w:r w:rsidR="003E74DB">
        <w:t>, many states were unable to efficiently process the increased foreclosure volumes</w:t>
      </w:r>
      <w:r w:rsidR="004B3D72">
        <w:t>, resulting in significantly extended foreclosure timelines</w:t>
      </w:r>
      <w:r w:rsidR="003E74DB">
        <w:t>.  Since the historical factor did not account for</w:t>
      </w:r>
      <w:r w:rsidR="00394066">
        <w:t xml:space="preserve"> these extreme</w:t>
      </w:r>
      <w:r w:rsidR="003E74DB">
        <w:t xml:space="preserve"> </w:t>
      </w:r>
      <w:r w:rsidR="004B3D72">
        <w:t xml:space="preserve">variations in the </w:t>
      </w:r>
      <w:r w:rsidR="003E74DB">
        <w:t>timeline</w:t>
      </w:r>
      <w:r w:rsidR="004B3D72">
        <w:t>s</w:t>
      </w:r>
      <w:r w:rsidR="00E41212">
        <w:t xml:space="preserve">, </w:t>
      </w:r>
      <w:r w:rsidR="004B3D72">
        <w:t xml:space="preserve">at the beginning of the crisis, it was </w:t>
      </w:r>
      <w:r w:rsidR="00B6554D">
        <w:t xml:space="preserve">not </w:t>
      </w:r>
      <w:r w:rsidR="004B3D72">
        <w:t xml:space="preserve">able to </w:t>
      </w:r>
      <w:r w:rsidR="00B6554D">
        <w:t>keep up with the market</w:t>
      </w:r>
      <w:r w:rsidR="00E41212">
        <w:t>.</w:t>
      </w:r>
      <w:r w:rsidR="001511FA">
        <w:t xml:space="preserve">  As the housing </w:t>
      </w:r>
      <w:r w:rsidR="004B3D72">
        <w:t>crisis</w:t>
      </w:r>
      <w:r w:rsidR="001511FA">
        <w:t xml:space="preserve"> matured, </w:t>
      </w:r>
      <w:r w:rsidR="004B3D72">
        <w:t xml:space="preserve">the extended timelines began to be reflected in the </w:t>
      </w:r>
      <w:r w:rsidR="00897759">
        <w:t xml:space="preserve">estimation </w:t>
      </w:r>
      <w:r w:rsidR="004B3D72">
        <w:t xml:space="preserve">data and thus in the streamline factor.  At this point, however, the actual </w:t>
      </w:r>
      <w:r w:rsidR="001511FA">
        <w:t>foreclosure timelines extended beyond what was allowe</w:t>
      </w:r>
      <w:r w:rsidR="004B3D72">
        <w:t xml:space="preserve">d by the MI companies’ policies, </w:t>
      </w:r>
      <w:r w:rsidR="005A67FD">
        <w:t>and</w:t>
      </w:r>
      <w:r w:rsidR="004B3D72">
        <w:t xml:space="preserve"> there was no </w:t>
      </w:r>
      <w:r w:rsidR="009A5B0F">
        <w:t>mechanism</w:t>
      </w:r>
      <w:r w:rsidR="00421968">
        <w:t xml:space="preserve"> in place </w:t>
      </w:r>
      <w:r w:rsidR="008E3E21">
        <w:t xml:space="preserve">to </w:t>
      </w:r>
      <w:r w:rsidR="004B3D72">
        <w:t>cap the timelines</w:t>
      </w:r>
      <w:r w:rsidR="008E3E21">
        <w:t xml:space="preserve"> per the MI policies</w:t>
      </w:r>
      <w:r w:rsidR="004B3D72">
        <w:t>.</w:t>
      </w:r>
    </w:p>
    <w:p w14:paraId="07BE656C" w14:textId="77777777" w:rsidR="004A3317" w:rsidRDefault="004A3317" w:rsidP="004A3317"/>
    <w:p w14:paraId="2E459D01" w14:textId="26571E44" w:rsidR="00E30CD4" w:rsidRDefault="00E30CD4" w:rsidP="00464D53">
      <w:pPr>
        <w:pStyle w:val="ListParagraph"/>
        <w:numPr>
          <w:ilvl w:val="0"/>
          <w:numId w:val="22"/>
        </w:numPr>
        <w:jc w:val="both"/>
      </w:pPr>
      <w:r>
        <w:lastRenderedPageBreak/>
        <w:t xml:space="preserve">Preferred Liquidation Strategies:  </w:t>
      </w:r>
      <w:r w:rsidR="00C26698">
        <w:t>D</w:t>
      </w:r>
      <w:r w:rsidR="004E14DB">
        <w:t>uring the housing collapse</w:t>
      </w:r>
      <w:r>
        <w:t>,</w:t>
      </w:r>
      <w:r w:rsidR="004E14DB">
        <w:t xml:space="preserve"> liquidation </w:t>
      </w:r>
      <w:r>
        <w:t xml:space="preserve">alternatives </w:t>
      </w:r>
      <w:r w:rsidR="004E14DB">
        <w:t xml:space="preserve">such as </w:t>
      </w:r>
      <w:r w:rsidR="004E14DB" w:rsidRPr="00C818C6">
        <w:t>short sales, third party sales</w:t>
      </w:r>
      <w:r w:rsidR="00C818C6" w:rsidRPr="00C818C6">
        <w:t xml:space="preserve"> (TPS)</w:t>
      </w:r>
      <w:r w:rsidR="004E14DB" w:rsidRPr="00C818C6">
        <w:t>, and deeds in lieu of foreclosure</w:t>
      </w:r>
      <w:r w:rsidR="00C818C6" w:rsidRPr="00C818C6">
        <w:t xml:space="preserve"> (DIL)</w:t>
      </w:r>
      <w:r w:rsidR="004E14DB">
        <w:t xml:space="preserve"> </w:t>
      </w:r>
      <w:r w:rsidR="00C26698">
        <w:t>became standard</w:t>
      </w:r>
      <w:r w:rsidR="00394066">
        <w:t xml:space="preserve"> options for Fannie Mae and its servicers to pursue</w:t>
      </w:r>
      <w:r w:rsidR="00C26698">
        <w:t>; however, the historical stre</w:t>
      </w:r>
      <w:r w:rsidR="00FC35F0">
        <w:t>amline factor only considered the</w:t>
      </w:r>
      <w:r w:rsidR="00C818C6">
        <w:t xml:space="preserve"> </w:t>
      </w:r>
      <w:r w:rsidR="00C26698">
        <w:t xml:space="preserve">REO </w:t>
      </w:r>
      <w:r w:rsidR="00FC35F0">
        <w:t>disposition type</w:t>
      </w:r>
      <w:r w:rsidR="00C26698">
        <w:t>.  T</w:t>
      </w:r>
      <w:r w:rsidR="004E14DB">
        <w:t xml:space="preserve">hese </w:t>
      </w:r>
      <w:r w:rsidR="00FC35F0">
        <w:t xml:space="preserve">alternative </w:t>
      </w:r>
      <w:r w:rsidR="00C26698">
        <w:t>liquidation</w:t>
      </w:r>
      <w:r w:rsidR="00FC35F0">
        <w:t xml:space="preserve"> strategies</w:t>
      </w:r>
      <w:r w:rsidR="00C26698">
        <w:t xml:space="preserve"> </w:t>
      </w:r>
      <w:r>
        <w:t xml:space="preserve">result in </w:t>
      </w:r>
      <w:r w:rsidR="00FC35F0">
        <w:t xml:space="preserve">savings on </w:t>
      </w:r>
      <w:r w:rsidR="004E14DB">
        <w:t xml:space="preserve">foreclosure </w:t>
      </w:r>
      <w:r>
        <w:t>cost</w:t>
      </w:r>
      <w:r w:rsidR="00FC35F0">
        <w:t>s</w:t>
      </w:r>
      <w:r>
        <w:t xml:space="preserve"> </w:t>
      </w:r>
      <w:r w:rsidR="004E14DB">
        <w:t>as compared to</w:t>
      </w:r>
      <w:r w:rsidR="00B522DF">
        <w:t xml:space="preserve"> an</w:t>
      </w:r>
      <w:r w:rsidR="004E14DB">
        <w:t xml:space="preserve"> </w:t>
      </w:r>
      <w:r>
        <w:t>REO</w:t>
      </w:r>
      <w:r w:rsidR="00B522DF">
        <w:t xml:space="preserve"> outcome</w:t>
      </w:r>
      <w:r w:rsidR="00C26698">
        <w:t>, and the historical factor did not capture these savings.</w:t>
      </w:r>
    </w:p>
    <w:p w14:paraId="3FA4EEC1" w14:textId="77777777" w:rsidR="00E30CD4" w:rsidRDefault="00E30CD4" w:rsidP="004A3317"/>
    <w:p w14:paraId="35682F37" w14:textId="0DB5745B" w:rsidR="004A3317" w:rsidRDefault="00381A1A" w:rsidP="00464D53">
      <w:pPr>
        <w:jc w:val="both"/>
      </w:pPr>
      <w:r>
        <w:t xml:space="preserve">The </w:t>
      </w:r>
      <w:r w:rsidR="00FC35F0">
        <w:t xml:space="preserve">specification for the proposed </w:t>
      </w:r>
      <w:r>
        <w:t xml:space="preserve">new MI Factor </w:t>
      </w:r>
      <w:r w:rsidR="00FC35F0">
        <w:t xml:space="preserve">is </w:t>
      </w:r>
      <w:r>
        <w:t>designed to address the</w:t>
      </w:r>
      <w:r w:rsidR="00923D0C">
        <w:t>se</w:t>
      </w:r>
      <w:r>
        <w:t xml:space="preserve"> weaknesses in the historical streamline factor</w:t>
      </w:r>
      <w:r w:rsidR="00FC35F0">
        <w:t>’s</w:t>
      </w:r>
      <w:r>
        <w:t xml:space="preserve"> approach.</w:t>
      </w:r>
      <w:r w:rsidR="00890528">
        <w:t xml:space="preserve">  </w:t>
      </w:r>
      <w:r w:rsidR="00916A57">
        <w:t xml:space="preserve">Increased granularity by key loan characteristics provides the </w:t>
      </w:r>
      <w:r w:rsidR="00FC35F0">
        <w:t xml:space="preserve">proposed </w:t>
      </w:r>
      <w:r w:rsidR="00916A57">
        <w:t xml:space="preserve">MI Factor with the </w:t>
      </w:r>
      <w:r w:rsidR="004A3317">
        <w:t xml:space="preserve">flexibility </w:t>
      </w:r>
      <w:r w:rsidR="00916A57">
        <w:t>to c</w:t>
      </w:r>
      <w:r w:rsidR="00FC35F0">
        <w:t xml:space="preserve">apture changes in market dynamics, </w:t>
      </w:r>
      <w:r w:rsidR="00923D0C">
        <w:t>foreclosure timelines, and</w:t>
      </w:r>
      <w:r w:rsidR="004A3317">
        <w:t xml:space="preserve"> </w:t>
      </w:r>
      <w:r w:rsidR="00923D0C">
        <w:t>liquidation strategies</w:t>
      </w:r>
      <w:r w:rsidR="004A3317">
        <w:t>.</w:t>
      </w:r>
    </w:p>
    <w:p w14:paraId="78E8274B" w14:textId="77777777" w:rsidR="00085271" w:rsidRPr="00A91E5C" w:rsidRDefault="00085271" w:rsidP="002B1259"/>
    <w:p w14:paraId="7D387209" w14:textId="77777777" w:rsidR="008B5FA8" w:rsidRDefault="00B67464" w:rsidP="008B5FA8">
      <w:pPr>
        <w:rPr>
          <w:rFonts w:ascii="Arial" w:hAnsi="Arial" w:cs="Arial"/>
          <w:b/>
        </w:rPr>
      </w:pPr>
      <w:r>
        <w:rPr>
          <w:rFonts w:ascii="Arial" w:hAnsi="Arial" w:cs="Arial"/>
          <w:b/>
        </w:rPr>
        <w:t xml:space="preserve">MI FACTOR </w:t>
      </w:r>
      <w:r w:rsidR="00823656">
        <w:rPr>
          <w:rFonts w:ascii="Arial" w:hAnsi="Arial" w:cs="Arial"/>
          <w:b/>
        </w:rPr>
        <w:t>ALGORITHM</w:t>
      </w:r>
      <w:r w:rsidR="008E5348">
        <w:rPr>
          <w:rFonts w:ascii="Arial" w:hAnsi="Arial" w:cs="Arial"/>
          <w:b/>
        </w:rPr>
        <w:t xml:space="preserve"> PROPOSAL</w:t>
      </w:r>
    </w:p>
    <w:p w14:paraId="797BC4F8" w14:textId="77777777" w:rsidR="00271880" w:rsidRDefault="00271880" w:rsidP="00286F2D">
      <w:pPr>
        <w:rPr>
          <w:u w:val="single"/>
        </w:rPr>
      </w:pPr>
    </w:p>
    <w:p w14:paraId="1C40481F" w14:textId="4044C156" w:rsidR="00286F2D" w:rsidRPr="001B2717" w:rsidRDefault="00286F2D" w:rsidP="00464D53">
      <w:pPr>
        <w:jc w:val="both"/>
      </w:pPr>
      <w:r>
        <w:t>Fannie Mae proposes to simplify the MI claims process by</w:t>
      </w:r>
      <w:r w:rsidR="00BD58FE">
        <w:t xml:space="preserve"> leveraging a</w:t>
      </w:r>
      <w:r w:rsidR="00122B5A">
        <w:t>n</w:t>
      </w:r>
      <w:r w:rsidR="00BD58FE">
        <w:t xml:space="preserve"> algorithm to</w:t>
      </w:r>
      <w:r>
        <w:t xml:space="preserve"> self-disallow and </w:t>
      </w:r>
      <w:r w:rsidR="00BD58FE">
        <w:t xml:space="preserve">to </w:t>
      </w:r>
      <w:r>
        <w:t xml:space="preserve">self-curtail the MI claim amounts prior to filing the claims with the MI companies.  Leveraging </w:t>
      </w:r>
      <w:r w:rsidR="00BD58FE">
        <w:t xml:space="preserve">an </w:t>
      </w:r>
      <w:r>
        <w:t xml:space="preserve">algorithm </w:t>
      </w:r>
      <w:r w:rsidR="00BD58FE">
        <w:t xml:space="preserve">streamlines the MI claims process by removing the need to determine </w:t>
      </w:r>
      <w:r>
        <w:t>disallowances and curtailments on a claim-by-claim basis</w:t>
      </w:r>
      <w:r w:rsidR="00BD58FE">
        <w:t>.  It also</w:t>
      </w:r>
      <w:r>
        <w:t xml:space="preserve"> create</w:t>
      </w:r>
      <w:r w:rsidR="00315142">
        <w:t>s</w:t>
      </w:r>
      <w:r>
        <w:t xml:space="preserve"> greater certainty in the MI claims process and greatly reduce</w:t>
      </w:r>
      <w:r w:rsidR="00315142">
        <w:t>s the claims processing</w:t>
      </w:r>
      <w:r w:rsidR="00BD58FE">
        <w:t xml:space="preserve"> burden</w:t>
      </w:r>
      <w:r w:rsidR="00315142">
        <w:t xml:space="preserve">, </w:t>
      </w:r>
      <w:r w:rsidR="00BD58FE">
        <w:t xml:space="preserve">thereby also reducing the </w:t>
      </w:r>
      <w:r w:rsidR="00315142">
        <w:t xml:space="preserve">staffing </w:t>
      </w:r>
      <w:r>
        <w:t>burden.  Additionally, the claim payment timeline would be greatly reduced since Fannie Mae further proposes to</w:t>
      </w:r>
      <w:r w:rsidR="00277860">
        <w:t xml:space="preserve"> leverage the new proposed process to eliminate servicer curtailment billings</w:t>
      </w:r>
      <w:r>
        <w:t>.</w:t>
      </w:r>
      <w:r w:rsidR="00027062">
        <w:t xml:space="preserve">  Fannie Mae would continue to manage servicer performance at its discretion through the Compensatory Fee billing process rather than through both a Compensatory Fee and a curtailment billing, which would address servicer concerns about a duplicative penalty being associated with extended timelines.</w:t>
      </w:r>
    </w:p>
    <w:p w14:paraId="691B81A2" w14:textId="77777777" w:rsidR="00E9727B" w:rsidRDefault="00E9727B" w:rsidP="00464D53">
      <w:pPr>
        <w:jc w:val="both"/>
      </w:pPr>
    </w:p>
    <w:p w14:paraId="538239E7" w14:textId="05831C58" w:rsidR="002B5F34" w:rsidRDefault="002B5F34" w:rsidP="00464D53">
      <w:pPr>
        <w:jc w:val="both"/>
      </w:pPr>
      <w:r>
        <w:t xml:space="preserve">As a note, this document only covers the proposal for option settlements.  </w:t>
      </w:r>
      <w:r w:rsidR="00B25128">
        <w:t>Any proposals to change ‘</w:t>
      </w:r>
      <w:r>
        <w:t>Presales with influence</w:t>
      </w:r>
      <w:r w:rsidR="00B25128">
        <w:t>’</w:t>
      </w:r>
      <w:r>
        <w:t xml:space="preserve"> and </w:t>
      </w:r>
      <w:r w:rsidR="00B25128">
        <w:t>‘</w:t>
      </w:r>
      <w:r w:rsidRPr="008A3B49">
        <w:t>MI acqui</w:t>
      </w:r>
      <w:r>
        <w:t>sitions</w:t>
      </w:r>
      <w:r w:rsidR="00B25128">
        <w:t>’</w:t>
      </w:r>
      <w:r>
        <w:t xml:space="preserve"> are still being </w:t>
      </w:r>
      <w:r w:rsidR="00B25128">
        <w:t>discussed for consideration</w:t>
      </w:r>
      <w:r w:rsidRPr="008A3B49">
        <w:t>.</w:t>
      </w:r>
    </w:p>
    <w:p w14:paraId="13C820F6" w14:textId="77777777" w:rsidR="00315142" w:rsidRDefault="00315142" w:rsidP="0054796D"/>
    <w:p w14:paraId="7FA529B9" w14:textId="77777777" w:rsidR="00271880" w:rsidRPr="00271880" w:rsidRDefault="00271880" w:rsidP="0049775D">
      <w:pPr>
        <w:tabs>
          <w:tab w:val="left" w:pos="1260"/>
          <w:tab w:val="left" w:pos="5040"/>
          <w:tab w:val="left" w:pos="8640"/>
        </w:tabs>
        <w:rPr>
          <w:iCs/>
          <w:u w:val="single"/>
        </w:rPr>
      </w:pPr>
      <w:r w:rsidRPr="00271880">
        <w:rPr>
          <w:iCs/>
          <w:u w:val="single"/>
        </w:rPr>
        <w:t>Proposed MI Claim Amount Adjustments</w:t>
      </w:r>
    </w:p>
    <w:p w14:paraId="7E3E8C6C" w14:textId="77777777" w:rsidR="0049775D" w:rsidRDefault="00EB53C9" w:rsidP="00464D53">
      <w:pPr>
        <w:tabs>
          <w:tab w:val="left" w:pos="1260"/>
          <w:tab w:val="left" w:pos="5040"/>
          <w:tab w:val="left" w:pos="8640"/>
        </w:tabs>
        <w:jc w:val="both"/>
        <w:rPr>
          <w:iCs/>
        </w:rPr>
      </w:pPr>
      <w:r>
        <w:rPr>
          <w:iCs/>
        </w:rPr>
        <w:t>T</w:t>
      </w:r>
      <w:r w:rsidR="0049775D">
        <w:rPr>
          <w:iCs/>
        </w:rPr>
        <w:t>he MI claim amount is calculated as the sum of the UPB, interest, and the foreclosure costs for any given loan default.</w:t>
      </w:r>
    </w:p>
    <w:p w14:paraId="409E12EE" w14:textId="77777777" w:rsidR="0049775D" w:rsidRPr="0049775D" w:rsidRDefault="0049775D" w:rsidP="0049775D">
      <w:pPr>
        <w:tabs>
          <w:tab w:val="left" w:pos="1260"/>
          <w:tab w:val="left" w:pos="5040"/>
          <w:tab w:val="left" w:pos="8640"/>
        </w:tabs>
        <w:rPr>
          <w:iCs/>
        </w:rPr>
      </w:pPr>
    </w:p>
    <w:p w14:paraId="0B490C81" w14:textId="77777777" w:rsidR="0049775D" w:rsidRDefault="0049775D" w:rsidP="0049775D">
      <w:pPr>
        <w:tabs>
          <w:tab w:val="left" w:pos="1260"/>
          <w:tab w:val="left" w:pos="5040"/>
          <w:tab w:val="left" w:pos="8640"/>
        </w:tabs>
        <w:jc w:val="center"/>
        <w:rPr>
          <w:i/>
          <w:iCs/>
        </w:rPr>
      </w:pPr>
      <w:r>
        <w:rPr>
          <w:i/>
          <w:iCs/>
        </w:rPr>
        <w:t>MI Claim Amount = UPB + Interest + Foreclosure Costs</w:t>
      </w:r>
    </w:p>
    <w:p w14:paraId="0C7174C0" w14:textId="77777777" w:rsidR="0049775D" w:rsidRDefault="0049775D" w:rsidP="0054796D"/>
    <w:p w14:paraId="7798B2F4" w14:textId="77777777" w:rsidR="001E0E31" w:rsidRDefault="0049775D" w:rsidP="00464D53">
      <w:pPr>
        <w:jc w:val="both"/>
      </w:pPr>
      <w:r>
        <w:t>In order to simplify disallowances and curtailments, the following adjustments to the MI claim amount equation are proposed.</w:t>
      </w:r>
    </w:p>
    <w:p w14:paraId="3816263D" w14:textId="77777777" w:rsidR="0049775D" w:rsidRDefault="0049775D" w:rsidP="00464D53">
      <w:pPr>
        <w:jc w:val="both"/>
      </w:pPr>
    </w:p>
    <w:p w14:paraId="44C5C5B5" w14:textId="77777777" w:rsidR="00315142" w:rsidRDefault="00315142" w:rsidP="00464D53">
      <w:pPr>
        <w:pStyle w:val="ListParagraph"/>
        <w:numPr>
          <w:ilvl w:val="0"/>
          <w:numId w:val="24"/>
        </w:numPr>
        <w:jc w:val="both"/>
      </w:pPr>
      <w:r w:rsidRPr="0049775D">
        <w:t>UPB</w:t>
      </w:r>
      <w:r w:rsidR="0049775D" w:rsidRPr="0049775D">
        <w:t xml:space="preserve">:  </w:t>
      </w:r>
      <w:r w:rsidR="00271880">
        <w:t>No changes to the UPB component of the MI claim amount equation are proposed</w:t>
      </w:r>
      <w:r w:rsidR="00271880" w:rsidRPr="003A5F9F">
        <w:t xml:space="preserve"> </w:t>
      </w:r>
      <w:r w:rsidR="00497C4F">
        <w:t>since</w:t>
      </w:r>
      <w:r w:rsidRPr="003A5F9F">
        <w:t xml:space="preserve"> </w:t>
      </w:r>
      <w:r>
        <w:t>UPB is not impacted b</w:t>
      </w:r>
      <w:r w:rsidR="00271880">
        <w:t>y disallowances or curtailments</w:t>
      </w:r>
      <w:r>
        <w:t>.</w:t>
      </w:r>
    </w:p>
    <w:p w14:paraId="723E7888" w14:textId="77777777" w:rsidR="00315142" w:rsidRDefault="00315142" w:rsidP="00464D53">
      <w:pPr>
        <w:jc w:val="both"/>
      </w:pPr>
    </w:p>
    <w:p w14:paraId="61A2FA0E" w14:textId="77777777" w:rsidR="0049775D" w:rsidRDefault="00315142" w:rsidP="00464D53">
      <w:pPr>
        <w:pStyle w:val="ListParagraph"/>
        <w:numPr>
          <w:ilvl w:val="0"/>
          <w:numId w:val="24"/>
        </w:numPr>
        <w:jc w:val="both"/>
      </w:pPr>
      <w:r w:rsidRPr="0049775D">
        <w:t>Interest</w:t>
      </w:r>
      <w:r w:rsidR="0049775D">
        <w:t xml:space="preserve">:  </w:t>
      </w:r>
      <w:r>
        <w:t>Curtailments of the interest component of the MI claim amount calculation are driven by foreclosure timeline issues.</w:t>
      </w:r>
      <w:r w:rsidRPr="002418B8">
        <w:t xml:space="preserve"> </w:t>
      </w:r>
      <w:r>
        <w:t xml:space="preserve">The recommendation is to leverage </w:t>
      </w:r>
      <w:r w:rsidR="00565A34">
        <w:t xml:space="preserve">Fannie Mae’s </w:t>
      </w:r>
      <w:r w:rsidRPr="002418B8">
        <w:t>published foreclosure timelines</w:t>
      </w:r>
      <w:r>
        <w:t>, including allowable delays, to cap the actual foreclosure t</w:t>
      </w:r>
      <w:r w:rsidRPr="002418B8">
        <w:t>imelines</w:t>
      </w:r>
      <w:r>
        <w:t>.</w:t>
      </w:r>
      <w:r w:rsidR="0049775D">
        <w:t xml:space="preserve">  Currently, interest is calculated as follows.</w:t>
      </w:r>
    </w:p>
    <w:p w14:paraId="445FE6A5" w14:textId="77777777" w:rsidR="0049775D" w:rsidRDefault="0049775D" w:rsidP="0049775D">
      <w:pPr>
        <w:pStyle w:val="ListParagraph"/>
      </w:pPr>
    </w:p>
    <w:p w14:paraId="2E200F93" w14:textId="3E075885" w:rsidR="0049775D" w:rsidRPr="0049775D" w:rsidRDefault="0049775D" w:rsidP="0049775D">
      <w:pPr>
        <w:tabs>
          <w:tab w:val="left" w:pos="3420"/>
          <w:tab w:val="left" w:pos="8640"/>
        </w:tabs>
        <w:jc w:val="center"/>
        <w:rPr>
          <w:i/>
        </w:rPr>
      </w:pPr>
      <w:r>
        <w:rPr>
          <w:i/>
        </w:rPr>
        <w:t xml:space="preserve">Interest = UPB </w:t>
      </w:r>
      <w:r w:rsidRPr="00C10DCC">
        <w:rPr>
          <w:i/>
          <w:vertAlign w:val="subscript"/>
        </w:rPr>
        <w:t>*</w:t>
      </w:r>
      <w:r>
        <w:rPr>
          <w:i/>
        </w:rPr>
        <w:t xml:space="preserve"> (Note Rate / </w:t>
      </w:r>
      <w:r w:rsidR="00EE6EB9">
        <w:rPr>
          <w:i/>
        </w:rPr>
        <w:t>365.25</w:t>
      </w:r>
      <w:r>
        <w:rPr>
          <w:i/>
        </w:rPr>
        <w:t xml:space="preserve">) </w:t>
      </w:r>
      <w:r w:rsidRPr="00C10DCC">
        <w:rPr>
          <w:i/>
          <w:vertAlign w:val="subscript"/>
        </w:rPr>
        <w:t>*</w:t>
      </w:r>
      <w:r>
        <w:rPr>
          <w:i/>
        </w:rPr>
        <w:t xml:space="preserve"> Actual Days</w:t>
      </w:r>
    </w:p>
    <w:p w14:paraId="1F0246C2" w14:textId="77777777" w:rsidR="0049775D" w:rsidRDefault="0049775D" w:rsidP="0049775D">
      <w:pPr>
        <w:pStyle w:val="ListParagraph"/>
      </w:pPr>
    </w:p>
    <w:p w14:paraId="3561377A" w14:textId="77777777" w:rsidR="00315142" w:rsidRDefault="00315142" w:rsidP="00464D53">
      <w:pPr>
        <w:ind w:left="720"/>
        <w:jc w:val="both"/>
      </w:pPr>
      <w:r>
        <w:t xml:space="preserve">The </w:t>
      </w:r>
      <w:r w:rsidR="006A4217">
        <w:t>proposed</w:t>
      </w:r>
      <w:r w:rsidR="00210DB6">
        <w:t xml:space="preserve"> new</w:t>
      </w:r>
      <w:r>
        <w:t xml:space="preserve"> interest rate calculation is as follows.</w:t>
      </w:r>
    </w:p>
    <w:p w14:paraId="6D9A033B" w14:textId="77777777" w:rsidR="00315142" w:rsidRDefault="00315142" w:rsidP="00315142"/>
    <w:p w14:paraId="487AEC50" w14:textId="1AF49561" w:rsidR="00315142" w:rsidRPr="00315142" w:rsidRDefault="00315142" w:rsidP="00315142">
      <w:pPr>
        <w:jc w:val="center"/>
        <w:rPr>
          <w:i/>
          <w:iCs/>
        </w:rPr>
      </w:pPr>
      <w:r>
        <w:rPr>
          <w:i/>
          <w:iCs/>
        </w:rPr>
        <w:t xml:space="preserve">Interest </w:t>
      </w:r>
      <w:r w:rsidRPr="002418B8">
        <w:rPr>
          <w:i/>
          <w:iCs/>
        </w:rPr>
        <w:t xml:space="preserve">= UPB </w:t>
      </w:r>
      <w:r w:rsidRPr="002418B8">
        <w:rPr>
          <w:i/>
          <w:iCs/>
          <w:vertAlign w:val="subscript"/>
        </w:rPr>
        <w:t>*</w:t>
      </w:r>
      <w:r w:rsidRPr="002418B8">
        <w:rPr>
          <w:i/>
          <w:iCs/>
        </w:rPr>
        <w:t xml:space="preserve"> </w:t>
      </w:r>
      <w:r>
        <w:rPr>
          <w:i/>
          <w:iCs/>
        </w:rPr>
        <w:t>(</w:t>
      </w:r>
      <w:r w:rsidRPr="002418B8">
        <w:rPr>
          <w:i/>
          <w:iCs/>
        </w:rPr>
        <w:t>Note Rate</w:t>
      </w:r>
      <w:r>
        <w:rPr>
          <w:i/>
          <w:iCs/>
        </w:rPr>
        <w:t xml:space="preserve"> / </w:t>
      </w:r>
      <w:r w:rsidR="00EE6EB9">
        <w:rPr>
          <w:i/>
          <w:iCs/>
        </w:rPr>
        <w:t>365.25</w:t>
      </w:r>
      <w:r>
        <w:rPr>
          <w:i/>
          <w:iCs/>
        </w:rPr>
        <w:t>)</w:t>
      </w:r>
      <w:r w:rsidRPr="002418B8">
        <w:rPr>
          <w:i/>
          <w:iCs/>
        </w:rPr>
        <w:t xml:space="preserve"> </w:t>
      </w:r>
      <w:r w:rsidRPr="002418B8">
        <w:rPr>
          <w:i/>
          <w:iCs/>
          <w:vertAlign w:val="subscript"/>
        </w:rPr>
        <w:t>*</w:t>
      </w:r>
      <w:r>
        <w:rPr>
          <w:i/>
          <w:iCs/>
        </w:rPr>
        <w:t xml:space="preserve"> m</w:t>
      </w:r>
      <w:r w:rsidRPr="002418B8">
        <w:rPr>
          <w:i/>
          <w:iCs/>
        </w:rPr>
        <w:t>in</w:t>
      </w:r>
      <w:r>
        <w:rPr>
          <w:i/>
          <w:iCs/>
        </w:rPr>
        <w:t xml:space="preserve">imum </w:t>
      </w:r>
      <w:r w:rsidRPr="002418B8">
        <w:rPr>
          <w:i/>
          <w:iCs/>
        </w:rPr>
        <w:t>(</w:t>
      </w:r>
      <w:r>
        <w:rPr>
          <w:i/>
          <w:iCs/>
        </w:rPr>
        <w:t>Actual Days, Allowable Days</w:t>
      </w:r>
      <w:r w:rsidRPr="002418B8">
        <w:rPr>
          <w:i/>
          <w:iCs/>
        </w:rPr>
        <w:t>)</w:t>
      </w:r>
    </w:p>
    <w:p w14:paraId="2EC898E6" w14:textId="77777777" w:rsidR="00315142" w:rsidRDefault="00315142" w:rsidP="0054796D"/>
    <w:p w14:paraId="609E6F3E" w14:textId="6FEDA791" w:rsidR="00162A93" w:rsidRDefault="009B34C0" w:rsidP="00464D53">
      <w:pPr>
        <w:pStyle w:val="ListParagraph"/>
        <w:numPr>
          <w:ilvl w:val="0"/>
          <w:numId w:val="25"/>
        </w:numPr>
        <w:jc w:val="both"/>
      </w:pPr>
      <w:r w:rsidRPr="00BC38CE">
        <w:t>Foreclosure Costs</w:t>
      </w:r>
      <w:r w:rsidR="00BC38CE">
        <w:t xml:space="preserve">:  </w:t>
      </w:r>
      <w:r w:rsidR="00BC38CE" w:rsidRPr="00BC38CE">
        <w:t xml:space="preserve">The </w:t>
      </w:r>
      <w:r w:rsidR="00565A34">
        <w:t>proposal</w:t>
      </w:r>
      <w:r w:rsidR="00BC38CE" w:rsidRPr="00BC38CE">
        <w:t xml:space="preserve"> for standardizing foreclosure costs is to leverage a gross up factor, or MI Factor, to </w:t>
      </w:r>
      <w:r w:rsidR="00565A34">
        <w:t>estimate</w:t>
      </w:r>
      <w:r w:rsidR="006A4217">
        <w:t xml:space="preserve"> average fixed and variable </w:t>
      </w:r>
      <w:r w:rsidR="00BC38CE" w:rsidRPr="00BC38CE">
        <w:t>costs</w:t>
      </w:r>
      <w:r w:rsidR="006A4217">
        <w:t xml:space="preserve"> by key loan characteristics</w:t>
      </w:r>
      <w:r w:rsidR="00027062">
        <w:t>, similar to the prior method</w:t>
      </w:r>
      <w:r w:rsidR="00BC38CE" w:rsidRPr="00BC38CE">
        <w:t>.</w:t>
      </w:r>
      <w:r w:rsidR="00565A34">
        <w:t xml:space="preserve">  These estimated costs would replace the actual foreclosure costs in the MI claim amount calculation.</w:t>
      </w:r>
      <w:r w:rsidR="00BA714A">
        <w:t xml:space="preserve">  Fannie Mae’s actual foreclosure cost data</w:t>
      </w:r>
      <w:r w:rsidR="00565A34">
        <w:t xml:space="preserve"> will be used as the estimation data</w:t>
      </w:r>
      <w:r w:rsidR="006A4217">
        <w:t xml:space="preserve">, </w:t>
      </w:r>
      <w:r w:rsidR="00565A34">
        <w:t xml:space="preserve">and the data </w:t>
      </w:r>
      <w:r w:rsidR="006A4217">
        <w:t xml:space="preserve">will be adjusted </w:t>
      </w:r>
      <w:r w:rsidR="00565A34">
        <w:t>to account for disallowances and curtailments</w:t>
      </w:r>
      <w:r w:rsidR="006A4217">
        <w:t xml:space="preserve">.  First, to account for disallowances, </w:t>
      </w:r>
      <w:r w:rsidR="00692CF2">
        <w:t>a standardized list of allowed and disallowed</w:t>
      </w:r>
      <w:r w:rsidR="006A4217">
        <w:t xml:space="preserve"> costs will be used to remove </w:t>
      </w:r>
      <w:r w:rsidR="0069775A">
        <w:t>all</w:t>
      </w:r>
      <w:r w:rsidR="00692CF2">
        <w:t xml:space="preserve"> disallowed</w:t>
      </w:r>
      <w:r w:rsidR="006A4217">
        <w:t xml:space="preserve"> costs from the data.  Second, to account for curtailments, Fannie Mae’s published foreclosure timelines, including allowable delays, will be used to cap the variable costs.  Since the average costs will be calculated</w:t>
      </w:r>
      <w:r w:rsidR="00BA714A">
        <w:t xml:space="preserve"> by key loan characteristics</w:t>
      </w:r>
      <w:r w:rsidR="00B12AEA">
        <w:t>, a</w:t>
      </w:r>
      <w:r w:rsidR="00565A34">
        <w:t xml:space="preserve"> </w:t>
      </w:r>
      <w:r w:rsidR="006A4217">
        <w:t xml:space="preserve">grid </w:t>
      </w:r>
      <w:r w:rsidR="00BA714A">
        <w:t xml:space="preserve">implementation </w:t>
      </w:r>
      <w:r w:rsidR="006A4217">
        <w:t xml:space="preserve">is </w:t>
      </w:r>
      <w:r w:rsidR="00565A34">
        <w:t>recommended</w:t>
      </w:r>
      <w:r w:rsidR="006A4217">
        <w:t xml:space="preserve">.  The proposed </w:t>
      </w:r>
      <w:r w:rsidR="00565A34">
        <w:t xml:space="preserve">new </w:t>
      </w:r>
      <w:r w:rsidR="006A4217">
        <w:t>foreclosure cost calculation is as follows.</w:t>
      </w:r>
    </w:p>
    <w:p w14:paraId="391E8680" w14:textId="77777777" w:rsidR="006A4217" w:rsidRDefault="006A4217" w:rsidP="006A4217">
      <w:pPr>
        <w:pStyle w:val="ListParagraph"/>
      </w:pPr>
    </w:p>
    <w:p w14:paraId="631AA255" w14:textId="77777777" w:rsidR="006A4217" w:rsidRDefault="006A4217" w:rsidP="006A4217">
      <w:pPr>
        <w:pStyle w:val="ListParagraph"/>
        <w:jc w:val="center"/>
        <w:rPr>
          <w:i/>
          <w:iCs/>
        </w:rPr>
      </w:pPr>
      <w:r w:rsidRPr="006A4217">
        <w:rPr>
          <w:i/>
        </w:rPr>
        <w:t xml:space="preserve">Foreclosure Costs = Fixed Costs + (Variable Costs </w:t>
      </w:r>
      <w:r w:rsidRPr="006A4217">
        <w:rPr>
          <w:i/>
          <w:iCs/>
          <w:vertAlign w:val="subscript"/>
        </w:rPr>
        <w:t>*</w:t>
      </w:r>
      <w:r w:rsidRPr="006A4217">
        <w:rPr>
          <w:i/>
          <w:iCs/>
        </w:rPr>
        <w:t xml:space="preserve"> minimum (Actual Days, Allowable Days)</w:t>
      </w:r>
    </w:p>
    <w:p w14:paraId="0B4263A2" w14:textId="77777777" w:rsidR="00027062" w:rsidRDefault="00027062" w:rsidP="00464D53">
      <w:pPr>
        <w:pStyle w:val="ListParagraph"/>
        <w:rPr>
          <w:iCs/>
        </w:rPr>
      </w:pPr>
    </w:p>
    <w:p w14:paraId="0CF4FE5E" w14:textId="7DD904CD" w:rsidR="00027062" w:rsidRPr="00464D53" w:rsidRDefault="00027062" w:rsidP="00464D53">
      <w:pPr>
        <w:pStyle w:val="ListParagraph"/>
        <w:jc w:val="both"/>
      </w:pPr>
      <w:r>
        <w:rPr>
          <w:iCs/>
        </w:rPr>
        <w:t>The fixed and variable costs would be calculated based on a percentage basis of UPB, with controls for important factors for each claim.</w:t>
      </w:r>
    </w:p>
    <w:p w14:paraId="0FD27BD0" w14:textId="77777777" w:rsidR="00BC38CE" w:rsidRDefault="00BC38CE" w:rsidP="00565A34"/>
    <w:p w14:paraId="3A9729A8" w14:textId="77777777" w:rsidR="00A8679A" w:rsidRDefault="00A8679A">
      <w:pPr>
        <w:rPr>
          <w:iCs/>
          <w:u w:val="single"/>
        </w:rPr>
      </w:pPr>
      <w:r>
        <w:rPr>
          <w:iCs/>
          <w:u w:val="single"/>
        </w:rPr>
        <w:br w:type="page"/>
      </w:r>
    </w:p>
    <w:p w14:paraId="18E48161" w14:textId="4A730BC4" w:rsidR="00D8154C" w:rsidRPr="002418B8" w:rsidRDefault="00D8154C" w:rsidP="00D8154C">
      <w:pPr>
        <w:rPr>
          <w:iCs/>
          <w:u w:val="single"/>
        </w:rPr>
      </w:pPr>
      <w:r w:rsidRPr="002418B8">
        <w:rPr>
          <w:iCs/>
          <w:u w:val="single"/>
        </w:rPr>
        <w:lastRenderedPageBreak/>
        <w:t>Foreclosure Timeline Methodology</w:t>
      </w:r>
    </w:p>
    <w:p w14:paraId="4B3E13CB" w14:textId="11E311C5" w:rsidR="00DA2B46" w:rsidRDefault="0069316D" w:rsidP="00464D53">
      <w:pPr>
        <w:jc w:val="both"/>
        <w:rPr>
          <w:sz w:val="16"/>
        </w:rPr>
      </w:pPr>
      <w:r>
        <w:t>A</w:t>
      </w:r>
      <w:r w:rsidR="00505FE6" w:rsidRPr="006A2F31">
        <w:t xml:space="preserve"> joint alignment effort </w:t>
      </w:r>
      <w:r w:rsidR="006A2F31">
        <w:t>among</w:t>
      </w:r>
      <w:r w:rsidR="00505FE6" w:rsidRPr="006A2F31">
        <w:t xml:space="preserve"> Fannie Mae, Freddie Mac, and the</w:t>
      </w:r>
      <w:r w:rsidR="006A2F31">
        <w:t>ir regulator, the</w:t>
      </w:r>
      <w:r w:rsidR="00505FE6" w:rsidRPr="006A2F31">
        <w:t xml:space="preserve"> F</w:t>
      </w:r>
      <w:r w:rsidR="006A2F31">
        <w:t>ederal Housing Finance Agency (FHFA</w:t>
      </w:r>
      <w:r w:rsidR="00D70A6B">
        <w:t>)</w:t>
      </w:r>
      <w:r>
        <w:t xml:space="preserve"> sets g</w:t>
      </w:r>
      <w:r w:rsidRPr="006A2F31">
        <w:t xml:space="preserve">uidance on reasonable </w:t>
      </w:r>
      <w:r w:rsidR="000A260E">
        <w:t xml:space="preserve">state-level </w:t>
      </w:r>
      <w:r w:rsidRPr="006A2F31">
        <w:t>foreclosure timelines</w:t>
      </w:r>
      <w:r>
        <w:t>.  Alignment is important because these foreclosure timelines are used in Fannie Mae’s compensatory fee process, which is part of Fannie Mae’s larger servicer performance management strategy.</w:t>
      </w:r>
      <w:r w:rsidR="000B1E38">
        <w:t xml:space="preserve">  Updates to </w:t>
      </w:r>
      <w:r w:rsidR="001D2CF7">
        <w:t>t</w:t>
      </w:r>
      <w:r>
        <w:t xml:space="preserve">he </w:t>
      </w:r>
      <w:r w:rsidR="001D2CF7">
        <w:t xml:space="preserve">published foreclosure </w:t>
      </w:r>
      <w:r>
        <w:t xml:space="preserve">timelines </w:t>
      </w:r>
      <w:r w:rsidR="000B1E38">
        <w:t xml:space="preserve">have </w:t>
      </w:r>
      <w:r w:rsidR="001D2CF7">
        <w:t xml:space="preserve">historically </w:t>
      </w:r>
      <w:r>
        <w:t>been reviewed on an annual or semi-annual basis.</w:t>
      </w:r>
      <w:r w:rsidR="001D2CF7">
        <w:t xml:space="preserve">  </w:t>
      </w:r>
      <w:r w:rsidR="00505FE6" w:rsidRPr="006A2F31">
        <w:t>In the most recent update in early 2016, the aligned parties agreed to use the median (50th percentile) of observed foreclosure t</w:t>
      </w:r>
      <w:r w:rsidR="00D70A6B">
        <w:t xml:space="preserve">imelines as the new </w:t>
      </w:r>
      <w:r w:rsidR="001D2CF7">
        <w:t>guidance</w:t>
      </w:r>
      <w:r w:rsidR="00D70A6B">
        <w:t>.</w:t>
      </w:r>
    </w:p>
    <w:p w14:paraId="278A3641" w14:textId="77777777" w:rsidR="00DA2B46" w:rsidRDefault="00DA2B46" w:rsidP="00464D53">
      <w:pPr>
        <w:jc w:val="both"/>
      </w:pPr>
    </w:p>
    <w:p w14:paraId="3690583E" w14:textId="61C713A4" w:rsidR="00DA2B46" w:rsidRDefault="00C71DE0" w:rsidP="00464D53">
      <w:pPr>
        <w:jc w:val="both"/>
      </w:pPr>
      <w:r>
        <w:t>There are events, such as bankruptcy, that cause a loan’s actual foreclosure timeline to reasonably extend beyond the published guidance</w:t>
      </w:r>
      <w:r w:rsidR="00B20643">
        <w:t>, ‘Allowable Delays’</w:t>
      </w:r>
      <w:r>
        <w:t xml:space="preserve">.  As such, the </w:t>
      </w:r>
      <w:r w:rsidR="00074F1A">
        <w:t xml:space="preserve">published </w:t>
      </w:r>
      <w:r w:rsidR="000A260E">
        <w:t xml:space="preserve">foreclosure timelines </w:t>
      </w:r>
      <w:r>
        <w:t xml:space="preserve">also </w:t>
      </w:r>
      <w:r w:rsidR="000A260E">
        <w:t>include</w:t>
      </w:r>
      <w:r w:rsidR="00D5752D">
        <w:t>s</w:t>
      </w:r>
      <w:r w:rsidR="000A260E">
        <w:t xml:space="preserve"> guidance on allowable delays</w:t>
      </w:r>
      <w:r>
        <w:t xml:space="preserve">, </w:t>
      </w:r>
      <w:r w:rsidR="00074F1A">
        <w:t xml:space="preserve">which </w:t>
      </w:r>
      <w:r>
        <w:t>are included in the MI Factor algorithm</w:t>
      </w:r>
      <w:r w:rsidR="00074F1A" w:rsidRPr="00074F1A">
        <w:t xml:space="preserve"> </w:t>
      </w:r>
      <w:r w:rsidR="00074F1A">
        <w:t>proposal</w:t>
      </w:r>
      <w:r>
        <w:t>.</w:t>
      </w:r>
      <w:r w:rsidR="00AB7EA5">
        <w:t xml:space="preserve">  </w:t>
      </w:r>
      <w:r w:rsidR="00B20643">
        <w:t>Certain of these allowable delays are associated with borrower events (bankruptcy filings of various types, contesting of the foreclosure, or probate), while other are statutory in nature (military indulgences).  There are also others that control for certain events associated with the loan such as work-out attempts that are to the mutual benefit of Fannie Mae and MI companies if successful.</w:t>
      </w:r>
      <w:r w:rsidR="00B20643">
        <w:rPr>
          <w:rStyle w:val="FootnoteReference"/>
        </w:rPr>
        <w:footnoteReference w:id="3"/>
      </w:r>
      <w:r w:rsidR="00B20643">
        <w:t xml:space="preserve">  </w:t>
      </w:r>
      <w:r w:rsidR="001055AA">
        <w:t>The algorithm will not, however, include any o</w:t>
      </w:r>
      <w:r w:rsidR="00AB7EA5">
        <w:t>ne-off delays that the servicer</w:t>
      </w:r>
      <w:r w:rsidR="001055AA">
        <w:t xml:space="preserve"> </w:t>
      </w:r>
      <w:r w:rsidR="001E698E">
        <w:t xml:space="preserve">often is </w:t>
      </w:r>
      <w:r w:rsidR="001055AA">
        <w:t xml:space="preserve">able to </w:t>
      </w:r>
      <w:r w:rsidR="00AB7EA5">
        <w:t xml:space="preserve">substantiate </w:t>
      </w:r>
      <w:r w:rsidR="001E698E">
        <w:t>during manual, case-level review in rebuttal of Compensatory Fee billings</w:t>
      </w:r>
      <w:r w:rsidR="00AB7EA5">
        <w:t>.</w:t>
      </w:r>
    </w:p>
    <w:p w14:paraId="5A9618B1" w14:textId="77777777" w:rsidR="00DA2B46" w:rsidRDefault="00DA2B46" w:rsidP="00464D53">
      <w:pPr>
        <w:jc w:val="both"/>
      </w:pPr>
    </w:p>
    <w:p w14:paraId="7C50177A" w14:textId="2D496F2B" w:rsidR="00DA2B46" w:rsidRDefault="001055AA" w:rsidP="00464D53">
      <w:pPr>
        <w:jc w:val="both"/>
      </w:pPr>
      <w:r w:rsidRPr="00EE2CF7">
        <w:t>It is important to note that durin</w:t>
      </w:r>
      <w:r w:rsidR="00030DAB">
        <w:t>g the compensatory fee process,</w:t>
      </w:r>
      <w:r w:rsidR="002152D4">
        <w:t xml:space="preserve"> foreclosure</w:t>
      </w:r>
      <w:r w:rsidR="00EE2CF7">
        <w:t xml:space="preserve"> timeline </w:t>
      </w:r>
      <w:r w:rsidRPr="00EE2CF7">
        <w:t xml:space="preserve">overages </w:t>
      </w:r>
      <w:r w:rsidR="004A1042">
        <w:t>are offset by timelines</w:t>
      </w:r>
      <w:r w:rsidR="00EE2CF7">
        <w:t xml:space="preserve"> that come in below guidance</w:t>
      </w:r>
      <w:r w:rsidR="004A1042">
        <w:t xml:space="preserve">, and servicers are only billed for the </w:t>
      </w:r>
      <w:proofErr w:type="spellStart"/>
      <w:r w:rsidR="004A1042">
        <w:t>net</w:t>
      </w:r>
      <w:proofErr w:type="spellEnd"/>
      <w:r w:rsidR="004A1042">
        <w:t xml:space="preserve"> </w:t>
      </w:r>
      <w:r w:rsidR="0034118B">
        <w:t xml:space="preserve">timeline </w:t>
      </w:r>
      <w:r w:rsidR="004A1042">
        <w:t>overages in a given state for a given billing cycle</w:t>
      </w:r>
      <w:r w:rsidRPr="00EE2CF7">
        <w:t>.</w:t>
      </w:r>
      <w:r w:rsidR="004A1042">
        <w:t xml:space="preserve">  </w:t>
      </w:r>
      <w:r w:rsidR="002A0D00">
        <w:t xml:space="preserve">The MI Factor proposal does not include such </w:t>
      </w:r>
      <w:r w:rsidRPr="00EE2CF7">
        <w:t>state-level performance-based netting.</w:t>
      </w:r>
      <w:r w:rsidR="003F35E9">
        <w:t xml:space="preserve">  Additionally, as Fannie Mae and servicers would through sampling approaches to arrive at rebuttal adjustments to Compensatory Fees, we are also not proposing to include these adjustments to the calculations of allowable days for purposes of the factor.</w:t>
      </w:r>
    </w:p>
    <w:p w14:paraId="27A1A88B" w14:textId="77777777" w:rsidR="00DA2B46" w:rsidRDefault="00DA2B46" w:rsidP="00464D53">
      <w:pPr>
        <w:jc w:val="both"/>
      </w:pPr>
    </w:p>
    <w:p w14:paraId="7FCBB4D5" w14:textId="342C523A" w:rsidR="00DA2B46" w:rsidRDefault="00505FE6" w:rsidP="00464D53">
      <w:pPr>
        <w:jc w:val="both"/>
        <w:rPr>
          <w:u w:val="single"/>
        </w:rPr>
      </w:pPr>
      <w:r w:rsidRPr="006A2F31">
        <w:t xml:space="preserve">As the foreclosure process continues to evolve and different states return to normal, new </w:t>
      </w:r>
      <w:r w:rsidR="00163CD3">
        <w:t xml:space="preserve">foreclosure timeline </w:t>
      </w:r>
      <w:r w:rsidRPr="006A2F31">
        <w:t xml:space="preserve">methods may be recommended </w:t>
      </w:r>
      <w:r w:rsidR="00BD6548">
        <w:t>to</w:t>
      </w:r>
      <w:r w:rsidR="00BD6548" w:rsidRPr="006A2F31">
        <w:t xml:space="preserve"> </w:t>
      </w:r>
      <w:r w:rsidRPr="006A2F31">
        <w:t>the FHFA-led working group.  The current published timelines</w:t>
      </w:r>
      <w:r w:rsidR="00322B72">
        <w:t xml:space="preserve"> and allowable delays</w:t>
      </w:r>
      <w:r w:rsidRPr="006A2F31">
        <w:t xml:space="preserve"> are </w:t>
      </w:r>
      <w:r w:rsidR="00322B72">
        <w:t xml:space="preserve">posted on Fannie Mae’s website </w:t>
      </w:r>
      <w:hyperlink r:id="rId15" w:history="1">
        <w:r w:rsidR="00322B72" w:rsidRPr="00322B72">
          <w:rPr>
            <w:rStyle w:val="Hyperlink"/>
          </w:rPr>
          <w:t>here</w:t>
        </w:r>
      </w:hyperlink>
      <w:r w:rsidRPr="006A2F31">
        <w:t>.</w:t>
      </w:r>
      <w:r w:rsidR="00322B72">
        <w:rPr>
          <w:rStyle w:val="FootnoteReference"/>
        </w:rPr>
        <w:footnoteReference w:id="4"/>
      </w:r>
    </w:p>
    <w:p w14:paraId="44E55580" w14:textId="77777777" w:rsidR="00DA2B46" w:rsidRPr="006A2F31" w:rsidRDefault="00DA2B46" w:rsidP="00464D53">
      <w:pPr>
        <w:jc w:val="both"/>
      </w:pPr>
    </w:p>
    <w:p w14:paraId="0A8F80F3" w14:textId="77777777" w:rsidR="00D8154C" w:rsidRDefault="00D8154C" w:rsidP="00464D53">
      <w:pPr>
        <w:jc w:val="both"/>
        <w:rPr>
          <w:u w:val="single"/>
        </w:rPr>
      </w:pPr>
      <w:r w:rsidRPr="00E63D32">
        <w:rPr>
          <w:u w:val="single"/>
        </w:rPr>
        <w:t>Standardized Disallowances</w:t>
      </w:r>
    </w:p>
    <w:p w14:paraId="5CEE3298" w14:textId="235B5D87" w:rsidR="00544A5E" w:rsidRDefault="00E63D32" w:rsidP="00464D53">
      <w:pPr>
        <w:jc w:val="both"/>
      </w:pPr>
      <w:r>
        <w:t>At present</w:t>
      </w:r>
      <w:r w:rsidR="00D02C2E">
        <w:t xml:space="preserve">, different MI companies use their own </w:t>
      </w:r>
      <w:r>
        <w:t xml:space="preserve">internal </w:t>
      </w:r>
      <w:r w:rsidR="00D02C2E">
        <w:t xml:space="preserve">policies to determine </w:t>
      </w:r>
      <w:r w:rsidR="000161FC">
        <w:t>allowed and disallowed</w:t>
      </w:r>
      <w:r>
        <w:t xml:space="preserve"> </w:t>
      </w:r>
      <w:r w:rsidR="00D02C2E">
        <w:t xml:space="preserve">foreclosure costs.  </w:t>
      </w:r>
      <w:r w:rsidR="00544A5E">
        <w:t>The largest expense groupings that compose the allowed costs are insurance premiums, taxes, and fees, while disallowed costs consist of MI premiums and some specific uncollectable fees and other expenses.</w:t>
      </w:r>
      <w:r w:rsidR="00DA2B46">
        <w:t xml:space="preserve"> </w:t>
      </w:r>
      <w:r w:rsidR="00544A5E">
        <w:t xml:space="preserve"> In order to apply an algorithmic approach to disallowances, a standardized list of allowed and disallowed </w:t>
      </w:r>
      <w:r w:rsidR="00544A5E" w:rsidRPr="000161FC">
        <w:t xml:space="preserve">costs is needed.  A table listing the proposed allowed and disallowed foreclosure costs </w:t>
      </w:r>
      <w:r w:rsidR="00544A5E">
        <w:t xml:space="preserve">by expense grouping </w:t>
      </w:r>
      <w:r w:rsidR="00544A5E" w:rsidRPr="000161FC">
        <w:t xml:space="preserve">can be found in </w:t>
      </w:r>
      <w:r w:rsidR="00435E27">
        <w:t>A</w:t>
      </w:r>
      <w:r w:rsidR="00435E27" w:rsidRPr="000161FC">
        <w:t xml:space="preserve">ppendix </w:t>
      </w:r>
      <w:r w:rsidR="00544A5E" w:rsidRPr="000161FC">
        <w:t>A.</w:t>
      </w:r>
    </w:p>
    <w:p w14:paraId="554C3ED0" w14:textId="77777777" w:rsidR="00544A5E" w:rsidRDefault="00544A5E" w:rsidP="00E63D32"/>
    <w:p w14:paraId="273B5A42" w14:textId="77777777" w:rsidR="00DA2B46" w:rsidRDefault="00DA2B46">
      <w:pPr>
        <w:rPr>
          <w:rFonts w:ascii="Arial" w:hAnsi="Arial" w:cs="Arial"/>
          <w:sz w:val="18"/>
        </w:rPr>
      </w:pPr>
      <w:r>
        <w:rPr>
          <w:rFonts w:ascii="Arial" w:hAnsi="Arial" w:cs="Arial"/>
          <w:sz w:val="18"/>
        </w:rPr>
        <w:br w:type="page"/>
      </w:r>
    </w:p>
    <w:p w14:paraId="591D6E2D" w14:textId="0C68B02D" w:rsidR="00544A5E" w:rsidRDefault="00544A5E" w:rsidP="00464D53">
      <w:pPr>
        <w:jc w:val="center"/>
      </w:pPr>
      <w:r>
        <w:rPr>
          <w:rFonts w:ascii="Arial" w:hAnsi="Arial" w:cs="Arial"/>
          <w:sz w:val="18"/>
        </w:rPr>
        <w:lastRenderedPageBreak/>
        <w:t>Figure 5</w:t>
      </w:r>
      <w:r w:rsidRPr="00730093">
        <w:rPr>
          <w:rFonts w:ascii="Arial" w:hAnsi="Arial" w:cs="Arial"/>
          <w:sz w:val="18"/>
        </w:rPr>
        <w:t xml:space="preserve">:  </w:t>
      </w:r>
      <w:r>
        <w:rPr>
          <w:rFonts w:ascii="Arial" w:hAnsi="Arial" w:cs="Arial"/>
          <w:sz w:val="18"/>
        </w:rPr>
        <w:t>Allowed and Disallowed</w:t>
      </w:r>
      <w:r w:rsidRPr="00730093">
        <w:rPr>
          <w:rFonts w:ascii="Arial" w:hAnsi="Arial" w:cs="Arial"/>
          <w:sz w:val="18"/>
        </w:rPr>
        <w:t xml:space="preserve"> Foreclosure Costs</w:t>
      </w:r>
      <w:r>
        <w:rPr>
          <w:rFonts w:ascii="Arial" w:hAnsi="Arial" w:cs="Arial"/>
          <w:sz w:val="18"/>
        </w:rPr>
        <w:t xml:space="preserve"> Distributions by Expense Grouping</w:t>
      </w:r>
    </w:p>
    <w:p w14:paraId="086951E1" w14:textId="673E6C46" w:rsidR="00544A5E" w:rsidRDefault="00605E58" w:rsidP="00464D53">
      <w:pPr>
        <w:jc w:val="center"/>
      </w:pPr>
      <w:r>
        <w:rPr>
          <w:noProof/>
        </w:rPr>
        <w:drawing>
          <wp:inline distT="0" distB="0" distL="0" distR="0" wp14:anchorId="60CCB12A" wp14:editId="4E68F955">
            <wp:extent cx="6400800" cy="1899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1899285"/>
                    </a:xfrm>
                    <a:prstGeom prst="rect">
                      <a:avLst/>
                    </a:prstGeom>
                  </pic:spPr>
                </pic:pic>
              </a:graphicData>
            </a:graphic>
          </wp:inline>
        </w:drawing>
      </w:r>
    </w:p>
    <w:p w14:paraId="526B2094" w14:textId="77777777" w:rsidR="00544A5E" w:rsidRDefault="00544A5E" w:rsidP="00C654F6"/>
    <w:p w14:paraId="19EC6181" w14:textId="77777777" w:rsidR="00605E58" w:rsidRDefault="00605E58">
      <w:pPr>
        <w:rPr>
          <w:u w:val="single"/>
        </w:rPr>
      </w:pPr>
      <w:r>
        <w:rPr>
          <w:u w:val="single"/>
        </w:rPr>
        <w:br w:type="page"/>
      </w:r>
    </w:p>
    <w:p w14:paraId="7667AC3F" w14:textId="2C321F6D" w:rsidR="009D52D8" w:rsidRPr="009D52D8" w:rsidRDefault="009D52D8" w:rsidP="00565A34">
      <w:pPr>
        <w:rPr>
          <w:u w:val="single"/>
        </w:rPr>
      </w:pPr>
      <w:r w:rsidRPr="00FE7F52">
        <w:rPr>
          <w:u w:val="single"/>
        </w:rPr>
        <w:lastRenderedPageBreak/>
        <w:t>Fixed &amp; Variable Foreclosure Costs</w:t>
      </w:r>
    </w:p>
    <w:p w14:paraId="0247E620" w14:textId="76B2CE3D" w:rsidR="00542867" w:rsidRDefault="00542867" w:rsidP="00464D53">
      <w:pPr>
        <w:jc w:val="both"/>
      </w:pPr>
      <w:r>
        <w:t xml:space="preserve">The allowed foreclosure costs </w:t>
      </w:r>
      <w:r w:rsidR="00D12AEF">
        <w:t xml:space="preserve">are then </w:t>
      </w:r>
      <w:r w:rsidRPr="00542867">
        <w:t xml:space="preserve">segregated and analyzed </w:t>
      </w:r>
      <w:r>
        <w:t>as fixed and variable costs.</w:t>
      </w:r>
    </w:p>
    <w:p w14:paraId="1B541499" w14:textId="77777777" w:rsidR="00542867" w:rsidRDefault="00542867" w:rsidP="00464D53">
      <w:pPr>
        <w:jc w:val="both"/>
      </w:pPr>
    </w:p>
    <w:p w14:paraId="03A6E331" w14:textId="449EF379" w:rsidR="00542867" w:rsidRDefault="00542867" w:rsidP="00464D53">
      <w:pPr>
        <w:pStyle w:val="ListParagraph"/>
        <w:numPr>
          <w:ilvl w:val="0"/>
          <w:numId w:val="34"/>
        </w:numPr>
        <w:jc w:val="both"/>
      </w:pPr>
      <w:r>
        <w:t xml:space="preserve">Fixed Costs:  Costs that </w:t>
      </w:r>
      <w:r w:rsidR="00D12AEF">
        <w:t xml:space="preserve">generally </w:t>
      </w:r>
      <w:r>
        <w:t xml:space="preserve">occur only once during the foreclosure timeline are considered to be </w:t>
      </w:r>
      <w:r w:rsidR="00D12AEF">
        <w:t>non-timeline varying</w:t>
      </w:r>
      <w:r>
        <w:t>.</w:t>
      </w:r>
    </w:p>
    <w:p w14:paraId="34667C5C" w14:textId="77777777" w:rsidR="00542867" w:rsidRDefault="00542867" w:rsidP="00464D53">
      <w:pPr>
        <w:pStyle w:val="ListParagraph"/>
        <w:jc w:val="both"/>
      </w:pPr>
    </w:p>
    <w:p w14:paraId="5ABD99AE" w14:textId="20EF365C" w:rsidR="00542867" w:rsidRDefault="00542867" w:rsidP="00464D53">
      <w:pPr>
        <w:pStyle w:val="ListParagraph"/>
        <w:numPr>
          <w:ilvl w:val="0"/>
          <w:numId w:val="34"/>
        </w:numPr>
        <w:jc w:val="both"/>
      </w:pPr>
      <w:r>
        <w:t xml:space="preserve">Variable Costs:  Periodic costs occurring multiple times during the foreclosure timeline are considered </w:t>
      </w:r>
      <w:r w:rsidR="00D12AEF">
        <w:t>functions of the foreclosure timeline</w:t>
      </w:r>
      <w:r>
        <w:t>.</w:t>
      </w:r>
    </w:p>
    <w:p w14:paraId="36BD9442" w14:textId="77777777" w:rsidR="00FE7F52" w:rsidRDefault="00FE7F52" w:rsidP="00464D53">
      <w:pPr>
        <w:pStyle w:val="ListParagraph"/>
        <w:jc w:val="both"/>
      </w:pPr>
    </w:p>
    <w:p w14:paraId="21ED7EF8" w14:textId="268BF133" w:rsidR="00FE7F52" w:rsidRPr="00E67E90" w:rsidRDefault="00FE7F52" w:rsidP="00464D53">
      <w:pPr>
        <w:jc w:val="both"/>
      </w:pPr>
      <w:r>
        <w:t xml:space="preserve">It is important to analyze fixed and variable costs separately since the total amount of the variable costs is directly related to the length of the foreclosure timeline, making variable costs subject to foreclosure timeline-related curtailments.  </w:t>
      </w:r>
      <w:r w:rsidR="00E66224">
        <w:t>A table listing</w:t>
      </w:r>
      <w:r>
        <w:t xml:space="preserve"> the allowable foreclosure costs that are considered to be fixed and variable</w:t>
      </w:r>
      <w:r w:rsidR="00E66224">
        <w:t xml:space="preserve"> can be found </w:t>
      </w:r>
      <w:r w:rsidR="00E66224" w:rsidRPr="004F0D8D">
        <w:t xml:space="preserve">in </w:t>
      </w:r>
      <w:r w:rsidR="00435E27">
        <w:t>Ap</w:t>
      </w:r>
      <w:r w:rsidR="004F0D8D" w:rsidRPr="004F0D8D">
        <w:t>pendix B</w:t>
      </w:r>
      <w:r w:rsidR="00E66224" w:rsidRPr="004F0D8D">
        <w:t>.</w:t>
      </w:r>
      <w:r w:rsidR="00E67E90">
        <w:t xml:space="preserve">  While there are notable differences in absolute magnitude of costs between the estimation and testing samples in Table 1, the variable costs are actually similar when expressed on a </w:t>
      </w:r>
      <w:r w:rsidR="00E67E90">
        <w:rPr>
          <w:i/>
        </w:rPr>
        <w:t>per diem</w:t>
      </w:r>
      <w:r w:rsidR="00E67E90">
        <w:t xml:space="preserve"> basis.</w:t>
      </w:r>
    </w:p>
    <w:p w14:paraId="2F2CC583" w14:textId="77777777" w:rsidR="00542867" w:rsidRDefault="00542867" w:rsidP="00464D53">
      <w:pPr>
        <w:jc w:val="center"/>
      </w:pPr>
    </w:p>
    <w:p w14:paraId="22A2D672" w14:textId="11A35E67" w:rsidR="00730093" w:rsidRPr="00730093" w:rsidRDefault="008A782E" w:rsidP="00464D53">
      <w:pPr>
        <w:jc w:val="center"/>
        <w:rPr>
          <w:rFonts w:ascii="Arial" w:hAnsi="Arial" w:cs="Arial"/>
          <w:sz w:val="18"/>
        </w:rPr>
      </w:pPr>
      <w:r>
        <w:rPr>
          <w:rFonts w:ascii="Arial" w:hAnsi="Arial" w:cs="Arial"/>
          <w:sz w:val="18"/>
        </w:rPr>
        <w:t>Table 1</w:t>
      </w:r>
      <w:r w:rsidR="00730093" w:rsidRPr="00730093">
        <w:rPr>
          <w:rFonts w:ascii="Arial" w:hAnsi="Arial" w:cs="Arial"/>
          <w:sz w:val="18"/>
        </w:rPr>
        <w:t>:  Fixed and Variable Foreclosure Costs</w:t>
      </w:r>
    </w:p>
    <w:p w14:paraId="284AB816" w14:textId="7913A0E1" w:rsidR="00730093" w:rsidRDefault="00730093" w:rsidP="00464D53">
      <w:pPr>
        <w:jc w:val="center"/>
      </w:pPr>
      <w:r>
        <w:rPr>
          <w:noProof/>
        </w:rPr>
        <w:drawing>
          <wp:inline distT="0" distB="0" distL="0" distR="0" wp14:anchorId="010FCC7B" wp14:editId="7EF5469C">
            <wp:extent cx="6400800" cy="62230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622300"/>
                    </a:xfrm>
                    <a:prstGeom prst="rect">
                      <a:avLst/>
                    </a:prstGeom>
                  </pic:spPr>
                </pic:pic>
              </a:graphicData>
            </a:graphic>
          </wp:inline>
        </w:drawing>
      </w:r>
    </w:p>
    <w:p w14:paraId="4F7E3CF1" w14:textId="77777777" w:rsidR="0089043A" w:rsidRDefault="0089043A" w:rsidP="0089043A">
      <w:pPr>
        <w:rPr>
          <w:rFonts w:ascii="Arial" w:hAnsi="Arial" w:cs="Arial"/>
          <w:sz w:val="18"/>
        </w:rPr>
      </w:pPr>
    </w:p>
    <w:p w14:paraId="1000B455" w14:textId="258EE449" w:rsidR="0089043A" w:rsidRDefault="0089043A" w:rsidP="00464D53">
      <w:pPr>
        <w:jc w:val="both"/>
      </w:pPr>
      <w:r>
        <w:t xml:space="preserve">The largest expense groupings that compose the fixed costs are </w:t>
      </w:r>
      <w:r w:rsidR="00CD65EA">
        <w:t xml:space="preserve">various </w:t>
      </w:r>
      <w:r>
        <w:t xml:space="preserve">fees and </w:t>
      </w:r>
      <w:r w:rsidR="005C647C">
        <w:t>notification</w:t>
      </w:r>
      <w:r>
        <w:t xml:space="preserve"> costs</w:t>
      </w:r>
      <w:r w:rsidR="00544A5E">
        <w:t xml:space="preserve">, while </w:t>
      </w:r>
      <w:r>
        <w:t xml:space="preserve">variable costs </w:t>
      </w:r>
      <w:r w:rsidR="00544A5E">
        <w:t xml:space="preserve">consist </w:t>
      </w:r>
      <w:r w:rsidR="005C647C">
        <w:t xml:space="preserve">predominately </w:t>
      </w:r>
      <w:r w:rsidR="00544A5E">
        <w:t>of</w:t>
      </w:r>
      <w:r>
        <w:t xml:space="preserve"> </w:t>
      </w:r>
      <w:r w:rsidR="005C647C">
        <w:t xml:space="preserve">hazard or flood </w:t>
      </w:r>
      <w:r>
        <w:t>insurance premiums and taxes</w:t>
      </w:r>
      <w:r w:rsidRPr="004F0D8D">
        <w:t>.</w:t>
      </w:r>
    </w:p>
    <w:p w14:paraId="0C0C3C67" w14:textId="77777777" w:rsidR="0089043A" w:rsidRDefault="0089043A" w:rsidP="0089043A">
      <w:pPr>
        <w:rPr>
          <w:rFonts w:ascii="Arial" w:hAnsi="Arial" w:cs="Arial"/>
          <w:sz w:val="18"/>
        </w:rPr>
      </w:pPr>
    </w:p>
    <w:p w14:paraId="5B2B24FA" w14:textId="3A135A20" w:rsidR="00AC6B70" w:rsidRDefault="0089043A" w:rsidP="00E3031C">
      <w:r>
        <w:rPr>
          <w:rFonts w:ascii="Arial" w:hAnsi="Arial" w:cs="Arial"/>
          <w:sz w:val="18"/>
        </w:rPr>
        <w:t xml:space="preserve">Figure </w:t>
      </w:r>
      <w:r w:rsidR="00544A5E">
        <w:rPr>
          <w:rFonts w:ascii="Arial" w:hAnsi="Arial" w:cs="Arial"/>
          <w:sz w:val="18"/>
        </w:rPr>
        <w:t>6</w:t>
      </w:r>
      <w:r w:rsidRPr="00730093">
        <w:rPr>
          <w:rFonts w:ascii="Arial" w:hAnsi="Arial" w:cs="Arial"/>
          <w:sz w:val="18"/>
        </w:rPr>
        <w:t>:  Fixed and Variable Foreclosure Costs</w:t>
      </w:r>
      <w:r>
        <w:rPr>
          <w:rFonts w:ascii="Arial" w:hAnsi="Arial" w:cs="Arial"/>
          <w:sz w:val="18"/>
        </w:rPr>
        <w:t xml:space="preserve"> Distributions by Expense Grouping</w:t>
      </w:r>
    </w:p>
    <w:p w14:paraId="54F6B112" w14:textId="3AB85AD1" w:rsidR="0089043A" w:rsidRDefault="00605E58" w:rsidP="00E3031C">
      <w:r>
        <w:rPr>
          <w:noProof/>
        </w:rPr>
        <w:drawing>
          <wp:inline distT="0" distB="0" distL="0" distR="0" wp14:anchorId="4D80CB42" wp14:editId="6512A591">
            <wp:extent cx="6400800" cy="1896745"/>
            <wp:effectExtent l="0" t="0" r="0" b="8255"/>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9BECEFD" w14:textId="77777777" w:rsidR="0089043A" w:rsidRDefault="0089043A" w:rsidP="00E3031C"/>
    <w:p w14:paraId="205B593B" w14:textId="77777777" w:rsidR="007D5600" w:rsidRDefault="007D5600">
      <w:pPr>
        <w:rPr>
          <w:u w:val="single"/>
        </w:rPr>
      </w:pPr>
      <w:r>
        <w:rPr>
          <w:u w:val="single"/>
        </w:rPr>
        <w:br w:type="page"/>
      </w:r>
    </w:p>
    <w:p w14:paraId="2136694F" w14:textId="48026EA4" w:rsidR="00A45575" w:rsidRPr="00A45575" w:rsidRDefault="00A45575" w:rsidP="00A45575">
      <w:pPr>
        <w:tabs>
          <w:tab w:val="left" w:pos="3393"/>
        </w:tabs>
        <w:rPr>
          <w:u w:val="single"/>
        </w:rPr>
      </w:pPr>
      <w:r>
        <w:rPr>
          <w:u w:val="single"/>
        </w:rPr>
        <w:lastRenderedPageBreak/>
        <w:t xml:space="preserve">MI Factor </w:t>
      </w:r>
      <w:r w:rsidRPr="00A45575">
        <w:rPr>
          <w:u w:val="single"/>
        </w:rPr>
        <w:t>Estimation Data</w:t>
      </w:r>
      <w:r w:rsidR="00911DEE">
        <w:rPr>
          <w:u w:val="single"/>
        </w:rPr>
        <w:t xml:space="preserve"> &amp; Adjustments</w:t>
      </w:r>
    </w:p>
    <w:p w14:paraId="3F72B10C" w14:textId="59325C05" w:rsidR="009047C1" w:rsidRDefault="00A45575" w:rsidP="00464D53">
      <w:pPr>
        <w:jc w:val="both"/>
      </w:pPr>
      <w:r>
        <w:t xml:space="preserve">The </w:t>
      </w:r>
      <w:r w:rsidR="00555257">
        <w:t xml:space="preserve">estimation data </w:t>
      </w:r>
      <w:r w:rsidR="002D7695">
        <w:t>for the MI Factor algorithm</w:t>
      </w:r>
      <w:r w:rsidR="009047C1">
        <w:t xml:space="preserve"> proof of concept</w:t>
      </w:r>
      <w:r w:rsidR="002D7695">
        <w:t xml:space="preserve"> </w:t>
      </w:r>
      <w:r w:rsidR="00555257">
        <w:t>contains all</w:t>
      </w:r>
      <w:r w:rsidR="004F2A87">
        <w:t xml:space="preserve"> of the</w:t>
      </w:r>
      <w:r w:rsidR="00555257">
        <w:t xml:space="preserve"> actual foreclosure costs incurred by the </w:t>
      </w:r>
      <w:r w:rsidR="00555257" w:rsidRPr="00E11C84">
        <w:t>servicer</w:t>
      </w:r>
      <w:r w:rsidR="009047C1">
        <w:t xml:space="preserve"> on all defaults or dispositions from </w:t>
      </w:r>
      <w:r w:rsidR="00976F6F" w:rsidRPr="00E11C84">
        <w:t>July 2013 through June 2014</w:t>
      </w:r>
      <w:r w:rsidR="009047C1">
        <w:t xml:space="preserve">. </w:t>
      </w:r>
      <w:r w:rsidR="006730B0" w:rsidRPr="00E11C84">
        <w:t xml:space="preserve"> </w:t>
      </w:r>
      <w:r w:rsidR="004F2A87" w:rsidRPr="00E11C84">
        <w:t>For</w:t>
      </w:r>
      <w:r w:rsidR="004F2A87">
        <w:t xml:space="preserve"> short sales and</w:t>
      </w:r>
      <w:r w:rsidR="00425C60">
        <w:t xml:space="preserve"> TPS</w:t>
      </w:r>
      <w:r w:rsidR="004F2A87">
        <w:t xml:space="preserve">, the population includes all loan liquidations </w:t>
      </w:r>
      <w:r w:rsidR="00976F6F">
        <w:t>that occurred during the estimation time period</w:t>
      </w:r>
      <w:r w:rsidR="00555257">
        <w:t>.</w:t>
      </w:r>
      <w:r w:rsidR="004F2A87">
        <w:t xml:space="preserve">  For REO, the population includes all property dispositions during the time period.</w:t>
      </w:r>
      <w:r w:rsidR="00555257">
        <w:t xml:space="preserve">  </w:t>
      </w:r>
      <w:r w:rsidR="00CA1686">
        <w:t xml:space="preserve">Therefore, the base date used to determine the population is liquidation date for short sales and TPS and disposition date for REO.  </w:t>
      </w:r>
      <w:r w:rsidR="004F2A87">
        <w:t xml:space="preserve">REO dispositions were used </w:t>
      </w:r>
      <w:r w:rsidR="00976F6F">
        <w:t xml:space="preserve">instead of liquidations </w:t>
      </w:r>
      <w:r w:rsidR="004F2A87">
        <w:t xml:space="preserve">to allow </w:t>
      </w:r>
      <w:r w:rsidR="0052671E">
        <w:t xml:space="preserve">time for trailing </w:t>
      </w:r>
      <w:r w:rsidR="00551A76">
        <w:t xml:space="preserve">pre-liquidation </w:t>
      </w:r>
      <w:r w:rsidR="0052671E">
        <w:t>expenses to be submitted to Fannie Mae</w:t>
      </w:r>
      <w:r w:rsidR="004F2A87">
        <w:t>.</w:t>
      </w:r>
    </w:p>
    <w:p w14:paraId="2DFEFFCA" w14:textId="77777777" w:rsidR="009047C1" w:rsidRDefault="009047C1" w:rsidP="00464D53">
      <w:pPr>
        <w:jc w:val="both"/>
      </w:pPr>
    </w:p>
    <w:p w14:paraId="0BCD8F05" w14:textId="7C010859" w:rsidR="00B1260C" w:rsidRDefault="00976F6F" w:rsidP="00464D53">
      <w:pPr>
        <w:jc w:val="both"/>
      </w:pPr>
      <w:r>
        <w:t>As default inventories are declining across the country, in order to ensure a robust population size going forward, a</w:t>
      </w:r>
      <w:r w:rsidR="00F3502D">
        <w:t>ll loan liquidations and property dispositions were used r</w:t>
      </w:r>
      <w:r>
        <w:t>egardless of whether the loan was covered by MI.</w:t>
      </w:r>
      <w:r w:rsidR="00551A76">
        <w:t xml:space="preserve">  While the figures below indicate differences at a summary level in the average cost factors between loans with and without MI, this difference is diminished substantially once control factors are taken into account.</w:t>
      </w:r>
    </w:p>
    <w:p w14:paraId="5B616F0B" w14:textId="4BF18591" w:rsidR="007A2680" w:rsidRDefault="007A2680">
      <w:pPr>
        <w:rPr>
          <w:rFonts w:ascii="Arial" w:hAnsi="Arial" w:cs="Arial"/>
          <w:sz w:val="18"/>
        </w:rPr>
      </w:pPr>
    </w:p>
    <w:p w14:paraId="16E57F18" w14:textId="16C34C40" w:rsidR="00B46FC9" w:rsidRDefault="00E940BD" w:rsidP="00464D53">
      <w:pPr>
        <w:jc w:val="center"/>
      </w:pPr>
      <w:r w:rsidRPr="00544A5E">
        <w:rPr>
          <w:rFonts w:ascii="Arial" w:hAnsi="Arial" w:cs="Arial"/>
          <w:sz w:val="18"/>
        </w:rPr>
        <w:t xml:space="preserve">Figure </w:t>
      </w:r>
      <w:r w:rsidR="00544A5E" w:rsidRPr="00544A5E">
        <w:rPr>
          <w:rFonts w:ascii="Arial" w:hAnsi="Arial" w:cs="Arial"/>
          <w:sz w:val="18"/>
        </w:rPr>
        <w:t>7</w:t>
      </w:r>
      <w:r w:rsidR="00B46FC9" w:rsidRPr="00544A5E">
        <w:rPr>
          <w:rFonts w:ascii="Arial" w:hAnsi="Arial" w:cs="Arial"/>
          <w:sz w:val="18"/>
        </w:rPr>
        <w:t>:  Foreclosure Costs by MI Coverage</w:t>
      </w:r>
    </w:p>
    <w:p w14:paraId="4AB7E5B4" w14:textId="50CD1DC8" w:rsidR="00B46FC9" w:rsidRDefault="00B46FC9" w:rsidP="00464D53">
      <w:pPr>
        <w:jc w:val="center"/>
      </w:pPr>
      <w:r>
        <w:rPr>
          <w:noProof/>
        </w:rPr>
        <w:drawing>
          <wp:inline distT="0" distB="0" distL="0" distR="0" wp14:anchorId="67FC5BF1" wp14:editId="4D502698">
            <wp:extent cx="6400800" cy="840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840105"/>
                    </a:xfrm>
                    <a:prstGeom prst="rect">
                      <a:avLst/>
                    </a:prstGeom>
                  </pic:spPr>
                </pic:pic>
              </a:graphicData>
            </a:graphic>
          </wp:inline>
        </w:drawing>
      </w:r>
    </w:p>
    <w:p w14:paraId="43808A5E" w14:textId="5425E87F" w:rsidR="00FB2EC1" w:rsidRDefault="00FB2EC1" w:rsidP="00464D53">
      <w:pPr>
        <w:jc w:val="center"/>
        <w:rPr>
          <w:rFonts w:ascii="Arial" w:hAnsi="Arial" w:cs="Arial"/>
          <w:sz w:val="18"/>
        </w:rPr>
      </w:pPr>
    </w:p>
    <w:p w14:paraId="43D31845" w14:textId="0B9DE5AB" w:rsidR="00B46FC9" w:rsidRDefault="00B46FC9" w:rsidP="00464D53">
      <w:pPr>
        <w:jc w:val="center"/>
      </w:pPr>
      <w:r>
        <w:rPr>
          <w:rFonts w:ascii="Arial" w:hAnsi="Arial" w:cs="Arial"/>
          <w:sz w:val="18"/>
        </w:rPr>
        <w:t>Table</w:t>
      </w:r>
      <w:r w:rsidR="008A782E">
        <w:rPr>
          <w:rFonts w:ascii="Arial" w:hAnsi="Arial" w:cs="Arial"/>
          <w:sz w:val="18"/>
        </w:rPr>
        <w:t xml:space="preserve"> 2</w:t>
      </w:r>
      <w:r w:rsidRPr="009C1744">
        <w:rPr>
          <w:rFonts w:ascii="Arial" w:hAnsi="Arial" w:cs="Arial"/>
          <w:sz w:val="18"/>
        </w:rPr>
        <w:t xml:space="preserve">:  Foreclosure Costs by </w:t>
      </w:r>
      <w:r>
        <w:rPr>
          <w:rFonts w:ascii="Arial" w:hAnsi="Arial" w:cs="Arial"/>
          <w:sz w:val="18"/>
        </w:rPr>
        <w:t>MI Coverage</w:t>
      </w:r>
    </w:p>
    <w:p w14:paraId="42607619" w14:textId="773231CD" w:rsidR="00B1260C" w:rsidRDefault="00B1260C" w:rsidP="00464D53">
      <w:pPr>
        <w:jc w:val="center"/>
      </w:pPr>
      <w:r>
        <w:rPr>
          <w:noProof/>
        </w:rPr>
        <w:drawing>
          <wp:inline distT="0" distB="0" distL="0" distR="0" wp14:anchorId="5BAD7989" wp14:editId="291C648C">
            <wp:extent cx="6286500" cy="1028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86500" cy="1028700"/>
                    </a:xfrm>
                    <a:prstGeom prst="rect">
                      <a:avLst/>
                    </a:prstGeom>
                  </pic:spPr>
                </pic:pic>
              </a:graphicData>
            </a:graphic>
          </wp:inline>
        </w:drawing>
      </w:r>
    </w:p>
    <w:p w14:paraId="099F7CFE" w14:textId="77777777" w:rsidR="00B1260C" w:rsidRDefault="00B1260C" w:rsidP="0052671E"/>
    <w:p w14:paraId="6FC27793" w14:textId="77777777" w:rsidR="00B13F21" w:rsidRDefault="0052671E" w:rsidP="00464D53">
      <w:pPr>
        <w:jc w:val="both"/>
      </w:pPr>
      <w:r>
        <w:t xml:space="preserve">Adjustments </w:t>
      </w:r>
      <w:r w:rsidR="00B13F21">
        <w:t>to account for</w:t>
      </w:r>
      <w:r w:rsidR="002A0CAB">
        <w:t xml:space="preserve"> disallowances and curtailments </w:t>
      </w:r>
      <w:r w:rsidR="00E17162">
        <w:t>were made as</w:t>
      </w:r>
      <w:r w:rsidR="002A0CAB">
        <w:t xml:space="preserve"> follows.</w:t>
      </w:r>
    </w:p>
    <w:p w14:paraId="1272320C" w14:textId="77777777" w:rsidR="00B13F21" w:rsidRDefault="00B13F21" w:rsidP="00464D53">
      <w:pPr>
        <w:jc w:val="both"/>
      </w:pPr>
    </w:p>
    <w:p w14:paraId="41F6C2B6" w14:textId="77777777" w:rsidR="00B13F21" w:rsidRDefault="00B13F21" w:rsidP="00464D53">
      <w:pPr>
        <w:pStyle w:val="ListParagraph"/>
        <w:numPr>
          <w:ilvl w:val="0"/>
          <w:numId w:val="33"/>
        </w:numPr>
        <w:jc w:val="both"/>
      </w:pPr>
      <w:r>
        <w:t xml:space="preserve">Disallowance Adjustment:  All costs </w:t>
      </w:r>
      <w:r w:rsidR="00F446CE">
        <w:t>on the standardized disallowed</w:t>
      </w:r>
      <w:r>
        <w:t xml:space="preserve"> list were removed from the estimation </w:t>
      </w:r>
      <w:r w:rsidR="00CE1932">
        <w:t>data</w:t>
      </w:r>
      <w:r>
        <w:t>.</w:t>
      </w:r>
    </w:p>
    <w:p w14:paraId="32989D7B" w14:textId="77777777" w:rsidR="00B13F21" w:rsidRDefault="00B13F21" w:rsidP="00464D53">
      <w:pPr>
        <w:pStyle w:val="ListParagraph"/>
        <w:jc w:val="both"/>
      </w:pPr>
    </w:p>
    <w:p w14:paraId="23DE3799" w14:textId="77777777" w:rsidR="00A45575" w:rsidRDefault="00B13F21" w:rsidP="00464D53">
      <w:pPr>
        <w:pStyle w:val="ListParagraph"/>
        <w:numPr>
          <w:ilvl w:val="0"/>
          <w:numId w:val="33"/>
        </w:numPr>
        <w:jc w:val="both"/>
      </w:pPr>
      <w:r>
        <w:t xml:space="preserve">Curtailment Adjustment:  </w:t>
      </w:r>
      <w:r w:rsidR="009D52D8">
        <w:t xml:space="preserve">All variable costs incurred after the allowed foreclosure timelines, including allowable delays, were removed from the estimation </w:t>
      </w:r>
      <w:r w:rsidR="00CE1932">
        <w:t>data</w:t>
      </w:r>
      <w:r w:rsidR="009D52D8">
        <w:t>.</w:t>
      </w:r>
    </w:p>
    <w:p w14:paraId="3D831D10" w14:textId="77777777" w:rsidR="002D6C19" w:rsidRDefault="002D6C19" w:rsidP="00464D53">
      <w:pPr>
        <w:jc w:val="both"/>
        <w:rPr>
          <w:u w:val="single"/>
        </w:rPr>
      </w:pPr>
    </w:p>
    <w:p w14:paraId="563001A4" w14:textId="5586F425" w:rsidR="00F21474" w:rsidRPr="000209FF" w:rsidRDefault="00A87669" w:rsidP="00464D53">
      <w:pPr>
        <w:jc w:val="both"/>
        <w:rPr>
          <w:u w:val="single"/>
        </w:rPr>
      </w:pPr>
      <w:r>
        <w:t>The e</w:t>
      </w:r>
      <w:r w:rsidRPr="00E11C84">
        <w:t>stimat</w:t>
      </w:r>
      <w:r>
        <w:t>ion data was used to predict foreclosure costs from</w:t>
      </w:r>
      <w:r w:rsidR="005560D8" w:rsidRPr="00E11C84">
        <w:t xml:space="preserve"> January through December 2015.  </w:t>
      </w:r>
      <w:r w:rsidR="00EF1BC9">
        <w:t>The six-month lag in the data from July 2014 – December 2015 is in place to mimic the MI Factor implementation.  When updating the algorithm going forward, a six-month d</w:t>
      </w:r>
      <w:r w:rsidR="005560D8" w:rsidRPr="00E11C84">
        <w:t xml:space="preserve">ata lag </w:t>
      </w:r>
      <w:r w:rsidR="00EF1BC9">
        <w:t xml:space="preserve">will be needed </w:t>
      </w:r>
      <w:r w:rsidR="005560D8" w:rsidRPr="00E11C84">
        <w:t>to allow time for all foreclosure costs to be submitted to Fannie Mae</w:t>
      </w:r>
      <w:r w:rsidR="00874C46">
        <w:t xml:space="preserve"> and for distribution of the proposed updated grid to MI companies for evaluation prior to implementation</w:t>
      </w:r>
      <w:r w:rsidR="005560D8" w:rsidRPr="00E11C84">
        <w:t>.</w:t>
      </w:r>
    </w:p>
    <w:p w14:paraId="5ABEC4E2" w14:textId="63880DCA" w:rsidR="00A8679A" w:rsidRDefault="00A8679A">
      <w:pPr>
        <w:rPr>
          <w:u w:val="single"/>
        </w:rPr>
      </w:pPr>
    </w:p>
    <w:p w14:paraId="175828E4" w14:textId="4D554181" w:rsidR="002D6C19" w:rsidRPr="00EA63F7" w:rsidRDefault="002D6C19" w:rsidP="002D6C19">
      <w:pPr>
        <w:rPr>
          <w:u w:val="single"/>
        </w:rPr>
      </w:pPr>
      <w:r>
        <w:rPr>
          <w:u w:val="single"/>
        </w:rPr>
        <w:t xml:space="preserve">MI Factor:  Key </w:t>
      </w:r>
      <w:r w:rsidRPr="00EA63F7">
        <w:rPr>
          <w:u w:val="single"/>
        </w:rPr>
        <w:t>Loan Characteristics</w:t>
      </w:r>
    </w:p>
    <w:p w14:paraId="2C258015" w14:textId="77777777" w:rsidR="00B342D6" w:rsidRDefault="002D6C19" w:rsidP="00464D53">
      <w:pPr>
        <w:jc w:val="both"/>
      </w:pPr>
      <w:r w:rsidRPr="00EA63F7">
        <w:t xml:space="preserve">The loan characteristics </w:t>
      </w:r>
      <w:r w:rsidR="00522174">
        <w:t xml:space="preserve">that were found to best explain </w:t>
      </w:r>
      <w:r>
        <w:t>foreclosure</w:t>
      </w:r>
      <w:r w:rsidRPr="00EA63F7">
        <w:t xml:space="preserve"> costs are disposition typ</w:t>
      </w:r>
      <w:r>
        <w:t xml:space="preserve">e, geography, </w:t>
      </w:r>
      <w:r w:rsidR="00565914">
        <w:t xml:space="preserve">property </w:t>
      </w:r>
      <w:r w:rsidRPr="00EA63F7">
        <w:t>value</w:t>
      </w:r>
      <w:r>
        <w:t xml:space="preserve">, </w:t>
      </w:r>
      <w:r w:rsidR="00B750EC">
        <w:t>property type,</w:t>
      </w:r>
      <w:r w:rsidR="00B750EC" w:rsidRPr="00EA63F7">
        <w:t xml:space="preserve"> </w:t>
      </w:r>
      <w:r>
        <w:t xml:space="preserve">and </w:t>
      </w:r>
      <w:r w:rsidR="00522174">
        <w:t>an urban/rural indicator</w:t>
      </w:r>
      <w:r w:rsidRPr="00EA63F7">
        <w:t>.</w:t>
      </w:r>
      <w:r>
        <w:t xml:space="preserve">  </w:t>
      </w:r>
      <w:r w:rsidR="00522174">
        <w:t xml:space="preserve">The specifications for each loan characteristic </w:t>
      </w:r>
      <w:r w:rsidR="00522174">
        <w:lastRenderedPageBreak/>
        <w:t>is detailed below with alternative</w:t>
      </w:r>
      <w:r w:rsidR="00EE7407">
        <w:t xml:space="preserve"> </w:t>
      </w:r>
      <w:r w:rsidR="00522174">
        <w:t>s</w:t>
      </w:r>
      <w:r w:rsidR="00EE7407">
        <w:t>pecifications</w:t>
      </w:r>
      <w:r w:rsidR="00522174">
        <w:t xml:space="preserve"> provided for geography, property value, and the urban/rural indicator.</w:t>
      </w:r>
    </w:p>
    <w:p w14:paraId="35AF6385" w14:textId="77777777" w:rsidR="002D6C19" w:rsidRPr="004B1BCE" w:rsidRDefault="002D6C19" w:rsidP="00464D53">
      <w:pPr>
        <w:jc w:val="both"/>
      </w:pPr>
    </w:p>
    <w:p w14:paraId="2489C082" w14:textId="784BC380" w:rsidR="00565914" w:rsidRDefault="00522174" w:rsidP="00464D53">
      <w:pPr>
        <w:pStyle w:val="ListParagraph"/>
        <w:numPr>
          <w:ilvl w:val="0"/>
          <w:numId w:val="4"/>
        </w:numPr>
        <w:jc w:val="both"/>
      </w:pPr>
      <w:r w:rsidRPr="00E66D99">
        <w:t>Disposition Type</w:t>
      </w:r>
      <w:r w:rsidR="00E66D99">
        <w:t>:  Disposition type</w:t>
      </w:r>
      <w:r w:rsidR="00BF7E34">
        <w:t xml:space="preserve"> has a significant impact on foreclosure costs since there are costs that </w:t>
      </w:r>
      <w:r w:rsidR="00A1483D">
        <w:t xml:space="preserve">only </w:t>
      </w:r>
      <w:r w:rsidR="00BF7E34">
        <w:t xml:space="preserve">occur </w:t>
      </w:r>
      <w:r w:rsidR="00A1483D">
        <w:t xml:space="preserve">in relation </w:t>
      </w:r>
      <w:r w:rsidR="00BF7E34">
        <w:t>to the foreclosure event.  S</w:t>
      </w:r>
      <w:r w:rsidR="00E66D99">
        <w:t>hort sales,</w:t>
      </w:r>
      <w:r w:rsidR="00BF7E34">
        <w:t xml:space="preserve"> which dispose without going through </w:t>
      </w:r>
      <w:r w:rsidR="000A67CE">
        <w:t xml:space="preserve">a full </w:t>
      </w:r>
      <w:r w:rsidR="00BF7E34">
        <w:t xml:space="preserve">foreclosure, do not have </w:t>
      </w:r>
      <w:r w:rsidR="000A67CE">
        <w:t xml:space="preserve">a full share of foreclosure </w:t>
      </w:r>
      <w:r w:rsidR="00BF7E34">
        <w:t>costs, whereas</w:t>
      </w:r>
      <w:r w:rsidR="00E66D99">
        <w:t xml:space="preserve"> TPS and REO</w:t>
      </w:r>
      <w:r w:rsidR="00BF7E34">
        <w:t xml:space="preserve">, which do go through </w:t>
      </w:r>
      <w:r w:rsidR="000A67CE">
        <w:t xml:space="preserve">full </w:t>
      </w:r>
      <w:r w:rsidR="00BF7E34">
        <w:t>foreclosure</w:t>
      </w:r>
      <w:r w:rsidR="000A67CE">
        <w:t>, do</w:t>
      </w:r>
      <w:r w:rsidR="00BF7E34">
        <w:t>.  Due to this, TPS and REO are grouped separately from short sales in the MI Factor algorithm.</w:t>
      </w:r>
      <w:r w:rsidR="00565914">
        <w:t xml:space="preserve">  </w:t>
      </w:r>
      <w:r w:rsidR="001C7607">
        <w:t>Although</w:t>
      </w:r>
      <w:r w:rsidR="00284C9A">
        <w:t xml:space="preserve"> DIL </w:t>
      </w:r>
      <w:r w:rsidR="000A67CE">
        <w:t xml:space="preserve">generally </w:t>
      </w:r>
      <w:r w:rsidR="00284C9A">
        <w:t>has a cost structure that is more similar to short sales, for practical reasons</w:t>
      </w:r>
      <w:r w:rsidR="000A67CE">
        <w:t xml:space="preserve"> of low frequency and information availability</w:t>
      </w:r>
      <w:r w:rsidR="00284C9A">
        <w:t>, DIL is grouped with TPS and REO.</w:t>
      </w:r>
      <w:r w:rsidR="00961EA2">
        <w:t xml:space="preserve">  The property value specification</w:t>
      </w:r>
      <w:r w:rsidR="000A67CE">
        <w:t xml:space="preserve"> for short sales</w:t>
      </w:r>
      <w:r w:rsidR="00961EA2">
        <w:t xml:space="preserve">, which is covered </w:t>
      </w:r>
      <w:r w:rsidR="000A67CE">
        <w:t>later</w:t>
      </w:r>
      <w:r w:rsidR="00961EA2">
        <w:t xml:space="preserve">, requires a retail sales price for short sale dispositions.  </w:t>
      </w:r>
      <w:r w:rsidR="00A41BE9">
        <w:t>Since</w:t>
      </w:r>
      <w:r w:rsidR="00961EA2">
        <w:t xml:space="preserve"> DIL liquidations dispose as REO, a sales price is not available when the MI claim is filed.</w:t>
      </w:r>
      <w:r w:rsidR="00A41BE9">
        <w:t xml:space="preserve">  DIL makes up a small percent of all default liquidations so </w:t>
      </w:r>
      <w:r w:rsidR="008E03CA">
        <w:t>they cannot be grouped on their own</w:t>
      </w:r>
      <w:r w:rsidR="000A67CE">
        <w:t xml:space="preserve"> in the longer term without introducing volatility</w:t>
      </w:r>
      <w:r w:rsidR="008E03CA">
        <w:t xml:space="preserve">.  Due to their small size relative to REO, </w:t>
      </w:r>
      <w:r w:rsidR="00A41BE9">
        <w:t>grouping them with REO and TPS has a minimal impact on the overall performance of the MI Factor algorithm.</w:t>
      </w:r>
      <w:r w:rsidR="000A67CE">
        <w:t xml:space="preserve">  If in the future DIL volumes become a larger share relative to REO or TPS, this bucketing may be revisited.</w:t>
      </w:r>
    </w:p>
    <w:p w14:paraId="187812C4" w14:textId="6393F5D4" w:rsidR="007D2C6E" w:rsidRDefault="007D2C6E">
      <w:pPr>
        <w:rPr>
          <w:rFonts w:ascii="Arial" w:hAnsi="Arial" w:cs="Arial"/>
          <w:sz w:val="18"/>
        </w:rPr>
      </w:pPr>
    </w:p>
    <w:p w14:paraId="256CE522" w14:textId="069E6C3C" w:rsidR="006E70D7" w:rsidRDefault="00E940BD" w:rsidP="00464D53">
      <w:pPr>
        <w:ind w:left="720"/>
        <w:jc w:val="center"/>
      </w:pPr>
      <w:r>
        <w:rPr>
          <w:rFonts w:ascii="Arial" w:hAnsi="Arial" w:cs="Arial"/>
          <w:sz w:val="18"/>
        </w:rPr>
        <w:t xml:space="preserve">Figure </w:t>
      </w:r>
      <w:r w:rsidR="00544A5E">
        <w:rPr>
          <w:rFonts w:ascii="Arial" w:hAnsi="Arial" w:cs="Arial"/>
          <w:sz w:val="18"/>
        </w:rPr>
        <w:t>8</w:t>
      </w:r>
      <w:r w:rsidR="006E70D7" w:rsidRPr="009C1744">
        <w:rPr>
          <w:rFonts w:ascii="Arial" w:hAnsi="Arial" w:cs="Arial"/>
          <w:sz w:val="18"/>
        </w:rPr>
        <w:t>:  Foreclosure Costs by Disposition Type</w:t>
      </w:r>
    </w:p>
    <w:p w14:paraId="538ADB08" w14:textId="1EE00137" w:rsidR="00350834" w:rsidRDefault="000977DB" w:rsidP="00464D53">
      <w:pPr>
        <w:ind w:left="720"/>
        <w:jc w:val="center"/>
      </w:pPr>
      <w:r>
        <w:rPr>
          <w:noProof/>
        </w:rPr>
        <w:drawing>
          <wp:inline distT="0" distB="0" distL="0" distR="0" wp14:anchorId="129B56ED" wp14:editId="143FF43F">
            <wp:extent cx="5852160" cy="10903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69196" cy="1093487"/>
                    </a:xfrm>
                    <a:prstGeom prst="rect">
                      <a:avLst/>
                    </a:prstGeom>
                  </pic:spPr>
                </pic:pic>
              </a:graphicData>
            </a:graphic>
          </wp:inline>
        </w:drawing>
      </w:r>
    </w:p>
    <w:p w14:paraId="0A2CA8A1" w14:textId="77777777" w:rsidR="006E70D7" w:rsidRPr="006E70D7" w:rsidRDefault="006E70D7" w:rsidP="00464D53">
      <w:pPr>
        <w:ind w:left="720"/>
        <w:jc w:val="center"/>
      </w:pPr>
    </w:p>
    <w:p w14:paraId="11019B00" w14:textId="00EE67B7" w:rsidR="004C6421" w:rsidRPr="00BB5DC8" w:rsidRDefault="008A782E" w:rsidP="00464D53">
      <w:pPr>
        <w:ind w:left="720"/>
        <w:jc w:val="center"/>
        <w:rPr>
          <w:rFonts w:ascii="Arial" w:hAnsi="Arial" w:cs="Arial"/>
          <w:sz w:val="18"/>
        </w:rPr>
      </w:pPr>
      <w:r>
        <w:rPr>
          <w:rFonts w:ascii="Arial" w:hAnsi="Arial" w:cs="Arial"/>
          <w:sz w:val="18"/>
        </w:rPr>
        <w:t>Table 3</w:t>
      </w:r>
      <w:r w:rsidR="004C6421" w:rsidRPr="006E70D7">
        <w:rPr>
          <w:rFonts w:ascii="Arial" w:hAnsi="Arial" w:cs="Arial"/>
          <w:sz w:val="18"/>
        </w:rPr>
        <w:t>:  Foreclosure Costs by Disposition Type</w:t>
      </w:r>
    </w:p>
    <w:p w14:paraId="05A4015B" w14:textId="5E4C69C7" w:rsidR="00EF797D" w:rsidRDefault="000977DB" w:rsidP="00464D53">
      <w:pPr>
        <w:ind w:left="630"/>
        <w:jc w:val="center"/>
      </w:pPr>
      <w:r>
        <w:rPr>
          <w:noProof/>
        </w:rPr>
        <w:drawing>
          <wp:inline distT="0" distB="0" distL="0" distR="0" wp14:anchorId="4684AB7E" wp14:editId="07BE34BB">
            <wp:extent cx="5923264" cy="127220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7993" cy="1277520"/>
                    </a:xfrm>
                    <a:prstGeom prst="rect">
                      <a:avLst/>
                    </a:prstGeom>
                  </pic:spPr>
                </pic:pic>
              </a:graphicData>
            </a:graphic>
          </wp:inline>
        </w:drawing>
      </w:r>
    </w:p>
    <w:p w14:paraId="7FD4B5EE" w14:textId="77777777" w:rsidR="002D6C19" w:rsidRDefault="002D6C19" w:rsidP="002D6C19"/>
    <w:p w14:paraId="1E545C4E" w14:textId="1D86EBE6" w:rsidR="002D6C19" w:rsidRDefault="002D6C19" w:rsidP="00464D53">
      <w:pPr>
        <w:pStyle w:val="ListParagraph"/>
        <w:numPr>
          <w:ilvl w:val="0"/>
          <w:numId w:val="4"/>
        </w:numPr>
        <w:jc w:val="both"/>
      </w:pPr>
      <w:r>
        <w:t>Geography</w:t>
      </w:r>
      <w:r w:rsidR="00BF7E34">
        <w:t xml:space="preserve">:  </w:t>
      </w:r>
      <w:r w:rsidR="008B3C5D">
        <w:t>D</w:t>
      </w:r>
      <w:r w:rsidR="007101DC">
        <w:t>ifferences</w:t>
      </w:r>
      <w:r w:rsidR="008B3C5D">
        <w:t xml:space="preserve"> that vary by geography</w:t>
      </w:r>
      <w:r w:rsidR="007101DC">
        <w:t>, such as costs of</w:t>
      </w:r>
      <w:r w:rsidR="00EE7407">
        <w:t xml:space="preserve"> living, </w:t>
      </w:r>
      <w:r w:rsidR="007101DC">
        <w:t>judicial processes, etc.,</w:t>
      </w:r>
      <w:r>
        <w:t xml:space="preserve"> </w:t>
      </w:r>
      <w:r w:rsidR="007101DC">
        <w:t xml:space="preserve">also have a significant </w:t>
      </w:r>
      <w:r>
        <w:t xml:space="preserve">impact on foreclosure costs. </w:t>
      </w:r>
      <w:r w:rsidR="007101DC">
        <w:t xml:space="preserve"> </w:t>
      </w:r>
      <w:r w:rsidR="008B3C5D">
        <w:t xml:space="preserve">To capture these geographical differences, </w:t>
      </w:r>
      <w:r>
        <w:t xml:space="preserve">two </w:t>
      </w:r>
      <w:r w:rsidR="008B3C5D">
        <w:t>specific</w:t>
      </w:r>
      <w:r w:rsidR="00451853">
        <w:t>ation alternatives</w:t>
      </w:r>
      <w:r w:rsidR="003A71BA">
        <w:t xml:space="preserve"> were researched</w:t>
      </w:r>
      <w:r w:rsidR="00451853">
        <w:t>.</w:t>
      </w:r>
    </w:p>
    <w:p w14:paraId="2565E518" w14:textId="77777777" w:rsidR="002D6C19" w:rsidRDefault="002D6C19" w:rsidP="002D6C19">
      <w:pPr>
        <w:pStyle w:val="ListParagraph"/>
      </w:pPr>
    </w:p>
    <w:p w14:paraId="51128B81" w14:textId="77777777" w:rsidR="00BD23BE" w:rsidRPr="00BD23BE" w:rsidRDefault="00BD23BE" w:rsidP="002D6C19">
      <w:pPr>
        <w:pStyle w:val="ListParagraph"/>
        <w:rPr>
          <w:u w:val="single"/>
        </w:rPr>
      </w:pPr>
      <w:r w:rsidRPr="00BD23BE">
        <w:rPr>
          <w:u w:val="single"/>
        </w:rPr>
        <w:t xml:space="preserve">Geography Alternative </w:t>
      </w:r>
      <w:r w:rsidR="002D6C19" w:rsidRPr="00BD23BE">
        <w:rPr>
          <w:u w:val="single"/>
        </w:rPr>
        <w:t>1:</w:t>
      </w:r>
      <w:r w:rsidRPr="00BD23BE">
        <w:rPr>
          <w:u w:val="single"/>
        </w:rPr>
        <w:t xml:space="preserve">  50 States</w:t>
      </w:r>
    </w:p>
    <w:p w14:paraId="4F7EC022" w14:textId="5C149F89" w:rsidR="0058674E" w:rsidRDefault="002D6C19" w:rsidP="00464D53">
      <w:pPr>
        <w:pStyle w:val="ListParagraph"/>
        <w:jc w:val="both"/>
      </w:pPr>
      <w:r>
        <w:t>The</w:t>
      </w:r>
      <w:r w:rsidR="003F2B86">
        <w:t xml:space="preserve"> first</w:t>
      </w:r>
      <w:r w:rsidR="00EE7407">
        <w:t xml:space="preserve"> specification</w:t>
      </w:r>
      <w:r w:rsidR="003F2B86">
        <w:t xml:space="preserve"> alternative </w:t>
      </w:r>
      <w:r w:rsidR="00B567F3">
        <w:t xml:space="preserve">for </w:t>
      </w:r>
      <w:r w:rsidR="003F2B86">
        <w:t xml:space="preserve">geography </w:t>
      </w:r>
      <w:r w:rsidR="00B567F3">
        <w:t xml:space="preserve">uses </w:t>
      </w:r>
      <w:r w:rsidR="003F2B86">
        <w:t xml:space="preserve">50 </w:t>
      </w:r>
      <w:r w:rsidR="00B567F3">
        <w:t xml:space="preserve">state-level </w:t>
      </w:r>
      <w:r w:rsidR="003F2B86">
        <w:t>buckets.  The 50 buckets are comprised of the 48 continental states; Washington, DC; and a consolidated grouping of the non-continental states and territories</w:t>
      </w:r>
      <w:r w:rsidR="00A7569E">
        <w:t xml:space="preserve">, which </w:t>
      </w:r>
      <w:r w:rsidR="005F2BC8">
        <w:t>were grouped in order to ensure</w:t>
      </w:r>
      <w:r w:rsidR="00A7569E">
        <w:t xml:space="preserve"> that</w:t>
      </w:r>
      <w:r w:rsidR="005F2BC8">
        <w:t xml:space="preserve"> sufficient default volumes </w:t>
      </w:r>
      <w:r w:rsidR="00A7569E">
        <w:t>are</w:t>
      </w:r>
      <w:r w:rsidR="005F2BC8">
        <w:t xml:space="preserve"> available for estimation.</w:t>
      </w:r>
      <w:r w:rsidR="0058674E">
        <w:t xml:space="preserve">  Due to the size, the </w:t>
      </w:r>
      <w:r w:rsidR="003A71BA">
        <w:t xml:space="preserve">full </w:t>
      </w:r>
      <w:r w:rsidR="00371CF9">
        <w:t>“</w:t>
      </w:r>
      <w:r w:rsidR="0058674E">
        <w:t>Foreclosure Costs by 50 States</w:t>
      </w:r>
      <w:r w:rsidR="00371CF9">
        <w:t>”</w:t>
      </w:r>
      <w:r w:rsidR="0058674E">
        <w:t xml:space="preserve"> table can be </w:t>
      </w:r>
      <w:r w:rsidR="0058674E" w:rsidRPr="004F0D8D">
        <w:t xml:space="preserve">found in </w:t>
      </w:r>
      <w:r w:rsidR="003A71BA">
        <w:t>A</w:t>
      </w:r>
      <w:r w:rsidR="003A71BA" w:rsidRPr="004F0D8D">
        <w:t xml:space="preserve">ppendix </w:t>
      </w:r>
      <w:r w:rsidR="004F0D8D" w:rsidRPr="004F0D8D">
        <w:t>C</w:t>
      </w:r>
      <w:r w:rsidR="0058674E" w:rsidRPr="004F0D8D">
        <w:t>.</w:t>
      </w:r>
    </w:p>
    <w:p w14:paraId="3FC818B8" w14:textId="74E12A79" w:rsidR="007D2C6E" w:rsidRDefault="007D2C6E">
      <w:pPr>
        <w:rPr>
          <w:rFonts w:ascii="Arial" w:hAnsi="Arial" w:cs="Arial"/>
          <w:sz w:val="18"/>
        </w:rPr>
      </w:pPr>
    </w:p>
    <w:p w14:paraId="6F13070D" w14:textId="77777777" w:rsidR="007D5600" w:rsidRDefault="007D5600">
      <w:pPr>
        <w:rPr>
          <w:rFonts w:ascii="Arial" w:hAnsi="Arial" w:cs="Arial"/>
          <w:sz w:val="18"/>
        </w:rPr>
      </w:pPr>
      <w:r>
        <w:rPr>
          <w:rFonts w:ascii="Arial" w:hAnsi="Arial" w:cs="Arial"/>
          <w:sz w:val="18"/>
        </w:rPr>
        <w:br w:type="page"/>
      </w:r>
    </w:p>
    <w:p w14:paraId="51607395" w14:textId="7E647615" w:rsidR="007D2C6E" w:rsidRDefault="00E940BD" w:rsidP="00464D53">
      <w:pPr>
        <w:ind w:left="720"/>
        <w:jc w:val="center"/>
        <w:rPr>
          <w:rFonts w:ascii="Arial" w:hAnsi="Arial" w:cs="Arial"/>
          <w:sz w:val="18"/>
        </w:rPr>
      </w:pPr>
      <w:r>
        <w:rPr>
          <w:rFonts w:ascii="Arial" w:hAnsi="Arial" w:cs="Arial"/>
          <w:sz w:val="18"/>
        </w:rPr>
        <w:lastRenderedPageBreak/>
        <w:t xml:space="preserve">Figure </w:t>
      </w:r>
      <w:r w:rsidR="00544A5E">
        <w:rPr>
          <w:rFonts w:ascii="Arial" w:hAnsi="Arial" w:cs="Arial"/>
          <w:sz w:val="18"/>
        </w:rPr>
        <w:t>9</w:t>
      </w:r>
      <w:r w:rsidR="007004B8" w:rsidRPr="009C1744">
        <w:rPr>
          <w:rFonts w:ascii="Arial" w:hAnsi="Arial" w:cs="Arial"/>
          <w:sz w:val="18"/>
        </w:rPr>
        <w:t xml:space="preserve">:  Foreclosure Costs by </w:t>
      </w:r>
      <w:r w:rsidR="007004B8">
        <w:rPr>
          <w:rFonts w:ascii="Arial" w:hAnsi="Arial" w:cs="Arial"/>
          <w:sz w:val="18"/>
        </w:rPr>
        <w:t>50 States</w:t>
      </w:r>
    </w:p>
    <w:p w14:paraId="1C8D7334" w14:textId="7C3F0094" w:rsidR="000845D7" w:rsidRDefault="0066724C" w:rsidP="00464D53">
      <w:pPr>
        <w:ind w:left="720"/>
        <w:jc w:val="center"/>
      </w:pPr>
      <w:r>
        <w:rPr>
          <w:noProof/>
        </w:rPr>
        <w:drawing>
          <wp:inline distT="0" distB="0" distL="0" distR="0" wp14:anchorId="062A96B4" wp14:editId="5D5DA58C">
            <wp:extent cx="6400800" cy="4921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921885"/>
                    </a:xfrm>
                    <a:prstGeom prst="rect">
                      <a:avLst/>
                    </a:prstGeom>
                  </pic:spPr>
                </pic:pic>
              </a:graphicData>
            </a:graphic>
          </wp:inline>
        </w:drawing>
      </w:r>
    </w:p>
    <w:p w14:paraId="7989644F" w14:textId="77777777" w:rsidR="000845D7" w:rsidRDefault="000845D7" w:rsidP="002D6C19">
      <w:pPr>
        <w:pStyle w:val="ListParagraph"/>
      </w:pPr>
    </w:p>
    <w:p w14:paraId="5B7E944E" w14:textId="77777777" w:rsidR="00BD23BE" w:rsidRDefault="00BD23BE" w:rsidP="002D6C19">
      <w:pPr>
        <w:pStyle w:val="ListParagraph"/>
      </w:pPr>
      <w:r w:rsidRPr="00BD23BE">
        <w:rPr>
          <w:u w:val="single"/>
        </w:rPr>
        <w:t xml:space="preserve">Geography Alternative </w:t>
      </w:r>
      <w:r>
        <w:rPr>
          <w:u w:val="single"/>
        </w:rPr>
        <w:t>2</w:t>
      </w:r>
      <w:r w:rsidRPr="00BD23BE">
        <w:rPr>
          <w:u w:val="single"/>
        </w:rPr>
        <w:t xml:space="preserve">:  </w:t>
      </w:r>
      <w:r w:rsidR="00DD37E9">
        <w:rPr>
          <w:u w:val="single"/>
        </w:rPr>
        <w:t>State Clusters</w:t>
      </w:r>
    </w:p>
    <w:p w14:paraId="220C5200" w14:textId="059017F4" w:rsidR="00086313" w:rsidRDefault="00AE5D7C" w:rsidP="00464D53">
      <w:pPr>
        <w:ind w:left="720"/>
        <w:jc w:val="both"/>
      </w:pPr>
      <w:r>
        <w:t>S</w:t>
      </w:r>
      <w:r w:rsidR="00E66B02">
        <w:t>tate</w:t>
      </w:r>
      <w:r w:rsidR="00086313">
        <w:t xml:space="preserve"> </w:t>
      </w:r>
      <w:r>
        <w:t xml:space="preserve">clusters </w:t>
      </w:r>
      <w:r w:rsidR="00EF6CB1">
        <w:t>were an</w:t>
      </w:r>
      <w:r w:rsidR="00DD37E9">
        <w:t xml:space="preserve"> alternative approach </w:t>
      </w:r>
      <w:r w:rsidR="00EF6CB1">
        <w:t xml:space="preserve">researched rather than </w:t>
      </w:r>
      <w:r w:rsidR="00DD37E9">
        <w:t xml:space="preserve">using the </w:t>
      </w:r>
      <w:r w:rsidR="00EF6CB1">
        <w:t xml:space="preserve">full </w:t>
      </w:r>
      <w:r w:rsidR="00DD37E9">
        <w:t xml:space="preserve">50-state </w:t>
      </w:r>
      <w:r w:rsidR="0056189A">
        <w:t>grouping for geography</w:t>
      </w:r>
      <w:r w:rsidR="00086313">
        <w:t xml:space="preserve">.  </w:t>
      </w:r>
      <w:r w:rsidR="00E66B02">
        <w:t>A c</w:t>
      </w:r>
      <w:r w:rsidR="00086313">
        <w:t>lustering</w:t>
      </w:r>
      <w:r w:rsidR="00E66B02">
        <w:t xml:space="preserve"> methodology</w:t>
      </w:r>
      <w:r w:rsidR="00086313">
        <w:t xml:space="preserve"> </w:t>
      </w:r>
      <w:r w:rsidR="0056189A">
        <w:t>group</w:t>
      </w:r>
      <w:r w:rsidR="00086313">
        <w:t>s</w:t>
      </w:r>
      <w:r w:rsidR="0056189A">
        <w:t xml:space="preserve"> </w:t>
      </w:r>
      <w:r w:rsidR="00086313">
        <w:t xml:space="preserve">states with </w:t>
      </w:r>
      <w:r w:rsidR="0056189A">
        <w:t>similar patterns together</w:t>
      </w:r>
      <w:r w:rsidR="00086313">
        <w:t xml:space="preserve">, which </w:t>
      </w:r>
      <w:r w:rsidR="0056189A">
        <w:t>provide</w:t>
      </w:r>
      <w:r w:rsidR="00086313">
        <w:t>s</w:t>
      </w:r>
      <w:r w:rsidR="0056189A">
        <w:t xml:space="preserve"> a more streamlined structure </w:t>
      </w:r>
      <w:r w:rsidR="00086313">
        <w:t>for</w:t>
      </w:r>
      <w:r w:rsidR="0056189A">
        <w:t xml:space="preserve"> the overall framework.  This has an obvious implementation</w:t>
      </w:r>
      <w:r w:rsidR="00086313">
        <w:t xml:space="preserve"> </w:t>
      </w:r>
      <w:r w:rsidR="00C85F7B">
        <w:t>benefit</w:t>
      </w:r>
      <w:r w:rsidR="00086313">
        <w:t xml:space="preserve"> and also </w:t>
      </w:r>
      <w:r w:rsidR="0056189A">
        <w:t xml:space="preserve">provides </w:t>
      </w:r>
      <w:r w:rsidR="00086313">
        <w:t xml:space="preserve">the algorithm with </w:t>
      </w:r>
      <w:r w:rsidR="0056189A">
        <w:t xml:space="preserve">greater longevity as default volumes continue to </w:t>
      </w:r>
      <w:r w:rsidR="00086313">
        <w:t>decline.</w:t>
      </w:r>
    </w:p>
    <w:p w14:paraId="4DB27F6C" w14:textId="77777777" w:rsidR="00086313" w:rsidRDefault="00086313" w:rsidP="00464D53">
      <w:pPr>
        <w:ind w:left="720"/>
        <w:jc w:val="both"/>
      </w:pPr>
    </w:p>
    <w:p w14:paraId="53CF3FA1" w14:textId="30CAD4FE" w:rsidR="002F6889" w:rsidRDefault="00E66B02" w:rsidP="00464D53">
      <w:pPr>
        <w:ind w:left="720"/>
        <w:jc w:val="both"/>
      </w:pPr>
      <w:r w:rsidRPr="001F28B5">
        <w:t xml:space="preserve">A </w:t>
      </w:r>
      <w:r w:rsidRPr="00464D53">
        <w:rPr>
          <w:i/>
        </w:rPr>
        <w:t>k</w:t>
      </w:r>
      <w:r w:rsidRPr="001F28B5">
        <w:t>-means cluster algorithm was used</w:t>
      </w:r>
      <w:r w:rsidR="00AA3CAE" w:rsidRPr="001F28B5">
        <w:t xml:space="preserve"> to group like states.</w:t>
      </w:r>
      <w:r w:rsidR="001B6EFE" w:rsidRPr="001F28B5">
        <w:t xml:space="preserve">  The </w:t>
      </w:r>
      <w:r w:rsidR="001B6EFE" w:rsidRPr="00464D53">
        <w:rPr>
          <w:i/>
        </w:rPr>
        <w:t>k</w:t>
      </w:r>
      <w:r w:rsidR="001B6EFE" w:rsidRPr="001F28B5">
        <w:t xml:space="preserve">-means algorithm was chosen for two reasons:  1) it allows </w:t>
      </w:r>
      <w:r w:rsidR="00893B15" w:rsidRPr="001F28B5">
        <w:t xml:space="preserve">the researcher to specify </w:t>
      </w:r>
      <w:r w:rsidR="001B6EFE" w:rsidRPr="001F28B5">
        <w:t xml:space="preserve">the </w:t>
      </w:r>
      <w:r w:rsidR="0056189A" w:rsidRPr="001F28B5">
        <w:t xml:space="preserve">desired </w:t>
      </w:r>
      <w:r w:rsidR="00893B15" w:rsidRPr="001F28B5">
        <w:t>number of clusters</w:t>
      </w:r>
      <w:r w:rsidR="001B6EFE" w:rsidRPr="001F28B5">
        <w:t xml:space="preserve">, and 2) it also allows </w:t>
      </w:r>
      <w:r w:rsidR="00893B15" w:rsidRPr="001F28B5">
        <w:t xml:space="preserve">the researcher to remain </w:t>
      </w:r>
      <w:r w:rsidR="0056189A" w:rsidRPr="001F28B5">
        <w:t>neutral</w:t>
      </w:r>
      <w:r w:rsidR="001B6EFE" w:rsidRPr="001F28B5">
        <w:t xml:space="preserve"> </w:t>
      </w:r>
      <w:r w:rsidR="0056189A" w:rsidRPr="001F28B5">
        <w:t xml:space="preserve">in the assignment </w:t>
      </w:r>
      <w:r w:rsidR="001B6EFE" w:rsidRPr="001F28B5">
        <w:t xml:space="preserve">the </w:t>
      </w:r>
      <w:r w:rsidR="0056189A" w:rsidRPr="001F28B5">
        <w:t>cluster</w:t>
      </w:r>
      <w:r w:rsidR="001B6EFE" w:rsidRPr="001F28B5">
        <w:t>s</w:t>
      </w:r>
      <w:r w:rsidR="0056189A" w:rsidRPr="001F28B5">
        <w:t>.</w:t>
      </w:r>
      <w:r w:rsidR="006647A9" w:rsidRPr="001F28B5">
        <w:t xml:space="preserve">  </w:t>
      </w:r>
      <w:r w:rsidR="0056189A" w:rsidRPr="001F28B5">
        <w:t xml:space="preserve">In order to assign the clusters, the </w:t>
      </w:r>
      <w:r w:rsidR="0056189A" w:rsidRPr="00464D53">
        <w:rPr>
          <w:i/>
        </w:rPr>
        <w:t>k</w:t>
      </w:r>
      <w:r w:rsidR="0056189A" w:rsidRPr="001F28B5">
        <w:t xml:space="preserve">-means cluster algorithm first requires the </w:t>
      </w:r>
      <w:r w:rsidR="0056189A" w:rsidRPr="00464D53">
        <w:rPr>
          <w:i/>
        </w:rPr>
        <w:t>k</w:t>
      </w:r>
      <w:r w:rsidR="0056189A" w:rsidRPr="001F28B5">
        <w:t xml:space="preserve">, or number of output clusters, to be defined.  </w:t>
      </w:r>
      <w:r w:rsidR="006647A9" w:rsidRPr="001F28B5">
        <w:t>S</w:t>
      </w:r>
      <w:r w:rsidR="0056189A" w:rsidRPr="001F28B5">
        <w:t>everal possible groupings</w:t>
      </w:r>
      <w:r w:rsidR="006647A9" w:rsidRPr="001F28B5">
        <w:t xml:space="preserve"> were tested</w:t>
      </w:r>
      <w:r w:rsidR="0056189A" w:rsidRPr="001F28B5">
        <w:t xml:space="preserve">, but repeated testing resulted in eight clusters as </w:t>
      </w:r>
      <w:r w:rsidR="006647A9" w:rsidRPr="001F28B5">
        <w:t xml:space="preserve">the optimal </w:t>
      </w:r>
      <w:r w:rsidR="0056189A" w:rsidRPr="001F28B5">
        <w:t>recommend</w:t>
      </w:r>
      <w:r w:rsidR="006647A9" w:rsidRPr="001F28B5">
        <w:t>ation</w:t>
      </w:r>
      <w:r w:rsidR="0056189A" w:rsidRPr="001F28B5">
        <w:t xml:space="preserve">.  With </w:t>
      </w:r>
      <w:r w:rsidR="0056189A" w:rsidRPr="00464D53">
        <w:rPr>
          <w:i/>
        </w:rPr>
        <w:t>k</w:t>
      </w:r>
      <w:r w:rsidR="003846F7" w:rsidRPr="001F28B5">
        <w:t xml:space="preserve"> defined as eight</w:t>
      </w:r>
      <w:r w:rsidR="0056189A" w:rsidRPr="001F28B5">
        <w:t>, the algorithm associates</w:t>
      </w:r>
      <w:r w:rsidR="00E3362D" w:rsidRPr="001F28B5">
        <w:t xml:space="preserve"> the</w:t>
      </w:r>
      <w:r w:rsidR="0056189A" w:rsidRPr="001F28B5">
        <w:t xml:space="preserve"> states individually based on </w:t>
      </w:r>
      <w:r w:rsidR="00AF54C3" w:rsidRPr="001F28B5">
        <w:t xml:space="preserve">the </w:t>
      </w:r>
      <w:r w:rsidR="00683126" w:rsidRPr="001F28B5">
        <w:t xml:space="preserve">fixed and variable </w:t>
      </w:r>
      <w:r w:rsidR="00AF54C3" w:rsidRPr="001F28B5">
        <w:t xml:space="preserve">foreclosure </w:t>
      </w:r>
      <w:r w:rsidR="00683126" w:rsidRPr="001F28B5">
        <w:t>costs</w:t>
      </w:r>
      <w:r w:rsidR="00047BA6" w:rsidRPr="001F28B5">
        <w:t xml:space="preserve"> mean reference points</w:t>
      </w:r>
      <w:r w:rsidR="00EF6CB1">
        <w:t xml:space="preserve"> in aggregate for each state</w:t>
      </w:r>
      <w:r w:rsidR="003846F7" w:rsidRPr="001F28B5">
        <w:t>, eight</w:t>
      </w:r>
      <w:r w:rsidR="0056189A" w:rsidRPr="001F28B5">
        <w:t xml:space="preserve"> at a time.  With ea</w:t>
      </w:r>
      <w:r w:rsidR="003846F7" w:rsidRPr="001F28B5">
        <w:t>ch iteration, the next wave of eight</w:t>
      </w:r>
      <w:r w:rsidR="0056189A" w:rsidRPr="001F28B5">
        <w:t xml:space="preserve"> </w:t>
      </w:r>
      <w:r w:rsidR="00CA36AA" w:rsidRPr="001F28B5">
        <w:t xml:space="preserve">state </w:t>
      </w:r>
      <w:r w:rsidR="0056189A" w:rsidRPr="001F28B5">
        <w:t>are ass</w:t>
      </w:r>
      <w:r w:rsidR="003846F7" w:rsidRPr="001F28B5">
        <w:t>ociated with the prior wave of eight</w:t>
      </w:r>
      <w:r w:rsidR="0056189A" w:rsidRPr="001F28B5">
        <w:t xml:space="preserve"> </w:t>
      </w:r>
      <w:r w:rsidR="00CA36AA" w:rsidRPr="001F28B5">
        <w:t>clusters</w:t>
      </w:r>
      <w:r w:rsidR="0056189A" w:rsidRPr="001F28B5">
        <w:t xml:space="preserve"> based on distance to the individual mean</w:t>
      </w:r>
      <w:r w:rsidR="003846F7" w:rsidRPr="001F28B5">
        <w:t xml:space="preserve">.  The mean position, or </w:t>
      </w:r>
      <w:r w:rsidR="003846F7" w:rsidRPr="001F28B5">
        <w:lastRenderedPageBreak/>
        <w:t xml:space="preserve">centroid, of </w:t>
      </w:r>
      <w:r w:rsidR="000C62EF" w:rsidRPr="001F28B5">
        <w:t xml:space="preserve">the </w:t>
      </w:r>
      <w:r w:rsidR="003846F7" w:rsidRPr="001F28B5">
        <w:t xml:space="preserve">eight </w:t>
      </w:r>
      <w:r w:rsidR="000C62EF" w:rsidRPr="001F28B5">
        <w:t>points</w:t>
      </w:r>
      <w:r w:rsidR="0056189A" w:rsidRPr="001F28B5">
        <w:t xml:space="preserve"> of the iterative cluster </w:t>
      </w:r>
      <w:r w:rsidR="00EE59BC" w:rsidRPr="001F28B5">
        <w:t>becomes</w:t>
      </w:r>
      <w:r w:rsidR="0056189A" w:rsidRPr="001F28B5">
        <w:t xml:space="preserve"> the new mean for association</w:t>
      </w:r>
      <w:r w:rsidR="00EE59BC" w:rsidRPr="001F28B5">
        <w:t xml:space="preserve"> in the next wave of eight</w:t>
      </w:r>
      <w:r w:rsidR="0056189A" w:rsidRPr="001F28B5">
        <w:rPr>
          <w:color w:val="FF0000"/>
        </w:rPr>
        <w:t xml:space="preserve"> </w:t>
      </w:r>
      <w:r w:rsidR="0056189A" w:rsidRPr="001F28B5">
        <w:t xml:space="preserve">associations.  This process repeats until convergence has been </w:t>
      </w:r>
      <w:r w:rsidR="00EE59BC" w:rsidRPr="001F28B5">
        <w:t xml:space="preserve">reached and the end result </w:t>
      </w:r>
      <w:r w:rsidR="00047BA6" w:rsidRPr="001F28B5">
        <w:t>is</w:t>
      </w:r>
      <w:r w:rsidR="00EE59BC" w:rsidRPr="001F28B5">
        <w:t xml:space="preserve"> eight</w:t>
      </w:r>
      <w:r w:rsidR="0056189A" w:rsidRPr="001F28B5">
        <w:t xml:space="preserve"> different clusters of the greatest possible distinction based on</w:t>
      </w:r>
      <w:r w:rsidR="003077C8" w:rsidRPr="001F28B5">
        <w:t xml:space="preserve"> the</w:t>
      </w:r>
      <w:r w:rsidR="0056189A" w:rsidRPr="001F28B5">
        <w:t xml:space="preserve"> </w:t>
      </w:r>
      <w:r w:rsidR="0003206F" w:rsidRPr="001F28B5">
        <w:t xml:space="preserve">fixed and variable </w:t>
      </w:r>
      <w:r w:rsidR="003077C8" w:rsidRPr="001F28B5">
        <w:t xml:space="preserve">foreclosure </w:t>
      </w:r>
      <w:r w:rsidR="0003206F" w:rsidRPr="001F28B5">
        <w:t>costs</w:t>
      </w:r>
      <w:r w:rsidR="0056189A" w:rsidRPr="001F28B5">
        <w:t>.</w:t>
      </w:r>
    </w:p>
    <w:p w14:paraId="50C8E4D2" w14:textId="77777777" w:rsidR="002F6889" w:rsidRDefault="002F6889" w:rsidP="00B71E49">
      <w:pPr>
        <w:ind w:left="720"/>
      </w:pPr>
    </w:p>
    <w:p w14:paraId="5FE77775" w14:textId="0C17D66F" w:rsidR="00771AD3" w:rsidRPr="00771AD3" w:rsidRDefault="00E940BD" w:rsidP="00464D53">
      <w:pPr>
        <w:ind w:left="720"/>
        <w:jc w:val="center"/>
        <w:rPr>
          <w:rFonts w:ascii="Arial" w:hAnsi="Arial" w:cs="Arial"/>
          <w:sz w:val="18"/>
        </w:rPr>
      </w:pPr>
      <w:r>
        <w:rPr>
          <w:rFonts w:ascii="Arial" w:hAnsi="Arial" w:cs="Arial"/>
          <w:sz w:val="18"/>
        </w:rPr>
        <w:t xml:space="preserve">Figure </w:t>
      </w:r>
      <w:r w:rsidR="00544A5E">
        <w:rPr>
          <w:rFonts w:ascii="Arial" w:hAnsi="Arial" w:cs="Arial"/>
          <w:sz w:val="18"/>
        </w:rPr>
        <w:t>10</w:t>
      </w:r>
      <w:r w:rsidR="00771AD3" w:rsidRPr="00771AD3">
        <w:rPr>
          <w:rFonts w:ascii="Arial" w:hAnsi="Arial" w:cs="Arial"/>
          <w:sz w:val="18"/>
        </w:rPr>
        <w:t>:  State Cluster Analysis</w:t>
      </w:r>
    </w:p>
    <w:p w14:paraId="50EDBD53" w14:textId="7DB3E70F" w:rsidR="000209FF" w:rsidRDefault="00764C9E" w:rsidP="00464D53">
      <w:pPr>
        <w:ind w:left="720"/>
        <w:jc w:val="center"/>
      </w:pPr>
      <w:r w:rsidRPr="00764C9E">
        <w:rPr>
          <w:noProof/>
        </w:rPr>
        <w:drawing>
          <wp:inline distT="0" distB="0" distL="0" distR="0" wp14:anchorId="79B43058" wp14:editId="10AF9097">
            <wp:extent cx="5852160" cy="4742853"/>
            <wp:effectExtent l="0" t="0" r="0" b="635"/>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5852160" cy="4742853"/>
                    </a:xfrm>
                    <a:prstGeom prst="rect">
                      <a:avLst/>
                    </a:prstGeom>
                  </pic:spPr>
                </pic:pic>
              </a:graphicData>
            </a:graphic>
          </wp:inline>
        </w:drawing>
      </w:r>
    </w:p>
    <w:p w14:paraId="4B8504C0" w14:textId="77777777" w:rsidR="000209FF" w:rsidRDefault="000209FF" w:rsidP="00464D53">
      <w:pPr>
        <w:ind w:left="360"/>
        <w:jc w:val="center"/>
      </w:pPr>
    </w:p>
    <w:p w14:paraId="7D0E8284" w14:textId="555225E9" w:rsidR="00B76486" w:rsidRPr="00BB5DC8" w:rsidRDefault="008A782E" w:rsidP="00464D53">
      <w:pPr>
        <w:ind w:left="720"/>
        <w:jc w:val="center"/>
        <w:rPr>
          <w:rFonts w:ascii="Arial" w:hAnsi="Arial" w:cs="Arial"/>
          <w:sz w:val="18"/>
        </w:rPr>
      </w:pPr>
      <w:r>
        <w:rPr>
          <w:rFonts w:ascii="Arial" w:hAnsi="Arial" w:cs="Arial"/>
          <w:sz w:val="18"/>
        </w:rPr>
        <w:t>Table 4</w:t>
      </w:r>
      <w:r w:rsidR="00B76486" w:rsidRPr="00BB5DC8">
        <w:rPr>
          <w:rFonts w:ascii="Arial" w:hAnsi="Arial" w:cs="Arial"/>
          <w:sz w:val="18"/>
        </w:rPr>
        <w:t xml:space="preserve">:  </w:t>
      </w:r>
      <w:r w:rsidR="00D71BFA">
        <w:rPr>
          <w:rFonts w:ascii="Arial" w:hAnsi="Arial" w:cs="Arial"/>
          <w:sz w:val="18"/>
        </w:rPr>
        <w:t xml:space="preserve">Proposed </w:t>
      </w:r>
      <w:r w:rsidR="00B76486" w:rsidRPr="00BB5DC8">
        <w:rPr>
          <w:rFonts w:ascii="Arial" w:hAnsi="Arial" w:cs="Arial"/>
          <w:sz w:val="18"/>
        </w:rPr>
        <w:t>Geography Clusters</w:t>
      </w:r>
    </w:p>
    <w:p w14:paraId="30B1ED2D" w14:textId="77777777" w:rsidR="00CE591B" w:rsidRDefault="00CE591B" w:rsidP="00464D53">
      <w:pPr>
        <w:ind w:left="720"/>
        <w:jc w:val="center"/>
      </w:pPr>
      <w:r>
        <w:rPr>
          <w:noProof/>
        </w:rPr>
        <w:drawing>
          <wp:inline distT="0" distB="0" distL="0" distR="0" wp14:anchorId="6541B6C8" wp14:editId="73A7D2C2">
            <wp:extent cx="3057098" cy="1426647"/>
            <wp:effectExtent l="0" t="0" r="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77381" cy="1482779"/>
                    </a:xfrm>
                    <a:prstGeom prst="rect">
                      <a:avLst/>
                    </a:prstGeom>
                  </pic:spPr>
                </pic:pic>
              </a:graphicData>
            </a:graphic>
          </wp:inline>
        </w:drawing>
      </w:r>
    </w:p>
    <w:p w14:paraId="03482075" w14:textId="77777777" w:rsidR="00F330FB" w:rsidRDefault="00F330FB" w:rsidP="00464D53">
      <w:pPr>
        <w:jc w:val="center"/>
        <w:rPr>
          <w:rFonts w:ascii="Arial" w:hAnsi="Arial" w:cs="Arial"/>
          <w:sz w:val="18"/>
        </w:rPr>
      </w:pPr>
      <w:r>
        <w:rPr>
          <w:rFonts w:ascii="Arial" w:hAnsi="Arial" w:cs="Arial"/>
          <w:sz w:val="18"/>
        </w:rPr>
        <w:br w:type="page"/>
      </w:r>
    </w:p>
    <w:p w14:paraId="7B60B55A" w14:textId="40547638" w:rsidR="004A75E0" w:rsidRDefault="00E940BD" w:rsidP="00464D53">
      <w:pPr>
        <w:ind w:left="720"/>
        <w:jc w:val="center"/>
      </w:pPr>
      <w:r>
        <w:rPr>
          <w:rFonts w:ascii="Arial" w:hAnsi="Arial" w:cs="Arial"/>
          <w:sz w:val="18"/>
        </w:rPr>
        <w:lastRenderedPageBreak/>
        <w:t xml:space="preserve">Figure </w:t>
      </w:r>
      <w:r w:rsidR="00544A5E">
        <w:rPr>
          <w:rFonts w:ascii="Arial" w:hAnsi="Arial" w:cs="Arial"/>
          <w:sz w:val="18"/>
        </w:rPr>
        <w:t>11</w:t>
      </w:r>
      <w:r w:rsidR="004A75E0" w:rsidRPr="004A75E0">
        <w:rPr>
          <w:rFonts w:ascii="Arial" w:hAnsi="Arial" w:cs="Arial"/>
          <w:sz w:val="18"/>
        </w:rPr>
        <w:t xml:space="preserve">:  </w:t>
      </w:r>
      <w:r w:rsidR="004A75E0" w:rsidRPr="00405F67">
        <w:rPr>
          <w:rFonts w:ascii="Arial" w:hAnsi="Arial" w:cs="Arial"/>
          <w:sz w:val="18"/>
        </w:rPr>
        <w:t>Foreclosure Costs by Geography Clusters</w:t>
      </w:r>
    </w:p>
    <w:p w14:paraId="70C30277" w14:textId="3C1D3027" w:rsidR="004A75E0" w:rsidRDefault="004A75E0" w:rsidP="00464D53">
      <w:pPr>
        <w:ind w:left="720"/>
        <w:jc w:val="center"/>
      </w:pPr>
      <w:r>
        <w:rPr>
          <w:noProof/>
        </w:rPr>
        <w:drawing>
          <wp:inline distT="0" distB="0" distL="0" distR="0" wp14:anchorId="46CD0995" wp14:editId="33347F6B">
            <wp:extent cx="5899868" cy="2533197"/>
            <wp:effectExtent l="0" t="0" r="571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19943" cy="2541817"/>
                    </a:xfrm>
                    <a:prstGeom prst="rect">
                      <a:avLst/>
                    </a:prstGeom>
                  </pic:spPr>
                </pic:pic>
              </a:graphicData>
            </a:graphic>
          </wp:inline>
        </w:drawing>
      </w:r>
    </w:p>
    <w:p w14:paraId="34E4AE7E" w14:textId="77777777" w:rsidR="00CE591B" w:rsidRDefault="00CE591B" w:rsidP="00464D53">
      <w:pPr>
        <w:ind w:left="720"/>
        <w:jc w:val="center"/>
      </w:pPr>
    </w:p>
    <w:p w14:paraId="4406D4C4" w14:textId="662867E8" w:rsidR="00C02D85" w:rsidRPr="00405F67" w:rsidRDefault="008A782E" w:rsidP="00464D53">
      <w:pPr>
        <w:ind w:left="720"/>
        <w:jc w:val="center"/>
        <w:rPr>
          <w:rFonts w:ascii="Arial" w:hAnsi="Arial" w:cs="Arial"/>
          <w:sz w:val="18"/>
        </w:rPr>
      </w:pPr>
      <w:r>
        <w:rPr>
          <w:rFonts w:ascii="Arial" w:hAnsi="Arial" w:cs="Arial"/>
          <w:sz w:val="18"/>
        </w:rPr>
        <w:t>Table 5</w:t>
      </w:r>
      <w:r w:rsidR="00C02D85" w:rsidRPr="00405F67">
        <w:rPr>
          <w:rFonts w:ascii="Arial" w:hAnsi="Arial" w:cs="Arial"/>
          <w:sz w:val="18"/>
        </w:rPr>
        <w:t>:  Foreclosure Costs by Geography Clusters</w:t>
      </w:r>
    </w:p>
    <w:p w14:paraId="551D377F" w14:textId="495216DC" w:rsidR="00C02D85" w:rsidRDefault="00602936" w:rsidP="00464D53">
      <w:pPr>
        <w:ind w:left="720"/>
        <w:jc w:val="center"/>
      </w:pPr>
      <w:r>
        <w:rPr>
          <w:noProof/>
        </w:rPr>
        <w:drawing>
          <wp:inline distT="0" distB="0" distL="0" distR="0" wp14:anchorId="6D43D36F" wp14:editId="415D7B6F">
            <wp:extent cx="5868284" cy="1908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16979" cy="1924148"/>
                    </a:xfrm>
                    <a:prstGeom prst="rect">
                      <a:avLst/>
                    </a:prstGeom>
                  </pic:spPr>
                </pic:pic>
              </a:graphicData>
            </a:graphic>
          </wp:inline>
        </w:drawing>
      </w:r>
    </w:p>
    <w:p w14:paraId="5CE6EA3D" w14:textId="77777777" w:rsidR="00C02D85" w:rsidRDefault="00C02D85" w:rsidP="002D6C19">
      <w:pPr>
        <w:ind w:left="360"/>
      </w:pPr>
    </w:p>
    <w:p w14:paraId="4088BDC3" w14:textId="4ABBED49" w:rsidR="00DE1FE0" w:rsidRPr="00EF6CB1" w:rsidRDefault="003E620D" w:rsidP="00464D53">
      <w:pPr>
        <w:ind w:left="720"/>
        <w:jc w:val="both"/>
      </w:pPr>
      <w:r>
        <w:t xml:space="preserve">The first </w:t>
      </w:r>
      <w:r w:rsidR="00B56004">
        <w:t xml:space="preserve">50-state </w:t>
      </w:r>
      <w:r w:rsidR="008B7D19">
        <w:t>alternative</w:t>
      </w:r>
      <w:r>
        <w:t xml:space="preserve"> has the advantage of being easy to understand; however,</w:t>
      </w:r>
      <w:r w:rsidR="005A3128">
        <w:t xml:space="preserve"> </w:t>
      </w:r>
      <w:r>
        <w:t xml:space="preserve">due to declining default inventories, </w:t>
      </w:r>
      <w:r w:rsidR="005A3128">
        <w:t xml:space="preserve">there may soon be insufficient data in many of the state buckets to continue </w:t>
      </w:r>
      <w:r w:rsidR="003672C4">
        <w:t>to use this specification in the future</w:t>
      </w:r>
      <w:r w:rsidR="005A3128">
        <w:t>.</w:t>
      </w:r>
      <w:r>
        <w:t xml:space="preserve">  Should this become the case, updating the algorithm becomes problematic as judgment will </w:t>
      </w:r>
      <w:r w:rsidR="00786CB5">
        <w:t xml:space="preserve">be </w:t>
      </w:r>
      <w:r>
        <w:t>need</w:t>
      </w:r>
      <w:r w:rsidR="00EE7407">
        <w:t>ed</w:t>
      </w:r>
      <w:r>
        <w:t xml:space="preserve"> to determine </w:t>
      </w:r>
      <w:r w:rsidR="00EE7407">
        <w:t xml:space="preserve">future </w:t>
      </w:r>
      <w:r>
        <w:t>geograph</w:t>
      </w:r>
      <w:r w:rsidR="008B7D19">
        <w:t>ic</w:t>
      </w:r>
      <w:r>
        <w:t xml:space="preserve"> grouping</w:t>
      </w:r>
      <w:r w:rsidR="00EE7407">
        <w:t>s</w:t>
      </w:r>
      <w:r>
        <w:t>.</w:t>
      </w:r>
      <w:r w:rsidR="008B7D19">
        <w:t xml:space="preserve">  The second </w:t>
      </w:r>
      <w:r w:rsidR="00B56004">
        <w:t xml:space="preserve">geographic clustering </w:t>
      </w:r>
      <w:r w:rsidR="008B7D19">
        <w:t>alternative is</w:t>
      </w:r>
      <w:r w:rsidR="003672C4">
        <w:t xml:space="preserve"> perhaps</w:t>
      </w:r>
      <w:r w:rsidR="008B7D19">
        <w:t xml:space="preserve"> less </w:t>
      </w:r>
      <w:r w:rsidR="003672C4">
        <w:t>easy to understand</w:t>
      </w:r>
      <w:r w:rsidR="008B7D19">
        <w:t xml:space="preserve">; however, it provides a clear methodology for </w:t>
      </w:r>
      <w:r w:rsidR="00CE21F8">
        <w:t xml:space="preserve">future algorithm </w:t>
      </w:r>
      <w:r w:rsidR="00925F28">
        <w:t xml:space="preserve">updates as the </w:t>
      </w:r>
      <w:r w:rsidR="00925F28" w:rsidRPr="00464D53">
        <w:rPr>
          <w:i/>
        </w:rPr>
        <w:t>k</w:t>
      </w:r>
      <w:r w:rsidR="00925F28">
        <w:t>-means cluster algorithm is entirely data-driven.</w:t>
      </w:r>
      <w:r w:rsidR="00F11C13">
        <w:t xml:space="preserve">  </w:t>
      </w:r>
      <w:r w:rsidR="00786CB5">
        <w:t>This</w:t>
      </w:r>
      <w:r w:rsidR="00F11C13">
        <w:t xml:space="preserve"> removes judgment from the algorithm update process, which allows for the initial algorithm assumptions to be maintained consistently going forward.</w:t>
      </w:r>
      <w:r w:rsidR="00EF6CB1">
        <w:t xml:space="preserve">  Also, in the future, as default volume declines, we would quickly run into situations where default volume within states would result in low cell frequency, especially once other control factors are considered.  The cluster algorithm would help to avoid this problem.  To the extent that future updates result in a different optimal definition of </w:t>
      </w:r>
      <w:r w:rsidR="00EF6CB1">
        <w:rPr>
          <w:i/>
        </w:rPr>
        <w:t>k</w:t>
      </w:r>
      <w:r w:rsidR="00EF6CB1">
        <w:t xml:space="preserve"> other than eight, research for the proposed change would be provided in the annual update process.</w:t>
      </w:r>
    </w:p>
    <w:p w14:paraId="3771D5D0" w14:textId="77777777" w:rsidR="002D6C19" w:rsidRDefault="002D6C19" w:rsidP="00464D53">
      <w:pPr>
        <w:jc w:val="both"/>
      </w:pPr>
    </w:p>
    <w:p w14:paraId="25245060" w14:textId="7059F381" w:rsidR="001813B2" w:rsidRDefault="00156D4B" w:rsidP="00464D53">
      <w:pPr>
        <w:pStyle w:val="ListParagraph"/>
        <w:numPr>
          <w:ilvl w:val="0"/>
          <w:numId w:val="4"/>
        </w:numPr>
        <w:jc w:val="both"/>
      </w:pPr>
      <w:r>
        <w:t xml:space="preserve">Property </w:t>
      </w:r>
      <w:r w:rsidR="002D6C19">
        <w:t>Value</w:t>
      </w:r>
      <w:r w:rsidR="00DB492A">
        <w:t xml:space="preserve">:  </w:t>
      </w:r>
      <w:r w:rsidR="001813B2">
        <w:t>Many foreclosure costs are influenced by value, the most obvious and largest of which are property taxes</w:t>
      </w:r>
      <w:r w:rsidR="00EF6CB1">
        <w:t>, which are a function of assessed value that is closely correlated with market value</w:t>
      </w:r>
      <w:r w:rsidR="001813B2">
        <w:t>.  Property v</w:t>
      </w:r>
      <w:r w:rsidR="002D6C19">
        <w:t>alue</w:t>
      </w:r>
      <w:r w:rsidR="001813B2">
        <w:t xml:space="preserve">s are determined in the open market by the sale of the property.  At </w:t>
      </w:r>
      <w:r w:rsidR="001813B2">
        <w:lastRenderedPageBreak/>
        <w:t xml:space="preserve">the time that the MI claim is filed, however, only short sales </w:t>
      </w:r>
      <w:r w:rsidR="00EF6CB1">
        <w:t xml:space="preserve">generally </w:t>
      </w:r>
      <w:r w:rsidR="001813B2">
        <w:t xml:space="preserve">have a </w:t>
      </w:r>
      <w:r w:rsidR="002D0F02">
        <w:t>retail</w:t>
      </w:r>
      <w:r w:rsidR="001813B2">
        <w:t xml:space="preserve"> sales price</w:t>
      </w:r>
      <w:r w:rsidR="002D6C19">
        <w:t>.</w:t>
      </w:r>
      <w:r w:rsidR="001813B2">
        <w:t xml:space="preserve">  This presents an implementation issue for TPS and REO </w:t>
      </w:r>
      <w:r w:rsidR="00F01FE7">
        <w:t>dispositions</w:t>
      </w:r>
      <w:r w:rsidR="00D948C3">
        <w:t xml:space="preserve">. </w:t>
      </w:r>
      <w:r w:rsidR="00F01FE7">
        <w:t xml:space="preserve"> </w:t>
      </w:r>
      <w:r w:rsidR="00D948C3">
        <w:t>Because of this,</w:t>
      </w:r>
      <w:r w:rsidR="00C163B2">
        <w:t xml:space="preserve"> a hybrid approach was chosen</w:t>
      </w:r>
      <w:r w:rsidR="00F01FE7">
        <w:t xml:space="preserve"> to specify value</w:t>
      </w:r>
      <w:r w:rsidR="00C163B2">
        <w:t xml:space="preserve">.  Since a </w:t>
      </w:r>
      <w:r w:rsidR="00961EA2">
        <w:t>retail</w:t>
      </w:r>
      <w:r w:rsidR="00C163B2">
        <w:t xml:space="preserve"> sales price is available for short sales, the algorithm uses the short sale price as the value for short sale dispositions.  </w:t>
      </w:r>
      <w:r w:rsidR="00F01FE7">
        <w:t xml:space="preserve">TPS and REO dispositions use </w:t>
      </w:r>
      <w:r w:rsidR="00EF6CB1">
        <w:t xml:space="preserve">UPB </w:t>
      </w:r>
      <w:r w:rsidR="00C163B2">
        <w:t xml:space="preserve">as a value proxy since </w:t>
      </w:r>
      <w:r w:rsidR="00961EA2">
        <w:t>a retail</w:t>
      </w:r>
      <w:r w:rsidR="00C163B2">
        <w:t xml:space="preserve"> sales price is not available.</w:t>
      </w:r>
    </w:p>
    <w:p w14:paraId="7D2C351C" w14:textId="77777777" w:rsidR="001813B2" w:rsidRDefault="001813B2" w:rsidP="00464D53">
      <w:pPr>
        <w:pStyle w:val="ListParagraph"/>
        <w:jc w:val="both"/>
      </w:pPr>
    </w:p>
    <w:p w14:paraId="23EAE32D" w14:textId="2DACB2EC" w:rsidR="00451853" w:rsidRDefault="00D961CF" w:rsidP="00464D53">
      <w:pPr>
        <w:pStyle w:val="ListParagraph"/>
        <w:jc w:val="both"/>
      </w:pPr>
      <w:r>
        <w:t>U</w:t>
      </w:r>
      <w:r w:rsidR="00451853">
        <w:t>PB</w:t>
      </w:r>
      <w:r>
        <w:t xml:space="preserve"> as a value proxy does have its short comings</w:t>
      </w:r>
      <w:r w:rsidR="00EF6CB1">
        <w:t xml:space="preserve">, as while </w:t>
      </w:r>
      <w:proofErr w:type="gramStart"/>
      <w:r w:rsidR="00EF6CB1">
        <w:t>its</w:t>
      </w:r>
      <w:proofErr w:type="gramEnd"/>
      <w:r w:rsidR="00EF6CB1">
        <w:t xml:space="preserve"> positively correlated with property value, there could be significant differences</w:t>
      </w:r>
      <w:r w:rsidR="001278A7">
        <w:t>.</w:t>
      </w:r>
      <w:r>
        <w:t xml:space="preserve"> </w:t>
      </w:r>
      <w:r w:rsidR="001278A7">
        <w:t xml:space="preserve"> Origination LTVs, changing home prices, or principle </w:t>
      </w:r>
      <w:proofErr w:type="spellStart"/>
      <w:r w:rsidR="001278A7">
        <w:t>paydowns</w:t>
      </w:r>
      <w:proofErr w:type="spellEnd"/>
      <w:r w:rsidR="001278A7">
        <w:t xml:space="preserve"> may cause default UPBs to </w:t>
      </w:r>
      <w:r>
        <w:t>be significantly greater or significantly less than the actual value of the property.</w:t>
      </w:r>
      <w:r w:rsidR="00451853">
        <w:t xml:space="preserve">  While it is possible to use a home price index to mark the origination value to the liquidation date, this would significantly increase the complexity of the </w:t>
      </w:r>
      <w:r w:rsidR="001278A7">
        <w:t xml:space="preserve">MI Factor </w:t>
      </w:r>
      <w:r w:rsidR="00451853">
        <w:t xml:space="preserve">implementation without providing any significant improvement in algorithm performance.  Using broker price opinions (BPOs) or appraisals is also an option; however, both are subject to judgment and therefore also subject to dispute.  </w:t>
      </w:r>
      <w:r w:rsidR="00680272">
        <w:t>As</w:t>
      </w:r>
      <w:r w:rsidR="00451853">
        <w:t xml:space="preserve"> </w:t>
      </w:r>
      <w:r w:rsidR="00992F7C">
        <w:t>simplifying</w:t>
      </w:r>
      <w:r w:rsidR="00680272">
        <w:t xml:space="preserve"> the MI claims process by </w:t>
      </w:r>
      <w:r w:rsidR="001278A7">
        <w:t xml:space="preserve">reducing rebuttals is </w:t>
      </w:r>
      <w:r w:rsidR="00451853">
        <w:t>one of the goals of the MI Factor proposal, BPOs and appraisals are not the best solution</w:t>
      </w:r>
      <w:r w:rsidR="00220301">
        <w:t xml:space="preserve"> for the goal</w:t>
      </w:r>
      <w:r w:rsidR="00451853">
        <w:t>.  All things considered, using UPB as a value proxy for TPS and REO dispositions provides the most balanced solution.</w:t>
      </w:r>
      <w:r w:rsidR="00821ED4">
        <w:t xml:space="preserve">  There are t</w:t>
      </w:r>
      <w:r w:rsidR="00451853">
        <w:t xml:space="preserve">wo specification alternatives </w:t>
      </w:r>
      <w:r w:rsidR="00EF6CB1">
        <w:t xml:space="preserve">researched </w:t>
      </w:r>
      <w:r w:rsidR="00B60322">
        <w:t>for property value:</w:t>
      </w:r>
    </w:p>
    <w:p w14:paraId="0519F9E9" w14:textId="77777777" w:rsidR="00451853" w:rsidRDefault="00451853" w:rsidP="002D6C19">
      <w:pPr>
        <w:pStyle w:val="ListParagraph"/>
      </w:pPr>
    </w:p>
    <w:p w14:paraId="50951AD6" w14:textId="77777777" w:rsidR="00B60322" w:rsidRPr="00B60322" w:rsidRDefault="00B60322" w:rsidP="00B60322">
      <w:pPr>
        <w:pStyle w:val="ListParagraph"/>
        <w:rPr>
          <w:u w:val="single"/>
        </w:rPr>
      </w:pPr>
      <w:r>
        <w:rPr>
          <w:u w:val="single"/>
        </w:rPr>
        <w:t>Property Value</w:t>
      </w:r>
      <w:r w:rsidRPr="00BD23BE">
        <w:rPr>
          <w:u w:val="single"/>
        </w:rPr>
        <w:t xml:space="preserve"> Alternative 1:  </w:t>
      </w:r>
      <w:r>
        <w:rPr>
          <w:u w:val="single"/>
        </w:rPr>
        <w:t>$100K Buckets</w:t>
      </w:r>
    </w:p>
    <w:p w14:paraId="0333709E" w14:textId="2165BDDF" w:rsidR="0061165E" w:rsidRDefault="0095024B" w:rsidP="00464D53">
      <w:pPr>
        <w:pStyle w:val="ListParagraph"/>
        <w:jc w:val="both"/>
      </w:pPr>
      <w:r>
        <w:t>The first alternative for specifying v</w:t>
      </w:r>
      <w:r w:rsidR="0061165E">
        <w:t xml:space="preserve">alue </w:t>
      </w:r>
      <w:r>
        <w:t>is to simply bucket in increments of $100,000</w:t>
      </w:r>
      <w:r w:rsidR="00EF6CB1">
        <w:t xml:space="preserve"> in order to capture low-value, normal value, and high-value properties</w:t>
      </w:r>
      <w:r>
        <w:t>.  T</w:t>
      </w:r>
      <w:r w:rsidR="0061165E">
        <w:t xml:space="preserve">hree </w:t>
      </w:r>
      <w:r>
        <w:t>buckets are specified:  1) $0 - $100K, 2) $100K - $200K, and 3) $200K and up.</w:t>
      </w:r>
    </w:p>
    <w:p w14:paraId="33E0AA2C" w14:textId="77777777" w:rsidR="00CF1DDB" w:rsidRDefault="00CF1DDB" w:rsidP="000209FF"/>
    <w:p w14:paraId="4F9F1A2C" w14:textId="79E290D2" w:rsidR="00CF1DDB" w:rsidRPr="00E82E7A" w:rsidRDefault="007728D3" w:rsidP="00464D53">
      <w:pPr>
        <w:pStyle w:val="ListParagraph"/>
        <w:jc w:val="center"/>
        <w:rPr>
          <w:rFonts w:ascii="Arial" w:hAnsi="Arial" w:cs="Arial"/>
          <w:sz w:val="18"/>
        </w:rPr>
      </w:pPr>
      <w:r>
        <w:rPr>
          <w:rFonts w:ascii="Arial" w:hAnsi="Arial" w:cs="Arial"/>
          <w:sz w:val="18"/>
        </w:rPr>
        <w:t>Figure</w:t>
      </w:r>
      <w:r w:rsidR="00E940BD">
        <w:rPr>
          <w:rFonts w:ascii="Arial" w:hAnsi="Arial" w:cs="Arial"/>
          <w:sz w:val="18"/>
        </w:rPr>
        <w:t xml:space="preserve"> </w:t>
      </w:r>
      <w:r w:rsidR="00544A5E">
        <w:rPr>
          <w:rFonts w:ascii="Arial" w:hAnsi="Arial" w:cs="Arial"/>
          <w:sz w:val="18"/>
        </w:rPr>
        <w:t>12</w:t>
      </w:r>
      <w:r w:rsidR="00CF1DDB" w:rsidRPr="00E82E7A">
        <w:rPr>
          <w:rFonts w:ascii="Arial" w:hAnsi="Arial" w:cs="Arial"/>
          <w:sz w:val="18"/>
        </w:rPr>
        <w:t>:  Foreclosure Costs by Property Value - $100K Buckets</w:t>
      </w:r>
    </w:p>
    <w:p w14:paraId="6AD12203" w14:textId="551CF8C0" w:rsidR="00AC7F05" w:rsidRDefault="00CF1DDB" w:rsidP="00464D53">
      <w:pPr>
        <w:pStyle w:val="ListParagraph"/>
        <w:jc w:val="center"/>
      </w:pPr>
      <w:r>
        <w:rPr>
          <w:noProof/>
        </w:rPr>
        <w:drawing>
          <wp:inline distT="0" distB="0" distL="0" distR="0" wp14:anchorId="0AE6CBE7" wp14:editId="721C04D0">
            <wp:extent cx="5883965" cy="1527613"/>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12580" cy="1535042"/>
                    </a:xfrm>
                    <a:prstGeom prst="rect">
                      <a:avLst/>
                    </a:prstGeom>
                    <a:noFill/>
                    <a:ln>
                      <a:noFill/>
                    </a:ln>
                  </pic:spPr>
                </pic:pic>
              </a:graphicData>
            </a:graphic>
          </wp:inline>
        </w:drawing>
      </w:r>
    </w:p>
    <w:p w14:paraId="537FBC62" w14:textId="77777777" w:rsidR="00CF1DDB" w:rsidRDefault="00CF1DDB" w:rsidP="00464D53">
      <w:pPr>
        <w:pStyle w:val="ListParagraph"/>
        <w:jc w:val="center"/>
      </w:pPr>
    </w:p>
    <w:p w14:paraId="7412D05D" w14:textId="14F6FC0C" w:rsidR="008E1C21" w:rsidRPr="00E82E7A" w:rsidRDefault="008A782E" w:rsidP="00464D53">
      <w:pPr>
        <w:pStyle w:val="ListParagraph"/>
        <w:jc w:val="center"/>
        <w:rPr>
          <w:rFonts w:ascii="Arial" w:hAnsi="Arial" w:cs="Arial"/>
          <w:sz w:val="18"/>
        </w:rPr>
      </w:pPr>
      <w:r>
        <w:rPr>
          <w:rFonts w:ascii="Arial" w:hAnsi="Arial" w:cs="Arial"/>
          <w:sz w:val="18"/>
        </w:rPr>
        <w:t>Table 6</w:t>
      </w:r>
      <w:r w:rsidR="008E1C21" w:rsidRPr="00E82E7A">
        <w:rPr>
          <w:rFonts w:ascii="Arial" w:hAnsi="Arial" w:cs="Arial"/>
          <w:sz w:val="18"/>
        </w:rPr>
        <w:t>:  Foreclosure Costs by Property Value - $100K Buckets</w:t>
      </w:r>
    </w:p>
    <w:p w14:paraId="10D0629E" w14:textId="7210E732" w:rsidR="008E1C21" w:rsidRDefault="007F76CB" w:rsidP="00464D53">
      <w:pPr>
        <w:pStyle w:val="ListParagraph"/>
        <w:jc w:val="center"/>
      </w:pPr>
      <w:bookmarkStart w:id="0" w:name="_GoBack"/>
      <w:bookmarkEnd w:id="0"/>
      <w:r>
        <w:rPr>
          <w:noProof/>
        </w:rPr>
        <w:drawing>
          <wp:inline distT="0" distB="0" distL="0" distR="0" wp14:anchorId="0D82530B" wp14:editId="48FB3472">
            <wp:extent cx="5883910" cy="908854"/>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51815" cy="919343"/>
                    </a:xfrm>
                    <a:prstGeom prst="rect">
                      <a:avLst/>
                    </a:prstGeom>
                  </pic:spPr>
                </pic:pic>
              </a:graphicData>
            </a:graphic>
          </wp:inline>
        </w:drawing>
      </w:r>
    </w:p>
    <w:p w14:paraId="05A1064C" w14:textId="77777777" w:rsidR="000209FF" w:rsidRDefault="000209FF" w:rsidP="002D6C19">
      <w:pPr>
        <w:pStyle w:val="ListParagraph"/>
      </w:pPr>
    </w:p>
    <w:p w14:paraId="0AFA8E41" w14:textId="77777777" w:rsidR="0095024B" w:rsidRPr="0095024B" w:rsidRDefault="0095024B" w:rsidP="0095024B">
      <w:pPr>
        <w:pStyle w:val="ListParagraph"/>
        <w:rPr>
          <w:u w:val="single"/>
        </w:rPr>
      </w:pPr>
      <w:r>
        <w:rPr>
          <w:u w:val="single"/>
        </w:rPr>
        <w:t>Property Value</w:t>
      </w:r>
      <w:r w:rsidRPr="00BD23BE">
        <w:rPr>
          <w:u w:val="single"/>
        </w:rPr>
        <w:t xml:space="preserve"> Alternative </w:t>
      </w:r>
      <w:r>
        <w:rPr>
          <w:u w:val="single"/>
        </w:rPr>
        <w:t>2</w:t>
      </w:r>
      <w:r w:rsidRPr="00BD23BE">
        <w:rPr>
          <w:u w:val="single"/>
        </w:rPr>
        <w:t xml:space="preserve">:  </w:t>
      </w:r>
      <w:r>
        <w:rPr>
          <w:u w:val="single"/>
        </w:rPr>
        <w:t>Statistical Buckets</w:t>
      </w:r>
    </w:p>
    <w:p w14:paraId="492FFDF3" w14:textId="38E56909" w:rsidR="002D6C19" w:rsidRDefault="00DB1E8C" w:rsidP="00464D53">
      <w:pPr>
        <w:pStyle w:val="ListParagraph"/>
        <w:jc w:val="both"/>
      </w:pPr>
      <w:r>
        <w:t xml:space="preserve">The second value alternative </w:t>
      </w:r>
      <w:r w:rsidR="00EF6CB1">
        <w:t xml:space="preserve">researched </w:t>
      </w:r>
      <w:r>
        <w:t>uses means and standard deviations to specify the value buckets</w:t>
      </w:r>
      <w:r w:rsidR="00EF6CB1">
        <w:t>, again with the intention of capturing low, normal, and high-value properties</w:t>
      </w:r>
      <w:r>
        <w:t xml:space="preserve">.  </w:t>
      </w:r>
      <w:r w:rsidR="006555C6">
        <w:t xml:space="preserve">Since value is a hybrid of sales price and UPB, mean and standard deviation </w:t>
      </w:r>
      <w:r w:rsidR="002A0724">
        <w:t xml:space="preserve">are </w:t>
      </w:r>
      <w:r w:rsidR="006555C6">
        <w:t>calculated</w:t>
      </w:r>
      <w:r w:rsidR="002A0724">
        <w:t xml:space="preserve"> separately for each </w:t>
      </w:r>
      <w:r w:rsidR="006555C6">
        <w:t xml:space="preserve">disposition type bucket.  In other words, </w:t>
      </w:r>
      <w:r w:rsidR="002A0724">
        <w:t xml:space="preserve">the short sale </w:t>
      </w:r>
      <w:r w:rsidR="006555C6">
        <w:t xml:space="preserve">mean and standard deviation </w:t>
      </w:r>
      <w:r w:rsidR="002A0724">
        <w:t xml:space="preserve">will be </w:t>
      </w:r>
      <w:r w:rsidR="00A92082">
        <w:lastRenderedPageBreak/>
        <w:t xml:space="preserve">calculated </w:t>
      </w:r>
      <w:r w:rsidR="002A0724">
        <w:t>separat</w:t>
      </w:r>
      <w:r w:rsidR="00A92082">
        <w:t>ely</w:t>
      </w:r>
      <w:r w:rsidR="002A0724">
        <w:t xml:space="preserve"> from </w:t>
      </w:r>
      <w:r w:rsidR="006555C6">
        <w:t>TPS and REO.</w:t>
      </w:r>
      <w:r w:rsidR="00592106">
        <w:t xml:space="preserve">  There are four value buckets specified for each disposition type bucket making eight value buckets in total.</w:t>
      </w:r>
      <w:r w:rsidR="00A70DFA">
        <w:t xml:space="preserve">  We also researched calculating the value means and standard deviations within a geography (both the 50-state and clustered state groupings), but performance differences of the </w:t>
      </w:r>
      <w:proofErr w:type="spellStart"/>
      <w:r w:rsidR="00A70DFA">
        <w:t>algrothim</w:t>
      </w:r>
      <w:proofErr w:type="spellEnd"/>
      <w:r w:rsidR="00A70DFA">
        <w:t xml:space="preserve"> were marginal.</w:t>
      </w:r>
    </w:p>
    <w:p w14:paraId="512E1ECE" w14:textId="77777777" w:rsidR="00592106" w:rsidRPr="00A93F16" w:rsidRDefault="00592106" w:rsidP="00592106">
      <w:pPr>
        <w:pStyle w:val="ListParagraph"/>
        <w:ind w:left="2160"/>
      </w:pPr>
    </w:p>
    <w:p w14:paraId="7160A245" w14:textId="77777777" w:rsidR="00592106" w:rsidRDefault="00592106" w:rsidP="00592106">
      <w:pPr>
        <w:pStyle w:val="ListParagraph"/>
        <w:numPr>
          <w:ilvl w:val="1"/>
          <w:numId w:val="4"/>
        </w:numPr>
        <w:tabs>
          <w:tab w:val="left" w:pos="5580"/>
          <w:tab w:val="left" w:pos="6660"/>
        </w:tabs>
      </w:pPr>
      <w:r>
        <w:t>Short Sales</w:t>
      </w:r>
    </w:p>
    <w:p w14:paraId="233E1E50" w14:textId="77777777" w:rsidR="00592106" w:rsidRDefault="00592106" w:rsidP="00592106">
      <w:pPr>
        <w:pStyle w:val="ListParagraph"/>
        <w:numPr>
          <w:ilvl w:val="2"/>
          <w:numId w:val="4"/>
        </w:numPr>
        <w:tabs>
          <w:tab w:val="left" w:pos="5580"/>
          <w:tab w:val="left" w:pos="6660"/>
        </w:tabs>
      </w:pPr>
      <w:r w:rsidRPr="00A93F16">
        <w:t>0</w:t>
      </w:r>
      <w:r>
        <w:tab/>
        <w:t>through</w:t>
      </w:r>
      <w:r>
        <w:tab/>
        <w:t>Mean – One Standard Deviation</w:t>
      </w:r>
    </w:p>
    <w:p w14:paraId="211DB69C" w14:textId="77777777" w:rsidR="00592106" w:rsidRDefault="00592106" w:rsidP="00592106">
      <w:pPr>
        <w:pStyle w:val="ListParagraph"/>
        <w:numPr>
          <w:ilvl w:val="2"/>
          <w:numId w:val="4"/>
        </w:numPr>
        <w:tabs>
          <w:tab w:val="left" w:pos="5580"/>
          <w:tab w:val="left" w:pos="6660"/>
        </w:tabs>
      </w:pPr>
      <w:r>
        <w:t>Mean – One Standard Deviation</w:t>
      </w:r>
      <w:r>
        <w:tab/>
        <w:t>through</w:t>
      </w:r>
      <w:r>
        <w:tab/>
        <w:t>Mean</w:t>
      </w:r>
    </w:p>
    <w:p w14:paraId="0BF34675" w14:textId="77777777" w:rsidR="00592106" w:rsidRDefault="00592106" w:rsidP="00592106">
      <w:pPr>
        <w:pStyle w:val="ListParagraph"/>
        <w:numPr>
          <w:ilvl w:val="2"/>
          <w:numId w:val="4"/>
        </w:numPr>
        <w:tabs>
          <w:tab w:val="left" w:pos="5580"/>
          <w:tab w:val="left" w:pos="6660"/>
        </w:tabs>
      </w:pPr>
      <w:r>
        <w:t>Mean</w:t>
      </w:r>
      <w:r>
        <w:tab/>
        <w:t>through</w:t>
      </w:r>
      <w:r>
        <w:tab/>
        <w:t>Mean + One Standard Deviation</w:t>
      </w:r>
    </w:p>
    <w:p w14:paraId="0EE2AA6F" w14:textId="77777777" w:rsidR="00592106" w:rsidRPr="00A93F16" w:rsidRDefault="00592106" w:rsidP="00592106">
      <w:pPr>
        <w:pStyle w:val="ListParagraph"/>
        <w:numPr>
          <w:ilvl w:val="2"/>
          <w:numId w:val="4"/>
        </w:numPr>
        <w:tabs>
          <w:tab w:val="left" w:pos="5580"/>
          <w:tab w:val="left" w:pos="6660"/>
        </w:tabs>
      </w:pPr>
      <w:r>
        <w:t>Mean + One Standard Deviation</w:t>
      </w:r>
      <w:r>
        <w:tab/>
        <w:t>through</w:t>
      </w:r>
      <w:r>
        <w:tab/>
        <w:t>Maximum</w:t>
      </w:r>
    </w:p>
    <w:p w14:paraId="2C35CD4B" w14:textId="77777777" w:rsidR="002D6C19" w:rsidRDefault="002D6C19" w:rsidP="00592106">
      <w:pPr>
        <w:pStyle w:val="ListParagraph"/>
        <w:numPr>
          <w:ilvl w:val="1"/>
          <w:numId w:val="4"/>
        </w:numPr>
        <w:tabs>
          <w:tab w:val="left" w:pos="5580"/>
          <w:tab w:val="left" w:pos="6660"/>
        </w:tabs>
      </w:pPr>
      <w:r>
        <w:t>TPS</w:t>
      </w:r>
      <w:r w:rsidR="00592106">
        <w:t xml:space="preserve"> &amp; REO</w:t>
      </w:r>
    </w:p>
    <w:p w14:paraId="271186B9" w14:textId="77777777" w:rsidR="00B12C9B" w:rsidRDefault="00B12C9B" w:rsidP="00B12C9B">
      <w:pPr>
        <w:pStyle w:val="ListParagraph"/>
        <w:numPr>
          <w:ilvl w:val="2"/>
          <w:numId w:val="4"/>
        </w:numPr>
        <w:tabs>
          <w:tab w:val="left" w:pos="5580"/>
          <w:tab w:val="left" w:pos="6660"/>
        </w:tabs>
      </w:pPr>
      <w:r w:rsidRPr="00A93F16">
        <w:t>0</w:t>
      </w:r>
      <w:r>
        <w:tab/>
        <w:t>through</w:t>
      </w:r>
      <w:r>
        <w:tab/>
        <w:t>Mean – One Standard Deviation</w:t>
      </w:r>
    </w:p>
    <w:p w14:paraId="666A1DD4" w14:textId="77777777" w:rsidR="00B12C9B" w:rsidRDefault="00B12C9B" w:rsidP="00B12C9B">
      <w:pPr>
        <w:pStyle w:val="ListParagraph"/>
        <w:numPr>
          <w:ilvl w:val="2"/>
          <w:numId w:val="4"/>
        </w:numPr>
        <w:tabs>
          <w:tab w:val="left" w:pos="5580"/>
          <w:tab w:val="left" w:pos="6660"/>
        </w:tabs>
      </w:pPr>
      <w:r>
        <w:t>Mean – One Standard Deviation</w:t>
      </w:r>
      <w:r>
        <w:tab/>
        <w:t>through</w:t>
      </w:r>
      <w:r>
        <w:tab/>
        <w:t>Mean</w:t>
      </w:r>
    </w:p>
    <w:p w14:paraId="100737D1" w14:textId="77777777" w:rsidR="00B12C9B" w:rsidRDefault="00B12C9B" w:rsidP="00B12C9B">
      <w:pPr>
        <w:pStyle w:val="ListParagraph"/>
        <w:numPr>
          <w:ilvl w:val="2"/>
          <w:numId w:val="4"/>
        </w:numPr>
        <w:tabs>
          <w:tab w:val="left" w:pos="5580"/>
          <w:tab w:val="left" w:pos="6660"/>
        </w:tabs>
      </w:pPr>
      <w:r>
        <w:t>Mean</w:t>
      </w:r>
      <w:r>
        <w:tab/>
        <w:t>through</w:t>
      </w:r>
      <w:r>
        <w:tab/>
        <w:t>Mean + One Standard Deviation</w:t>
      </w:r>
    </w:p>
    <w:p w14:paraId="20D4B523" w14:textId="51005288" w:rsidR="00FA2866" w:rsidRDefault="00B12C9B" w:rsidP="00C433C3">
      <w:pPr>
        <w:pStyle w:val="ListParagraph"/>
        <w:numPr>
          <w:ilvl w:val="2"/>
          <w:numId w:val="4"/>
        </w:numPr>
        <w:tabs>
          <w:tab w:val="left" w:pos="5580"/>
          <w:tab w:val="left" w:pos="6660"/>
        </w:tabs>
      </w:pPr>
      <w:r>
        <w:t>Mean + One Standard Deviation</w:t>
      </w:r>
      <w:r>
        <w:tab/>
        <w:t>through</w:t>
      </w:r>
      <w:r>
        <w:tab/>
        <w:t>Maximum</w:t>
      </w:r>
    </w:p>
    <w:p w14:paraId="1B35C45A" w14:textId="77777777" w:rsidR="00FA2866" w:rsidRDefault="00FA2866" w:rsidP="00C433C3">
      <w:pPr>
        <w:tabs>
          <w:tab w:val="left" w:pos="5580"/>
          <w:tab w:val="left" w:pos="6660"/>
        </w:tabs>
      </w:pPr>
    </w:p>
    <w:p w14:paraId="4D35E54A" w14:textId="4E426CB5" w:rsidR="00C433C3" w:rsidRPr="0076086D" w:rsidRDefault="00C433C3" w:rsidP="00464D53">
      <w:pPr>
        <w:pStyle w:val="ListParagraph"/>
        <w:jc w:val="both"/>
        <w:rPr>
          <w:rFonts w:ascii="Arial" w:hAnsi="Arial" w:cs="Arial"/>
          <w:sz w:val="16"/>
        </w:rPr>
      </w:pPr>
      <w:r>
        <w:rPr>
          <w:rFonts w:ascii="Arial" w:hAnsi="Arial" w:cs="Arial"/>
          <w:sz w:val="18"/>
        </w:rPr>
        <w:t>Figure</w:t>
      </w:r>
      <w:r w:rsidR="00E940BD">
        <w:rPr>
          <w:rFonts w:ascii="Arial" w:hAnsi="Arial" w:cs="Arial"/>
          <w:sz w:val="18"/>
        </w:rPr>
        <w:t xml:space="preserve"> </w:t>
      </w:r>
      <w:r w:rsidR="00544A5E">
        <w:rPr>
          <w:rFonts w:ascii="Arial" w:hAnsi="Arial" w:cs="Arial"/>
          <w:sz w:val="18"/>
        </w:rPr>
        <w:t>13</w:t>
      </w:r>
      <w:r w:rsidRPr="0076086D">
        <w:rPr>
          <w:rFonts w:ascii="Arial" w:hAnsi="Arial" w:cs="Arial"/>
          <w:sz w:val="18"/>
        </w:rPr>
        <w:t>:  Foreclosure Costs by Property Value – Statistical Buckets</w:t>
      </w:r>
    </w:p>
    <w:p w14:paraId="778C95F0" w14:textId="38D9C968" w:rsidR="007936D8" w:rsidRDefault="005E4CC6" w:rsidP="00464D53">
      <w:pPr>
        <w:tabs>
          <w:tab w:val="left" w:pos="5580"/>
          <w:tab w:val="left" w:pos="6660"/>
        </w:tabs>
        <w:ind w:left="720"/>
        <w:jc w:val="both"/>
      </w:pPr>
      <w:r>
        <w:rPr>
          <w:noProof/>
        </w:rPr>
        <w:drawing>
          <wp:inline distT="0" distB="0" distL="0" distR="0" wp14:anchorId="04C8C19F" wp14:editId="299433CA">
            <wp:extent cx="5876951" cy="2854519"/>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85912" cy="2858871"/>
                    </a:xfrm>
                    <a:prstGeom prst="rect">
                      <a:avLst/>
                    </a:prstGeom>
                  </pic:spPr>
                </pic:pic>
              </a:graphicData>
            </a:graphic>
          </wp:inline>
        </w:drawing>
      </w:r>
    </w:p>
    <w:p w14:paraId="67610A87" w14:textId="77777777" w:rsidR="007936D8" w:rsidRDefault="007936D8" w:rsidP="00464D53">
      <w:pPr>
        <w:jc w:val="both"/>
      </w:pPr>
    </w:p>
    <w:p w14:paraId="22D1C7D4" w14:textId="2D2A7F52" w:rsidR="00AE14C8" w:rsidRPr="0076086D" w:rsidRDefault="008A782E" w:rsidP="00464D53">
      <w:pPr>
        <w:pStyle w:val="ListParagraph"/>
        <w:jc w:val="both"/>
        <w:rPr>
          <w:rFonts w:ascii="Arial" w:hAnsi="Arial" w:cs="Arial"/>
          <w:sz w:val="16"/>
        </w:rPr>
      </w:pPr>
      <w:r>
        <w:rPr>
          <w:rFonts w:ascii="Arial" w:hAnsi="Arial" w:cs="Arial"/>
          <w:sz w:val="18"/>
        </w:rPr>
        <w:t>Table 7</w:t>
      </w:r>
      <w:r w:rsidR="00AE14C8" w:rsidRPr="0076086D">
        <w:rPr>
          <w:rFonts w:ascii="Arial" w:hAnsi="Arial" w:cs="Arial"/>
          <w:sz w:val="18"/>
        </w:rPr>
        <w:t>:  Foreclosure Costs by Property Value – Statistical Buckets</w:t>
      </w:r>
    </w:p>
    <w:p w14:paraId="64EBE6EE" w14:textId="0F4B8BEE" w:rsidR="00D059DD" w:rsidRDefault="00F31D29" w:rsidP="00464D53">
      <w:pPr>
        <w:ind w:left="720"/>
        <w:jc w:val="both"/>
      </w:pPr>
      <w:r>
        <w:rPr>
          <w:noProof/>
        </w:rPr>
        <w:drawing>
          <wp:inline distT="0" distB="0" distL="0" distR="0" wp14:anchorId="6043F01E" wp14:editId="05119438">
            <wp:extent cx="5889748" cy="1542553"/>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870" cy="1555942"/>
                    </a:xfrm>
                    <a:prstGeom prst="rect">
                      <a:avLst/>
                    </a:prstGeom>
                  </pic:spPr>
                </pic:pic>
              </a:graphicData>
            </a:graphic>
          </wp:inline>
        </w:drawing>
      </w:r>
    </w:p>
    <w:p w14:paraId="49072D46" w14:textId="77777777" w:rsidR="00AE14C8" w:rsidRDefault="00AE14C8" w:rsidP="0061165E"/>
    <w:p w14:paraId="3360B717" w14:textId="6C3C3E2B" w:rsidR="00841C69" w:rsidRDefault="00841C69" w:rsidP="00464D53">
      <w:pPr>
        <w:ind w:left="720"/>
        <w:jc w:val="both"/>
      </w:pPr>
      <w:r>
        <w:t xml:space="preserve">The pros and cons of the two property value alternatives are similar to those of the geography alternatives.  The $100K buckets are easy to understand, but require </w:t>
      </w:r>
      <w:r w:rsidR="00A70DFA">
        <w:t xml:space="preserve">researcher </w:t>
      </w:r>
      <w:r>
        <w:t>judgment to update.</w:t>
      </w:r>
      <w:r w:rsidR="00081B50">
        <w:t xml:space="preserve">  </w:t>
      </w:r>
      <w:r w:rsidR="00081B50">
        <w:lastRenderedPageBreak/>
        <w:t xml:space="preserve">The statistical specification is </w:t>
      </w:r>
      <w:r w:rsidR="00C72BCE">
        <w:t xml:space="preserve">perhaps </w:t>
      </w:r>
      <w:r w:rsidR="00081B50">
        <w:t xml:space="preserve">less </w:t>
      </w:r>
      <w:r w:rsidR="00C72BCE">
        <w:t>easy to understand</w:t>
      </w:r>
      <w:r w:rsidR="00081B50">
        <w:t>; however, it provides a clear methodology for future algorithm updates</w:t>
      </w:r>
      <w:r w:rsidR="00A70DFA">
        <w:t xml:space="preserve"> and is data-driven in its approach to maintain long-term dynamics</w:t>
      </w:r>
      <w:r w:rsidR="00081B50">
        <w:t>.</w:t>
      </w:r>
    </w:p>
    <w:p w14:paraId="205CACF9" w14:textId="77777777" w:rsidR="00B750EC" w:rsidRDefault="00B750EC" w:rsidP="00AE14C8"/>
    <w:p w14:paraId="1E64881A" w14:textId="77777777" w:rsidR="00B750EC" w:rsidRDefault="00B750EC" w:rsidP="00464D53">
      <w:pPr>
        <w:pStyle w:val="ListParagraph"/>
        <w:numPr>
          <w:ilvl w:val="0"/>
          <w:numId w:val="4"/>
        </w:numPr>
        <w:jc w:val="both"/>
      </w:pPr>
      <w:r>
        <w:t xml:space="preserve">Property Type:  Maintenance requirements, which impact the overall foreclosure costs, vary by property type.  The proposed property type specification is grouped into three buckets.  </w:t>
      </w:r>
      <w:r w:rsidR="003E2901">
        <w:t xml:space="preserve">Eighty five percent </w:t>
      </w:r>
      <w:r>
        <w:t xml:space="preserve">of all defaults are one-unit properties, which make up the first bucket.  Condos make up the second bucket since their multifamily-like structure has different maintenance requirements than do other single family properties.  The third bucket is made up of all the other property types, including two to four unit properties as well as manufactured housing. </w:t>
      </w:r>
    </w:p>
    <w:p w14:paraId="7534291F" w14:textId="77777777" w:rsidR="00A56E43" w:rsidRDefault="00A56E43" w:rsidP="00560535">
      <w:pPr>
        <w:ind w:left="720"/>
      </w:pPr>
    </w:p>
    <w:p w14:paraId="6D1A90C1" w14:textId="5D46A9BC" w:rsidR="00A56E43" w:rsidRPr="00A56E43" w:rsidRDefault="00E940BD" w:rsidP="00464D53">
      <w:pPr>
        <w:ind w:left="720"/>
        <w:jc w:val="center"/>
        <w:rPr>
          <w:rFonts w:ascii="Arial" w:hAnsi="Arial" w:cs="Arial"/>
          <w:sz w:val="18"/>
        </w:rPr>
      </w:pPr>
      <w:r>
        <w:rPr>
          <w:rFonts w:ascii="Arial" w:hAnsi="Arial" w:cs="Arial"/>
          <w:sz w:val="18"/>
        </w:rPr>
        <w:t xml:space="preserve">Figure </w:t>
      </w:r>
      <w:r w:rsidR="00544A5E">
        <w:rPr>
          <w:rFonts w:ascii="Arial" w:hAnsi="Arial" w:cs="Arial"/>
          <w:sz w:val="18"/>
        </w:rPr>
        <w:t>14</w:t>
      </w:r>
      <w:r w:rsidR="00A56E43" w:rsidRPr="0076086D">
        <w:rPr>
          <w:rFonts w:ascii="Arial" w:hAnsi="Arial" w:cs="Arial"/>
          <w:sz w:val="18"/>
        </w:rPr>
        <w:t>:  Foreclosure Costs by Property Type</w:t>
      </w:r>
    </w:p>
    <w:p w14:paraId="7F91995E" w14:textId="3EF3A687" w:rsidR="003E2901" w:rsidRDefault="00A56E43" w:rsidP="00464D53">
      <w:pPr>
        <w:ind w:left="720"/>
        <w:jc w:val="center"/>
      </w:pPr>
      <w:r>
        <w:rPr>
          <w:noProof/>
        </w:rPr>
        <w:drawing>
          <wp:inline distT="0" distB="0" distL="0" distR="0" wp14:anchorId="24485971" wp14:editId="7A9BD673">
            <wp:extent cx="5887246" cy="906449"/>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25786" cy="912383"/>
                    </a:xfrm>
                    <a:prstGeom prst="rect">
                      <a:avLst/>
                    </a:prstGeom>
                  </pic:spPr>
                </pic:pic>
              </a:graphicData>
            </a:graphic>
          </wp:inline>
        </w:drawing>
      </w:r>
    </w:p>
    <w:p w14:paraId="12448A06" w14:textId="77777777" w:rsidR="00A56E43" w:rsidRDefault="00A56E43" w:rsidP="00464D53">
      <w:pPr>
        <w:ind w:left="720"/>
        <w:jc w:val="center"/>
      </w:pPr>
    </w:p>
    <w:p w14:paraId="0FB59D1E" w14:textId="26A60440" w:rsidR="00560535" w:rsidRPr="0076086D" w:rsidRDefault="008A782E" w:rsidP="00464D53">
      <w:pPr>
        <w:ind w:left="720"/>
        <w:jc w:val="center"/>
        <w:rPr>
          <w:rFonts w:ascii="Arial" w:hAnsi="Arial" w:cs="Arial"/>
          <w:sz w:val="18"/>
        </w:rPr>
      </w:pPr>
      <w:r>
        <w:rPr>
          <w:rFonts w:ascii="Arial" w:hAnsi="Arial" w:cs="Arial"/>
          <w:sz w:val="18"/>
        </w:rPr>
        <w:t>Table 8</w:t>
      </w:r>
      <w:r w:rsidR="00560535" w:rsidRPr="0076086D">
        <w:rPr>
          <w:rFonts w:ascii="Arial" w:hAnsi="Arial" w:cs="Arial"/>
          <w:sz w:val="18"/>
        </w:rPr>
        <w:t>:  Foreclosure Costs by Property Type</w:t>
      </w:r>
    </w:p>
    <w:p w14:paraId="45594604" w14:textId="32437055" w:rsidR="00612F54" w:rsidRDefault="00983751" w:rsidP="00464D53">
      <w:pPr>
        <w:ind w:left="720"/>
        <w:jc w:val="center"/>
      </w:pPr>
      <w:r>
        <w:rPr>
          <w:noProof/>
        </w:rPr>
        <w:drawing>
          <wp:inline distT="0" distB="0" distL="0" distR="0" wp14:anchorId="60394884" wp14:editId="1AC9A715">
            <wp:extent cx="5891916" cy="9981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91559" cy="1015062"/>
                    </a:xfrm>
                    <a:prstGeom prst="rect">
                      <a:avLst/>
                    </a:prstGeom>
                  </pic:spPr>
                </pic:pic>
              </a:graphicData>
            </a:graphic>
          </wp:inline>
        </w:drawing>
      </w:r>
    </w:p>
    <w:p w14:paraId="0CDFD130" w14:textId="77777777" w:rsidR="00612F54" w:rsidRDefault="00612F54" w:rsidP="00560535">
      <w:pPr>
        <w:ind w:left="720"/>
      </w:pPr>
    </w:p>
    <w:p w14:paraId="0168C7BA" w14:textId="77777777" w:rsidR="00FB7685" w:rsidRDefault="00B74A5D" w:rsidP="00464D53">
      <w:pPr>
        <w:pStyle w:val="ListParagraph"/>
        <w:numPr>
          <w:ilvl w:val="0"/>
          <w:numId w:val="4"/>
        </w:numPr>
        <w:jc w:val="both"/>
      </w:pPr>
      <w:r>
        <w:t>Urban/Rural Indicator</w:t>
      </w:r>
      <w:r w:rsidR="00FB7685">
        <w:t xml:space="preserve">:  It has already been established that the geographic location has an impact on foreclosure costs.  </w:t>
      </w:r>
      <w:r w:rsidR="00A70DFA">
        <w:t xml:space="preserve">However, within major metropolitan areas cost functions are markedly different than the more rural areas, even within a state.  </w:t>
      </w:r>
      <w:r w:rsidR="00FB7685">
        <w:t>The urban/rural indicator is a further specification of geograph</w:t>
      </w:r>
      <w:r w:rsidR="00686F0A">
        <w:t>y</w:t>
      </w:r>
      <w:r w:rsidR="00FB7685">
        <w:t>.  Metropolitan statistical areas (MSA) were used to determine urban locations.  Any property not located in an MSA is considered rural.</w:t>
      </w:r>
    </w:p>
    <w:p w14:paraId="2BC2E145" w14:textId="77777777" w:rsidR="00FB7685" w:rsidRDefault="00FB7685" w:rsidP="00464D53">
      <w:pPr>
        <w:pStyle w:val="ListParagraph"/>
        <w:jc w:val="both"/>
      </w:pPr>
    </w:p>
    <w:p w14:paraId="6E48DE78" w14:textId="77777777" w:rsidR="002D6C19" w:rsidRDefault="00FB7685" w:rsidP="00464D53">
      <w:pPr>
        <w:ind w:left="720"/>
        <w:jc w:val="both"/>
      </w:pPr>
      <w:r>
        <w:t xml:space="preserve">The two alternatives for the urban/rural indicator are </w:t>
      </w:r>
      <w:r w:rsidR="005254A8">
        <w:t>1) using</w:t>
      </w:r>
      <w:r>
        <w:t xml:space="preserve"> the indicator or </w:t>
      </w:r>
      <w:r w:rsidR="005254A8">
        <w:t>2)</w:t>
      </w:r>
      <w:r>
        <w:t xml:space="preserve"> not us</w:t>
      </w:r>
      <w:r w:rsidR="005254A8">
        <w:t>ing</w:t>
      </w:r>
      <w:r>
        <w:t xml:space="preserve"> the indicator.</w:t>
      </w:r>
      <w:r w:rsidR="0051380D">
        <w:t xml:space="preserve">  Using the indicator allows the algorithm to further specify geography, but it increases the complexity of the implementation by </w:t>
      </w:r>
      <w:r w:rsidR="00360EF0">
        <w:t xml:space="preserve">increasing </w:t>
      </w:r>
      <w:r w:rsidR="0051380D">
        <w:t>the grid size.</w:t>
      </w:r>
    </w:p>
    <w:p w14:paraId="7C8B9518" w14:textId="77777777" w:rsidR="00B87C86" w:rsidRDefault="00B87C86" w:rsidP="00B87C86">
      <w:pPr>
        <w:ind w:left="720"/>
      </w:pPr>
    </w:p>
    <w:p w14:paraId="66ADDB5B" w14:textId="20D75E61" w:rsidR="00BF3ACF" w:rsidRPr="00BF3ACF" w:rsidRDefault="00BF3ACF" w:rsidP="00464D53">
      <w:pPr>
        <w:ind w:left="720"/>
        <w:jc w:val="center"/>
        <w:rPr>
          <w:rFonts w:ascii="Arial" w:hAnsi="Arial" w:cs="Arial"/>
          <w:sz w:val="18"/>
        </w:rPr>
      </w:pPr>
      <w:r>
        <w:rPr>
          <w:rFonts w:ascii="Arial" w:hAnsi="Arial" w:cs="Arial"/>
          <w:sz w:val="18"/>
        </w:rPr>
        <w:t>Figure</w:t>
      </w:r>
      <w:r w:rsidR="00E940BD">
        <w:rPr>
          <w:rFonts w:ascii="Arial" w:hAnsi="Arial" w:cs="Arial"/>
          <w:sz w:val="18"/>
        </w:rPr>
        <w:t xml:space="preserve"> </w:t>
      </w:r>
      <w:r w:rsidR="00544A5E">
        <w:rPr>
          <w:rFonts w:ascii="Arial" w:hAnsi="Arial" w:cs="Arial"/>
          <w:sz w:val="18"/>
        </w:rPr>
        <w:t>15</w:t>
      </w:r>
      <w:r w:rsidRPr="0076086D">
        <w:rPr>
          <w:rFonts w:ascii="Arial" w:hAnsi="Arial" w:cs="Arial"/>
          <w:sz w:val="18"/>
        </w:rPr>
        <w:t>:  Foreclosure Costs by Urban/Rural Indicator</w:t>
      </w:r>
    </w:p>
    <w:p w14:paraId="4E0C8E30" w14:textId="69E2F066" w:rsidR="00BF3ACF" w:rsidRDefault="00BF3ACF" w:rsidP="00464D53">
      <w:pPr>
        <w:ind w:left="720"/>
        <w:jc w:val="center"/>
      </w:pPr>
      <w:r>
        <w:rPr>
          <w:noProof/>
        </w:rPr>
        <w:drawing>
          <wp:inline distT="0" distB="0" distL="0" distR="0" wp14:anchorId="422D73DD" wp14:editId="2A7ABE2E">
            <wp:extent cx="5891530" cy="720076"/>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9466" cy="727157"/>
                    </a:xfrm>
                    <a:prstGeom prst="rect">
                      <a:avLst/>
                    </a:prstGeom>
                  </pic:spPr>
                </pic:pic>
              </a:graphicData>
            </a:graphic>
          </wp:inline>
        </w:drawing>
      </w:r>
    </w:p>
    <w:p w14:paraId="0AA23093" w14:textId="77777777" w:rsidR="00A70DFA" w:rsidRPr="009756E2" w:rsidRDefault="00A70DFA" w:rsidP="00464D53">
      <w:pPr>
        <w:pStyle w:val="ListParagraph"/>
        <w:jc w:val="center"/>
      </w:pPr>
    </w:p>
    <w:p w14:paraId="07DECC81" w14:textId="77777777" w:rsidR="00A70DFA" w:rsidRDefault="00A70DFA">
      <w:pPr>
        <w:rPr>
          <w:rFonts w:ascii="Arial" w:hAnsi="Arial" w:cs="Arial"/>
          <w:sz w:val="18"/>
        </w:rPr>
      </w:pPr>
      <w:r>
        <w:rPr>
          <w:rFonts w:ascii="Arial" w:hAnsi="Arial" w:cs="Arial"/>
          <w:sz w:val="18"/>
        </w:rPr>
        <w:br w:type="page"/>
      </w:r>
    </w:p>
    <w:p w14:paraId="0E91BF09" w14:textId="0B2E3CCA" w:rsidR="002D6C19" w:rsidRPr="0076086D" w:rsidRDefault="008A782E" w:rsidP="00464D53">
      <w:pPr>
        <w:ind w:left="720"/>
        <w:jc w:val="center"/>
        <w:rPr>
          <w:rFonts w:ascii="Arial" w:hAnsi="Arial" w:cs="Arial"/>
          <w:sz w:val="18"/>
        </w:rPr>
      </w:pPr>
      <w:r>
        <w:rPr>
          <w:rFonts w:ascii="Arial" w:hAnsi="Arial" w:cs="Arial"/>
          <w:sz w:val="18"/>
        </w:rPr>
        <w:lastRenderedPageBreak/>
        <w:t>Table 9</w:t>
      </w:r>
      <w:r w:rsidR="00B87C86" w:rsidRPr="0076086D">
        <w:rPr>
          <w:rFonts w:ascii="Arial" w:hAnsi="Arial" w:cs="Arial"/>
          <w:sz w:val="18"/>
        </w:rPr>
        <w:t>:  Foreclosure Costs by Urban/Rural Indicator</w:t>
      </w:r>
    </w:p>
    <w:p w14:paraId="085A7332" w14:textId="31B9A5F7" w:rsidR="00B87C86" w:rsidRDefault="00EC14F0" w:rsidP="00464D53">
      <w:pPr>
        <w:ind w:left="720"/>
        <w:jc w:val="center"/>
        <w:rPr>
          <w:u w:val="single"/>
        </w:rPr>
      </w:pPr>
      <w:r>
        <w:rPr>
          <w:noProof/>
        </w:rPr>
        <w:drawing>
          <wp:inline distT="0" distB="0" distL="0" distR="0" wp14:anchorId="3A20B552" wp14:editId="211EE73F">
            <wp:extent cx="5852337" cy="834887"/>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12320" cy="843444"/>
                    </a:xfrm>
                    <a:prstGeom prst="rect">
                      <a:avLst/>
                    </a:prstGeom>
                  </pic:spPr>
                </pic:pic>
              </a:graphicData>
            </a:graphic>
          </wp:inline>
        </w:drawing>
      </w:r>
    </w:p>
    <w:p w14:paraId="1101FE1D" w14:textId="77777777" w:rsidR="00B87C86" w:rsidRDefault="00B87C86" w:rsidP="002D6C19">
      <w:pPr>
        <w:rPr>
          <w:u w:val="single"/>
        </w:rPr>
      </w:pPr>
    </w:p>
    <w:p w14:paraId="147E53D0" w14:textId="77777777" w:rsidR="002D6C19" w:rsidRPr="00162A93" w:rsidRDefault="00A1241F" w:rsidP="002D6C19">
      <w:pPr>
        <w:rPr>
          <w:u w:val="single"/>
        </w:rPr>
      </w:pPr>
      <w:r w:rsidRPr="008B4665">
        <w:rPr>
          <w:u w:val="single"/>
        </w:rPr>
        <w:t>MI Factor</w:t>
      </w:r>
      <w:r w:rsidR="00CB147E" w:rsidRPr="008B4665">
        <w:rPr>
          <w:u w:val="single"/>
        </w:rPr>
        <w:t xml:space="preserve"> Outputs</w:t>
      </w:r>
      <w:r w:rsidRPr="008B4665">
        <w:rPr>
          <w:u w:val="single"/>
        </w:rPr>
        <w:t xml:space="preserve">:  </w:t>
      </w:r>
      <w:r w:rsidR="00CB147E" w:rsidRPr="008B4665">
        <w:rPr>
          <w:u w:val="single"/>
        </w:rPr>
        <w:t xml:space="preserve">Fixed and Variable </w:t>
      </w:r>
      <w:r w:rsidRPr="008B4665">
        <w:rPr>
          <w:u w:val="single"/>
        </w:rPr>
        <w:t>Foreclosure Cost</w:t>
      </w:r>
      <w:r w:rsidR="00CB147E" w:rsidRPr="008B4665">
        <w:rPr>
          <w:u w:val="single"/>
        </w:rPr>
        <w:t>s</w:t>
      </w:r>
    </w:p>
    <w:p w14:paraId="4D620BA8" w14:textId="5558D882" w:rsidR="002D6C19" w:rsidRDefault="00BF7CEA" w:rsidP="00464D53">
      <w:pPr>
        <w:jc w:val="both"/>
      </w:pPr>
      <w:r>
        <w:t>The</w:t>
      </w:r>
      <w:r w:rsidR="00686F0A">
        <w:t xml:space="preserve"> MI Factor algorithm has two outputs:  the value-weighted</w:t>
      </w:r>
      <w:r>
        <w:t xml:space="preserve"> average </w:t>
      </w:r>
      <w:r w:rsidR="002D6C19">
        <w:t>fixed</w:t>
      </w:r>
      <w:r w:rsidR="004A6A8B">
        <w:t xml:space="preserve"> foreclosure costs</w:t>
      </w:r>
      <w:r w:rsidR="002D6C19">
        <w:t xml:space="preserve"> and </w:t>
      </w:r>
      <w:r w:rsidR="004A6A8B">
        <w:t xml:space="preserve">the value-weighted average </w:t>
      </w:r>
      <w:r w:rsidR="002D6C19">
        <w:t xml:space="preserve">variable </w:t>
      </w:r>
      <w:r w:rsidR="00686F0A">
        <w:t xml:space="preserve">foreclosure </w:t>
      </w:r>
      <w:r w:rsidR="00482AAE">
        <w:t>cost per day</w:t>
      </w:r>
      <w:r w:rsidR="00686F0A">
        <w:t>.  B</w:t>
      </w:r>
      <w:r>
        <w:t>oth</w:t>
      </w:r>
      <w:r w:rsidR="00686F0A">
        <w:t xml:space="preserve"> fixed and variable costs are</w:t>
      </w:r>
      <w:r>
        <w:t xml:space="preserve"> </w:t>
      </w:r>
      <w:r w:rsidR="002D6C19">
        <w:t xml:space="preserve">specified as </w:t>
      </w:r>
      <w:r w:rsidR="00B05296">
        <w:t xml:space="preserve">a </w:t>
      </w:r>
      <w:r w:rsidR="002D6C19">
        <w:t>percentage of value</w:t>
      </w:r>
      <w:r w:rsidR="00686F0A">
        <w:t xml:space="preserve">, which is a </w:t>
      </w:r>
      <w:r>
        <w:t>hybrid of sales price and UPB</w:t>
      </w:r>
      <w:r w:rsidR="00A70DFA">
        <w:t xml:space="preserve"> depending on disposition method</w:t>
      </w:r>
      <w:r w:rsidR="002D6C19">
        <w:t xml:space="preserve">.  Specifying </w:t>
      </w:r>
      <w:r>
        <w:t xml:space="preserve">the costs </w:t>
      </w:r>
      <w:r w:rsidR="002D6C19">
        <w:t xml:space="preserve">as </w:t>
      </w:r>
      <w:r>
        <w:t xml:space="preserve">a percent </w:t>
      </w:r>
      <w:r w:rsidR="002D6C19">
        <w:t xml:space="preserve">of value </w:t>
      </w:r>
      <w:r>
        <w:t>has the advantage of normalizing the costs</w:t>
      </w:r>
      <w:r w:rsidR="002D6C19">
        <w:t xml:space="preserve"> for differences in the MI </w:t>
      </w:r>
      <w:r>
        <w:t>and</w:t>
      </w:r>
      <w:r w:rsidR="002D6C19">
        <w:t xml:space="preserve"> no MI default populations.  </w:t>
      </w:r>
      <w:r w:rsidR="00686F0A">
        <w:t>Since f</w:t>
      </w:r>
      <w:r w:rsidR="002D6C19">
        <w:t>ixed costs are one-time costs</w:t>
      </w:r>
      <w:r w:rsidR="00686F0A">
        <w:t>,</w:t>
      </w:r>
      <w:r w:rsidR="002D6C19">
        <w:t xml:space="preserve"> </w:t>
      </w:r>
      <w:r w:rsidR="00686F0A">
        <w:t>they</w:t>
      </w:r>
      <w:r w:rsidR="002D6C19">
        <w:t xml:space="preserve"> can be compared directly to the value.  Variable costs are periodic and are thus express</w:t>
      </w:r>
      <w:r w:rsidR="00A70DFA">
        <w:t>ed</w:t>
      </w:r>
      <w:r w:rsidR="002D6C19">
        <w:t xml:space="preserve"> </w:t>
      </w:r>
      <w:r w:rsidR="00A70DFA">
        <w:t xml:space="preserve">on a </w:t>
      </w:r>
      <w:r w:rsidR="00A70DFA">
        <w:rPr>
          <w:i/>
        </w:rPr>
        <w:t xml:space="preserve">per diem </w:t>
      </w:r>
      <w:r w:rsidR="00A70DFA">
        <w:t xml:space="preserve">basis </w:t>
      </w:r>
      <w:r w:rsidR="00686F0A">
        <w:t>of the value.</w:t>
      </w:r>
      <w:r w:rsidR="00663AD8">
        <w:t xml:space="preserve">  Fixed and variable costs are calculated as follows.</w:t>
      </w:r>
    </w:p>
    <w:p w14:paraId="4566159B" w14:textId="77777777" w:rsidR="00594CA1" w:rsidRDefault="00594CA1" w:rsidP="00594CA1"/>
    <w:p w14:paraId="7857B286" w14:textId="71B2FA9D" w:rsidR="00594CA1" w:rsidRDefault="00594CA1" w:rsidP="00594CA1">
      <w:pPr>
        <w:jc w:val="center"/>
        <w:rPr>
          <w:u w:val="single"/>
        </w:rPr>
      </w:pPr>
      <w:r>
        <w:rPr>
          <w:i/>
        </w:rPr>
        <w:t>Calculated Days = minimum of</w:t>
      </w:r>
      <w:r w:rsidRPr="00617790">
        <w:rPr>
          <w:i/>
        </w:rPr>
        <w:t xml:space="preserve"> (Actual D</w:t>
      </w:r>
      <w:r>
        <w:rPr>
          <w:i/>
        </w:rPr>
        <w:t xml:space="preserve">ays, Allowable Days)  </w:t>
      </w:r>
    </w:p>
    <w:p w14:paraId="65285B9C" w14:textId="77777777" w:rsidR="00594CA1" w:rsidRDefault="00594CA1" w:rsidP="00594CA1"/>
    <w:p w14:paraId="62D6F8F3" w14:textId="77777777" w:rsidR="00A542C6" w:rsidRDefault="00A542C6" w:rsidP="00594CA1"/>
    <w:p w14:paraId="584F5E1D" w14:textId="77777777" w:rsidR="00594CA1" w:rsidRDefault="00594CA1" w:rsidP="00594CA1">
      <w:pPr>
        <w:jc w:val="center"/>
        <w:rPr>
          <w:i/>
        </w:rPr>
      </w:pPr>
      <w:r>
        <w:rPr>
          <w:i/>
        </w:rPr>
        <w:t xml:space="preserve">Fixed Costs = </w:t>
      </w:r>
      <w:r w:rsidRPr="00292E75">
        <w:rPr>
          <w:i/>
          <w:u w:val="single"/>
        </w:rPr>
        <w:t>∑ Allowable Fixed Costs</w:t>
      </w:r>
      <w:r>
        <w:rPr>
          <w:i/>
        </w:rPr>
        <w:t xml:space="preserve"> </w:t>
      </w:r>
      <w:r w:rsidRPr="00663AD8">
        <w:rPr>
          <w:i/>
          <w:vertAlign w:val="subscript"/>
        </w:rPr>
        <w:t>*</w:t>
      </w:r>
      <w:r>
        <w:rPr>
          <w:i/>
        </w:rPr>
        <w:t xml:space="preserve"> </w:t>
      </w:r>
      <w:r w:rsidRPr="00663AD8">
        <w:rPr>
          <w:i/>
        </w:rPr>
        <w:t>Value</w:t>
      </w:r>
    </w:p>
    <w:p w14:paraId="77DA74B2" w14:textId="77777777" w:rsidR="00594CA1" w:rsidRPr="00663AD8" w:rsidRDefault="00594CA1" w:rsidP="00594CA1">
      <w:pPr>
        <w:jc w:val="center"/>
        <w:rPr>
          <w:i/>
        </w:rPr>
      </w:pPr>
      <w:r>
        <w:rPr>
          <w:i/>
        </w:rPr>
        <w:t xml:space="preserve">          </w:t>
      </w:r>
      <w:r w:rsidRPr="00955E0C">
        <w:rPr>
          <w:i/>
        </w:rPr>
        <w:t>∑</w:t>
      </w:r>
      <w:r w:rsidRPr="00663AD8">
        <w:rPr>
          <w:i/>
        </w:rPr>
        <w:t xml:space="preserve"> Values</w:t>
      </w:r>
    </w:p>
    <w:p w14:paraId="12BBBBAA" w14:textId="77777777" w:rsidR="00594CA1" w:rsidRDefault="00594CA1" w:rsidP="00594CA1">
      <w:pPr>
        <w:pStyle w:val="ListParagraph"/>
      </w:pPr>
    </w:p>
    <w:p w14:paraId="471B2AEB" w14:textId="77777777" w:rsidR="00594CA1" w:rsidRDefault="00594CA1" w:rsidP="00594CA1">
      <w:pPr>
        <w:jc w:val="center"/>
        <w:rPr>
          <w:i/>
        </w:rPr>
      </w:pPr>
      <w:r w:rsidRPr="0065787D">
        <w:rPr>
          <w:i/>
        </w:rPr>
        <w:t xml:space="preserve">      </w:t>
      </w:r>
      <w:r>
        <w:rPr>
          <w:i/>
        </w:rPr>
        <w:t xml:space="preserve">                   </w:t>
      </w:r>
      <w:r w:rsidRPr="0065787D">
        <w:rPr>
          <w:i/>
        </w:rPr>
        <w:t xml:space="preserve"> </w:t>
      </w:r>
      <w:r>
        <w:rPr>
          <w:i/>
        </w:rPr>
        <w:t xml:space="preserve">   </w:t>
      </w:r>
      <w:r w:rsidRPr="00292E75">
        <w:rPr>
          <w:i/>
          <w:u w:val="single"/>
        </w:rPr>
        <w:t>∑ Allowable Variable Costs</w:t>
      </w:r>
      <w:r>
        <w:rPr>
          <w:i/>
        </w:rPr>
        <w:t xml:space="preserve"> </w:t>
      </w:r>
    </w:p>
    <w:p w14:paraId="784A621E" w14:textId="77777777" w:rsidR="00594CA1" w:rsidRPr="0065787D" w:rsidRDefault="00594CA1" w:rsidP="00594CA1">
      <w:pPr>
        <w:jc w:val="center"/>
        <w:rPr>
          <w:i/>
        </w:rPr>
      </w:pPr>
      <w:r>
        <w:rPr>
          <w:i/>
        </w:rPr>
        <w:t xml:space="preserve"> </w:t>
      </w:r>
      <w:r w:rsidRPr="00617790">
        <w:rPr>
          <w:i/>
        </w:rPr>
        <w:t xml:space="preserve">Variable Costs per Day </w:t>
      </w:r>
      <w:r>
        <w:rPr>
          <w:i/>
        </w:rPr>
        <w:t xml:space="preserve">= </w:t>
      </w:r>
      <w:r w:rsidRPr="0065787D">
        <w:rPr>
          <w:i/>
          <w:u w:val="single"/>
        </w:rPr>
        <w:t xml:space="preserve">        </w:t>
      </w:r>
      <w:r w:rsidRPr="00292E75">
        <w:rPr>
          <w:i/>
          <w:u w:val="single"/>
        </w:rPr>
        <w:t xml:space="preserve">     ∑ Values    </w:t>
      </w:r>
      <w:r w:rsidRPr="0065787D">
        <w:rPr>
          <w:i/>
          <w:u w:val="single"/>
        </w:rPr>
        <w:t xml:space="preserve">            </w:t>
      </w:r>
      <w:r w:rsidRPr="0065787D">
        <w:rPr>
          <w:i/>
          <w:color w:val="FFFFFF" w:themeColor="background1"/>
          <w:u w:val="single"/>
        </w:rPr>
        <w:t>a</w:t>
      </w:r>
      <w:r w:rsidRPr="00663AD8">
        <w:rPr>
          <w:i/>
          <w:vertAlign w:val="subscript"/>
        </w:rPr>
        <w:t>*</w:t>
      </w:r>
      <w:r>
        <w:rPr>
          <w:i/>
        </w:rPr>
        <w:t xml:space="preserve"> Value</w:t>
      </w:r>
    </w:p>
    <w:p w14:paraId="58A3168D" w14:textId="77777777" w:rsidR="00594CA1" w:rsidRDefault="00594CA1" w:rsidP="00594CA1">
      <w:pPr>
        <w:jc w:val="center"/>
        <w:rPr>
          <w:u w:val="single"/>
        </w:rPr>
      </w:pPr>
      <w:r>
        <w:rPr>
          <w:i/>
        </w:rPr>
        <w:t xml:space="preserve">                        Calculated Days</w:t>
      </w:r>
    </w:p>
    <w:p w14:paraId="03A51098" w14:textId="77777777" w:rsidR="00F46F5D" w:rsidRDefault="00F46F5D" w:rsidP="006405E0">
      <w:pPr>
        <w:rPr>
          <w:u w:val="single"/>
        </w:rPr>
      </w:pPr>
    </w:p>
    <w:p w14:paraId="6E7A43E0" w14:textId="77777777" w:rsidR="006405E0" w:rsidRDefault="006405E0" w:rsidP="006405E0">
      <w:pPr>
        <w:rPr>
          <w:u w:val="single"/>
        </w:rPr>
      </w:pPr>
      <w:r>
        <w:rPr>
          <w:u w:val="single"/>
        </w:rPr>
        <w:t>Algorithm Performance Metrics</w:t>
      </w:r>
    </w:p>
    <w:p w14:paraId="638ACC1A" w14:textId="4C76C5B9" w:rsidR="006405E0" w:rsidRDefault="006405E0" w:rsidP="00464D53">
      <w:pPr>
        <w:jc w:val="both"/>
      </w:pPr>
      <w:r>
        <w:t xml:space="preserve">Two categories of statistical measures were used to judge the MI Factor algorithm performance:  goodness of fit and precision.  The </w:t>
      </w:r>
      <w:r w:rsidR="00E5042F">
        <w:t xml:space="preserve">measures of </w:t>
      </w:r>
      <w:r>
        <w:t xml:space="preserve">goodness of fit track the variance between the observed values and expected values. The </w:t>
      </w:r>
      <w:r w:rsidR="00E5042F">
        <w:t xml:space="preserve">measures of </w:t>
      </w:r>
      <w:r>
        <w:t xml:space="preserve">precision track the remaining error at an aggregate level.    Two additional important considerations in choosing the best algorithm are the ease of implementation and the ease of updating the methodology, </w:t>
      </w:r>
      <w:r w:rsidR="006522FA">
        <w:t>for</w:t>
      </w:r>
      <w:r>
        <w:t xml:space="preserve"> a total of four important criteria for measuring algorithm performance.  </w:t>
      </w:r>
      <w:r w:rsidR="006F5CAC">
        <w:t xml:space="preserve">When weighing the </w:t>
      </w:r>
      <w:r>
        <w:t>MI factor algorithm</w:t>
      </w:r>
      <w:r w:rsidR="006F5CAC">
        <w:t xml:space="preserve"> options, the algorithm that </w:t>
      </w:r>
      <w:r>
        <w:t xml:space="preserve">strikes </w:t>
      </w:r>
      <w:r w:rsidR="006F5CAC">
        <w:t xml:space="preserve">the best </w:t>
      </w:r>
      <w:r>
        <w:t>balance between all four criteria</w:t>
      </w:r>
      <w:r w:rsidR="006F5CAC">
        <w:t xml:space="preserve"> </w:t>
      </w:r>
      <w:r w:rsidR="00D71C02">
        <w:t xml:space="preserve">was </w:t>
      </w:r>
      <w:r w:rsidR="006F5CAC">
        <w:t>chosen</w:t>
      </w:r>
      <w:r>
        <w:t>.</w:t>
      </w:r>
    </w:p>
    <w:p w14:paraId="5EC4F8A8" w14:textId="77777777" w:rsidR="006405E0" w:rsidRPr="00D875C3" w:rsidRDefault="006405E0" w:rsidP="00464D53">
      <w:pPr>
        <w:jc w:val="both"/>
      </w:pPr>
    </w:p>
    <w:p w14:paraId="45841E7F" w14:textId="77777777" w:rsidR="006405E0" w:rsidRDefault="006405E0" w:rsidP="00464D53">
      <w:pPr>
        <w:pStyle w:val="ListParagraph"/>
        <w:numPr>
          <w:ilvl w:val="0"/>
          <w:numId w:val="7"/>
        </w:numPr>
        <w:jc w:val="both"/>
      </w:pPr>
      <w:r w:rsidRPr="003955A8">
        <w:t>Goodness of Fit</w:t>
      </w:r>
      <w:r>
        <w:t>:  There are three measures used to track the goodness of fit:  the mean squared errors (MSE), the sum of squared errors (SSE), and r-squared (R</w:t>
      </w:r>
      <w:r w:rsidRPr="00833666">
        <w:rPr>
          <w:vertAlign w:val="superscript"/>
        </w:rPr>
        <w:t>2</w:t>
      </w:r>
      <w:r>
        <w:t>).</w:t>
      </w:r>
    </w:p>
    <w:p w14:paraId="7892C354" w14:textId="77777777" w:rsidR="006405E0" w:rsidRPr="003955A8" w:rsidRDefault="006405E0" w:rsidP="00464D53">
      <w:pPr>
        <w:jc w:val="both"/>
      </w:pPr>
    </w:p>
    <w:p w14:paraId="315C5B83" w14:textId="77777777" w:rsidR="00955E0C" w:rsidRPr="00955E0C" w:rsidRDefault="006405E0" w:rsidP="00464D53">
      <w:pPr>
        <w:ind w:left="720"/>
        <w:jc w:val="both"/>
        <w:rPr>
          <w:u w:val="single"/>
        </w:rPr>
      </w:pPr>
      <w:r w:rsidRPr="00955E0C">
        <w:rPr>
          <w:u w:val="single"/>
        </w:rPr>
        <w:t>Mean Squared Errors</w:t>
      </w:r>
    </w:p>
    <w:p w14:paraId="3F2F7CF1" w14:textId="77777777" w:rsidR="006405E0" w:rsidRDefault="006405E0" w:rsidP="00464D53">
      <w:pPr>
        <w:ind w:left="720"/>
        <w:jc w:val="both"/>
      </w:pPr>
      <w:r>
        <w:t xml:space="preserve">The average of the squared error, or Mean Squared Error (MSE) tracks the algorithm’s average variance.  From a goodness of fit perspective, algorithms with lower MSEs perform better than algorithms with higher </w:t>
      </w:r>
      <w:proofErr w:type="spellStart"/>
      <w:r>
        <w:t>MSEs.</w:t>
      </w:r>
      <w:proofErr w:type="spellEnd"/>
      <w:r>
        <w:t xml:space="preserve"> MSE equals the average (</w:t>
      </w:r>
      <w:r w:rsidRPr="00955E0C">
        <w:rPr>
          <w:i/>
          <w:vertAlign w:val="subscript"/>
        </w:rPr>
        <w:t>1/n</w:t>
      </w:r>
      <w:r w:rsidRPr="00955E0C">
        <w:rPr>
          <w:i/>
        </w:rPr>
        <w:t xml:space="preserve"> ∑)</w:t>
      </w:r>
      <w:r>
        <w:t xml:space="preserve"> of the observed value (</w:t>
      </w:r>
      <w:r w:rsidRPr="00955E0C">
        <w:rPr>
          <w:i/>
        </w:rPr>
        <w:t>y)</w:t>
      </w:r>
      <w:r>
        <w:t xml:space="preserve"> minus the expected value (</w:t>
      </w:r>
      <w:proofErr w:type="spellStart"/>
      <w:r w:rsidRPr="00955E0C">
        <w:rPr>
          <w:i/>
        </w:rPr>
        <w:t>Y</w:t>
      </w:r>
      <w:r w:rsidRPr="00955E0C">
        <w:rPr>
          <w:i/>
          <w:vertAlign w:val="subscript"/>
        </w:rPr>
        <w:t>hat</w:t>
      </w:r>
      <w:proofErr w:type="spellEnd"/>
      <w:r w:rsidRPr="00955E0C">
        <w:rPr>
          <w:i/>
        </w:rPr>
        <w:t>)</w:t>
      </w:r>
      <w:r>
        <w:t>, squared.</w:t>
      </w:r>
    </w:p>
    <w:p w14:paraId="1BD906EA" w14:textId="77777777" w:rsidR="006405E0" w:rsidRDefault="006405E0" w:rsidP="00955E0C">
      <w:pPr>
        <w:ind w:left="360"/>
      </w:pPr>
    </w:p>
    <w:p w14:paraId="6FEAFEEB" w14:textId="77777777" w:rsidR="006405E0" w:rsidRPr="00955E0C" w:rsidRDefault="006405E0" w:rsidP="00955E0C">
      <w:pPr>
        <w:ind w:left="720"/>
        <w:jc w:val="center"/>
        <w:rPr>
          <w:i/>
        </w:rPr>
      </w:pPr>
      <w:r w:rsidRPr="00955E0C">
        <w:rPr>
          <w:i/>
        </w:rPr>
        <w:t xml:space="preserve">MSE = </w:t>
      </w:r>
      <w:r w:rsidRPr="00955E0C">
        <w:rPr>
          <w:i/>
          <w:vertAlign w:val="subscript"/>
        </w:rPr>
        <w:t>1/n</w:t>
      </w:r>
      <w:r w:rsidRPr="00955E0C">
        <w:rPr>
          <w:i/>
        </w:rPr>
        <w:t xml:space="preserve"> ∑ (y –</w:t>
      </w:r>
      <w:proofErr w:type="spellStart"/>
      <w:r w:rsidRPr="00955E0C">
        <w:rPr>
          <w:i/>
        </w:rPr>
        <w:t>Y</w:t>
      </w:r>
      <w:r w:rsidRPr="00955E0C">
        <w:rPr>
          <w:i/>
          <w:vertAlign w:val="subscript"/>
        </w:rPr>
        <w:t>hat</w:t>
      </w:r>
      <w:proofErr w:type="spellEnd"/>
      <w:proofErr w:type="gramStart"/>
      <w:r w:rsidRPr="00955E0C">
        <w:rPr>
          <w:i/>
        </w:rPr>
        <w:t>)</w:t>
      </w:r>
      <w:r w:rsidRPr="00955E0C">
        <w:rPr>
          <w:i/>
          <w:vertAlign w:val="superscript"/>
        </w:rPr>
        <w:t>2</w:t>
      </w:r>
      <w:proofErr w:type="gramEnd"/>
    </w:p>
    <w:p w14:paraId="25427B41" w14:textId="77777777" w:rsidR="006405E0" w:rsidRPr="003955A8" w:rsidRDefault="006405E0" w:rsidP="00955E0C">
      <w:pPr>
        <w:pStyle w:val="ListParagraph"/>
        <w:ind w:left="1800"/>
      </w:pPr>
    </w:p>
    <w:p w14:paraId="027F2616" w14:textId="77777777" w:rsidR="00955E0C" w:rsidRPr="00955E0C" w:rsidRDefault="006405E0" w:rsidP="00955E0C">
      <w:pPr>
        <w:ind w:left="720"/>
        <w:rPr>
          <w:u w:val="single"/>
        </w:rPr>
      </w:pPr>
      <w:r w:rsidRPr="00955E0C">
        <w:rPr>
          <w:u w:val="single"/>
        </w:rPr>
        <w:t>Sum of Squared Errors</w:t>
      </w:r>
    </w:p>
    <w:p w14:paraId="62E4D9AE" w14:textId="77777777" w:rsidR="006405E0" w:rsidRDefault="006405E0" w:rsidP="00464D53">
      <w:pPr>
        <w:ind w:left="720"/>
        <w:jc w:val="both"/>
      </w:pPr>
      <w:r>
        <w:lastRenderedPageBreak/>
        <w:t>The sum of the squared error (SSE) tracks the goodness of fit by measuring the algorithm’s total variance.  As with MSE, the lower the SSE value, the better the algorithm’s performance from a goodness of fit perspective.  SSE equals the sum of the observed value (</w:t>
      </w:r>
      <w:r w:rsidRPr="00955E0C">
        <w:rPr>
          <w:i/>
        </w:rPr>
        <w:t>y)</w:t>
      </w:r>
      <w:r>
        <w:t xml:space="preserve"> minus the expected value (</w:t>
      </w:r>
      <w:proofErr w:type="spellStart"/>
      <w:r w:rsidRPr="00955E0C">
        <w:rPr>
          <w:i/>
        </w:rPr>
        <w:t>Y</w:t>
      </w:r>
      <w:r w:rsidRPr="00955E0C">
        <w:rPr>
          <w:i/>
          <w:vertAlign w:val="subscript"/>
        </w:rPr>
        <w:t>hat</w:t>
      </w:r>
      <w:proofErr w:type="spellEnd"/>
      <w:r w:rsidRPr="00955E0C">
        <w:rPr>
          <w:i/>
        </w:rPr>
        <w:t>)</w:t>
      </w:r>
      <w:r>
        <w:t>, squared.</w:t>
      </w:r>
    </w:p>
    <w:p w14:paraId="007FD131" w14:textId="77777777" w:rsidR="006405E0" w:rsidRDefault="006405E0" w:rsidP="00955E0C">
      <w:pPr>
        <w:pStyle w:val="ListParagraph"/>
        <w:ind w:left="1080"/>
      </w:pPr>
    </w:p>
    <w:p w14:paraId="4288FB46" w14:textId="77777777" w:rsidR="006405E0" w:rsidRPr="00955E0C" w:rsidRDefault="006405E0" w:rsidP="00955E0C">
      <w:pPr>
        <w:ind w:left="720"/>
        <w:jc w:val="center"/>
        <w:rPr>
          <w:i/>
        </w:rPr>
      </w:pPr>
      <w:r w:rsidRPr="00955E0C">
        <w:rPr>
          <w:i/>
        </w:rPr>
        <w:t>SSE = ∑ (y –</w:t>
      </w:r>
      <w:proofErr w:type="spellStart"/>
      <w:r w:rsidRPr="00955E0C">
        <w:rPr>
          <w:i/>
        </w:rPr>
        <w:t>Y</w:t>
      </w:r>
      <w:r w:rsidRPr="00955E0C">
        <w:rPr>
          <w:i/>
          <w:vertAlign w:val="subscript"/>
        </w:rPr>
        <w:t>hat</w:t>
      </w:r>
      <w:proofErr w:type="spellEnd"/>
      <w:proofErr w:type="gramStart"/>
      <w:r w:rsidRPr="00955E0C">
        <w:rPr>
          <w:i/>
        </w:rPr>
        <w:t>)</w:t>
      </w:r>
      <w:r w:rsidRPr="00955E0C">
        <w:rPr>
          <w:i/>
          <w:vertAlign w:val="superscript"/>
        </w:rPr>
        <w:t>2</w:t>
      </w:r>
      <w:proofErr w:type="gramEnd"/>
    </w:p>
    <w:p w14:paraId="1C1C884C" w14:textId="77777777" w:rsidR="006405E0" w:rsidRDefault="006405E0" w:rsidP="00955E0C">
      <w:pPr>
        <w:pStyle w:val="ListParagraph"/>
        <w:ind w:left="1080"/>
      </w:pPr>
    </w:p>
    <w:p w14:paraId="0DA57EB7" w14:textId="77777777" w:rsidR="00955E0C" w:rsidRPr="00955E0C" w:rsidRDefault="006405E0" w:rsidP="00955E0C">
      <w:pPr>
        <w:ind w:left="720"/>
        <w:rPr>
          <w:u w:val="single"/>
        </w:rPr>
      </w:pPr>
      <w:r w:rsidRPr="00464D53">
        <w:rPr>
          <w:i/>
          <w:u w:val="single"/>
        </w:rPr>
        <w:t>R</w:t>
      </w:r>
      <w:r w:rsidRPr="00955E0C">
        <w:rPr>
          <w:u w:val="single"/>
        </w:rPr>
        <w:t>-Squared</w:t>
      </w:r>
    </w:p>
    <w:p w14:paraId="20FAE150" w14:textId="77777777" w:rsidR="006405E0" w:rsidRDefault="006405E0" w:rsidP="00464D53">
      <w:pPr>
        <w:ind w:left="720"/>
        <w:jc w:val="both"/>
      </w:pPr>
      <w:r>
        <w:t xml:space="preserve">The coefficient of determination, or </w:t>
      </w:r>
      <w:r w:rsidRPr="00464D53">
        <w:rPr>
          <w:i/>
        </w:rPr>
        <w:t>r</w:t>
      </w:r>
      <w:r>
        <w:t>-squared, measures how well the independent variables explain the dependent variable, or in this case, how well the loan characteristics explain the forec</w:t>
      </w:r>
      <w:r w:rsidR="000860D5">
        <w:t xml:space="preserve">losure costs.  </w:t>
      </w:r>
      <w:r w:rsidR="00632EC4" w:rsidRPr="00464D53">
        <w:rPr>
          <w:i/>
        </w:rPr>
        <w:t>R</w:t>
      </w:r>
      <w:r w:rsidR="00632EC4">
        <w:t xml:space="preserve">-squared is expressed as a number between zero and one; the closer that the </w:t>
      </w:r>
      <w:r w:rsidR="00632EC4" w:rsidRPr="00464D53">
        <w:rPr>
          <w:i/>
        </w:rPr>
        <w:t>r</w:t>
      </w:r>
      <w:r w:rsidR="00632EC4">
        <w:t xml:space="preserve">-squared value is to one, the better the algorithm’s performance.  </w:t>
      </w:r>
      <w:r w:rsidR="000860D5">
        <w:t xml:space="preserve">The formula for </w:t>
      </w:r>
      <w:r w:rsidR="000860D5" w:rsidRPr="00464D53">
        <w:rPr>
          <w:i/>
        </w:rPr>
        <w:t>r</w:t>
      </w:r>
      <w:r w:rsidR="000860D5">
        <w:t>-s</w:t>
      </w:r>
      <w:r>
        <w:t>quared is as follows.</w:t>
      </w:r>
    </w:p>
    <w:p w14:paraId="53A281B1" w14:textId="77777777" w:rsidR="006405E0" w:rsidRDefault="006405E0" w:rsidP="00955E0C">
      <w:pPr>
        <w:pStyle w:val="ListParagraph"/>
        <w:ind w:left="1800"/>
      </w:pPr>
    </w:p>
    <w:p w14:paraId="1C565605" w14:textId="77777777" w:rsidR="006405E0" w:rsidRPr="00955E0C" w:rsidRDefault="006405E0" w:rsidP="00955E0C">
      <w:pPr>
        <w:ind w:left="720"/>
        <w:jc w:val="center"/>
        <w:rPr>
          <w:i/>
        </w:rPr>
      </w:pPr>
      <w:r w:rsidRPr="00955E0C">
        <w:rPr>
          <w:i/>
        </w:rPr>
        <w:t>R</w:t>
      </w:r>
      <w:r w:rsidRPr="00955E0C">
        <w:rPr>
          <w:i/>
          <w:vertAlign w:val="superscript"/>
        </w:rPr>
        <w:t>2</w:t>
      </w:r>
      <w:r w:rsidRPr="00955E0C">
        <w:rPr>
          <w:i/>
        </w:rPr>
        <w:t xml:space="preserve"> = 1 – (SSE / SST)</w:t>
      </w:r>
    </w:p>
    <w:p w14:paraId="372EB4D1" w14:textId="77777777" w:rsidR="006405E0" w:rsidRDefault="006405E0" w:rsidP="00955E0C">
      <w:pPr>
        <w:ind w:left="360"/>
        <w:jc w:val="center"/>
        <w:rPr>
          <w:i/>
        </w:rPr>
      </w:pPr>
    </w:p>
    <w:p w14:paraId="15DB75D8" w14:textId="77777777" w:rsidR="006405E0" w:rsidRDefault="006405E0" w:rsidP="00464D53">
      <w:pPr>
        <w:ind w:left="720"/>
        <w:jc w:val="both"/>
      </w:pPr>
      <w:r w:rsidRPr="003154E2">
        <w:t>Where</w:t>
      </w:r>
      <w:r w:rsidRPr="00955E0C">
        <w:rPr>
          <w:i/>
        </w:rPr>
        <w:t xml:space="preserve"> </w:t>
      </w:r>
      <w:r w:rsidR="00955E0C">
        <w:t xml:space="preserve">the </w:t>
      </w:r>
      <w:r>
        <w:t>total sum of squares (SST) is equal to the sum of the observed value minus the average observed value (</w:t>
      </w:r>
      <w:proofErr w:type="spellStart"/>
      <w:r w:rsidRPr="00955E0C">
        <w:rPr>
          <w:i/>
        </w:rPr>
        <w:t>Y</w:t>
      </w:r>
      <w:r w:rsidRPr="00955E0C">
        <w:rPr>
          <w:i/>
          <w:vertAlign w:val="subscript"/>
        </w:rPr>
        <w:t>bar</w:t>
      </w:r>
      <w:proofErr w:type="spellEnd"/>
      <w:r w:rsidRPr="00955E0C">
        <w:rPr>
          <w:i/>
        </w:rPr>
        <w:t>)</w:t>
      </w:r>
      <w:r>
        <w:t>, squared. The formula for SST is as follows.</w:t>
      </w:r>
    </w:p>
    <w:p w14:paraId="1F4490A0" w14:textId="77777777" w:rsidR="006405E0" w:rsidRDefault="006405E0" w:rsidP="00464D53">
      <w:pPr>
        <w:ind w:left="360"/>
        <w:jc w:val="both"/>
      </w:pPr>
    </w:p>
    <w:p w14:paraId="246D0399" w14:textId="77777777" w:rsidR="006405E0" w:rsidRPr="00955E0C" w:rsidRDefault="006405E0" w:rsidP="00955E0C">
      <w:pPr>
        <w:ind w:left="720"/>
        <w:jc w:val="center"/>
        <w:rPr>
          <w:i/>
        </w:rPr>
      </w:pPr>
      <w:r w:rsidRPr="00955E0C">
        <w:rPr>
          <w:i/>
        </w:rPr>
        <w:t>SST = ∑ (y –</w:t>
      </w:r>
      <w:proofErr w:type="spellStart"/>
      <w:r w:rsidRPr="00955E0C">
        <w:rPr>
          <w:i/>
        </w:rPr>
        <w:t>Y</w:t>
      </w:r>
      <w:r w:rsidRPr="00955E0C">
        <w:rPr>
          <w:i/>
          <w:vertAlign w:val="subscript"/>
        </w:rPr>
        <w:t>bar</w:t>
      </w:r>
      <w:proofErr w:type="spellEnd"/>
      <w:proofErr w:type="gramStart"/>
      <w:r w:rsidRPr="00955E0C">
        <w:rPr>
          <w:i/>
        </w:rPr>
        <w:t>)</w:t>
      </w:r>
      <w:r w:rsidRPr="00955E0C">
        <w:rPr>
          <w:i/>
          <w:vertAlign w:val="superscript"/>
        </w:rPr>
        <w:t>2</w:t>
      </w:r>
      <w:proofErr w:type="gramEnd"/>
    </w:p>
    <w:p w14:paraId="052FC446" w14:textId="77777777" w:rsidR="006405E0" w:rsidRPr="003955A8" w:rsidRDefault="006405E0" w:rsidP="006405E0">
      <w:pPr>
        <w:pStyle w:val="ListParagraph"/>
      </w:pPr>
    </w:p>
    <w:p w14:paraId="1489740B" w14:textId="77777777" w:rsidR="006405E0" w:rsidRPr="003955A8" w:rsidRDefault="006405E0" w:rsidP="00464D53">
      <w:pPr>
        <w:pStyle w:val="ListParagraph"/>
        <w:numPr>
          <w:ilvl w:val="0"/>
          <w:numId w:val="7"/>
        </w:numPr>
        <w:jc w:val="both"/>
      </w:pPr>
      <w:r w:rsidRPr="003955A8">
        <w:t>Precision</w:t>
      </w:r>
      <w:r>
        <w:t xml:space="preserve">:  To measure precision, </w:t>
      </w:r>
      <w:r w:rsidR="000860D5">
        <w:t>the estimated and the actual outcomes were compared.  Monthly totals, averages, and percent differences for both foreclosure costs and MI claim payments were compared.</w:t>
      </w:r>
    </w:p>
    <w:p w14:paraId="78358FD3" w14:textId="77777777" w:rsidR="006405E0" w:rsidRDefault="006405E0" w:rsidP="00464D53">
      <w:pPr>
        <w:pStyle w:val="ListParagraph"/>
        <w:jc w:val="both"/>
      </w:pPr>
    </w:p>
    <w:p w14:paraId="39DB9CF2" w14:textId="2FCC172A" w:rsidR="006405E0" w:rsidRDefault="006405E0" w:rsidP="00464D53">
      <w:pPr>
        <w:pStyle w:val="ListParagraph"/>
        <w:numPr>
          <w:ilvl w:val="0"/>
          <w:numId w:val="7"/>
        </w:numPr>
        <w:jc w:val="both"/>
      </w:pPr>
      <w:r>
        <w:t xml:space="preserve">Ease of Implementation:  Since the MI Factor proposal is intended to simplify the MI claims process, the ease of implementation is an important factor in choosing the best algorithm.  The two measures of ease of implementation are the overall </w:t>
      </w:r>
      <w:r w:rsidRPr="004B0456">
        <w:t>grid dimensions and the inverse</w:t>
      </w:r>
      <w:r w:rsidR="004B0456">
        <w:t xml:space="preserve"> of the</w:t>
      </w:r>
      <w:r w:rsidR="007936D8">
        <w:t xml:space="preserve"> </w:t>
      </w:r>
      <w:r w:rsidR="004A797D">
        <w:t>roll-up</w:t>
      </w:r>
      <w:r w:rsidR="007936D8">
        <w:t xml:space="preserve"> percent.</w:t>
      </w:r>
      <w:r w:rsidR="0095467B">
        <w:t xml:space="preserve">  </w:t>
      </w:r>
      <w:r w:rsidR="00E55CB9">
        <w:t xml:space="preserve">The </w:t>
      </w:r>
      <w:r w:rsidR="00E55CB9" w:rsidRPr="004B1ABB">
        <w:t xml:space="preserve">grid dimensions </w:t>
      </w:r>
      <w:r w:rsidR="00E55CB9">
        <w:t>are determined by t</w:t>
      </w:r>
      <w:r w:rsidR="00594CA1" w:rsidRPr="004B1ABB">
        <w:t xml:space="preserve">he number of </w:t>
      </w:r>
      <w:r w:rsidR="00322074">
        <w:t xml:space="preserve">loan </w:t>
      </w:r>
      <w:r w:rsidR="00E55CB9">
        <w:t>characteristic</w:t>
      </w:r>
      <w:r w:rsidR="00322074">
        <w:t>s’</w:t>
      </w:r>
      <w:r w:rsidR="00E55CB9">
        <w:t xml:space="preserve"> </w:t>
      </w:r>
      <w:r w:rsidR="00594CA1" w:rsidRPr="004B1ABB">
        <w:t>bucket combinations</w:t>
      </w:r>
      <w:r w:rsidR="007936D8" w:rsidRPr="004B1ABB">
        <w:t>.</w:t>
      </w:r>
      <w:r w:rsidR="0095467B">
        <w:t xml:space="preserve">  The inverse roll-up percent is the percent of loans using</w:t>
      </w:r>
      <w:r w:rsidR="0095467B" w:rsidRPr="004B1ABB">
        <w:t xml:space="preserve"> all of the loan characteristics</w:t>
      </w:r>
      <w:r w:rsidR="0095467B">
        <w:t>.</w:t>
      </w:r>
      <w:r w:rsidR="0095467B" w:rsidRPr="0095467B">
        <w:rPr>
          <w:rStyle w:val="FootnoteReference"/>
        </w:rPr>
        <w:t xml:space="preserve"> </w:t>
      </w:r>
      <w:r w:rsidR="0095467B">
        <w:rPr>
          <w:rStyle w:val="FootnoteReference"/>
        </w:rPr>
        <w:footnoteReference w:id="5"/>
      </w:r>
      <w:r w:rsidR="0095467B">
        <w:t xml:space="preserve">  </w:t>
      </w:r>
      <w:r w:rsidRPr="004B0456">
        <w:t xml:space="preserve">The algorithm with the smallest grid dimensions and the largest inverse </w:t>
      </w:r>
      <w:r w:rsidR="004B0456">
        <w:t xml:space="preserve">of the </w:t>
      </w:r>
      <w:r w:rsidR="004A797D">
        <w:t>roll-up</w:t>
      </w:r>
      <w:r w:rsidRPr="004B0456">
        <w:t xml:space="preserve"> percent is the </w:t>
      </w:r>
      <w:r w:rsidR="00322074">
        <w:t>best</w:t>
      </w:r>
      <w:r w:rsidRPr="004B0456">
        <w:t xml:space="preserve"> from an implementation perspective.</w:t>
      </w:r>
    </w:p>
    <w:p w14:paraId="3920BD2A" w14:textId="77777777" w:rsidR="006405E0" w:rsidRDefault="006405E0" w:rsidP="00464D53">
      <w:pPr>
        <w:pStyle w:val="ListParagraph"/>
        <w:jc w:val="both"/>
      </w:pPr>
    </w:p>
    <w:p w14:paraId="3805D883" w14:textId="32B55FB8" w:rsidR="004C15DC" w:rsidRPr="004C15DC" w:rsidRDefault="006405E0" w:rsidP="00464D53">
      <w:pPr>
        <w:pStyle w:val="ListParagraph"/>
        <w:numPr>
          <w:ilvl w:val="0"/>
          <w:numId w:val="7"/>
        </w:numPr>
        <w:jc w:val="both"/>
      </w:pPr>
      <w:r w:rsidRPr="00A055E3">
        <w:t>Updateable Methodology</w:t>
      </w:r>
      <w:r w:rsidR="004C15DC" w:rsidRPr="00A055E3">
        <w:t>:</w:t>
      </w:r>
      <w:r w:rsidR="00DB1F6A" w:rsidRPr="00A055E3">
        <w:t xml:space="preserve">  If the MI Factor proposal is implemented, </w:t>
      </w:r>
      <w:r w:rsidR="002225E1" w:rsidRPr="00A055E3">
        <w:t xml:space="preserve">going forward, </w:t>
      </w:r>
      <w:r w:rsidR="00DB1F6A" w:rsidRPr="00A055E3">
        <w:t>there will be no actual data on disallowances and curtailments</w:t>
      </w:r>
      <w:r w:rsidR="002225E1" w:rsidRPr="00A055E3">
        <w:t>.  Without actual data, there will be no ability to back test future updates.  This creates a significant responsibility to specify an MI Factor methodology that can be updated in a reasonable and unbiased manner without the benefit of actual data for back testing</w:t>
      </w:r>
      <w:r w:rsidR="00903FEE" w:rsidRPr="00A055E3">
        <w:t xml:space="preserve"> and without the use of</w:t>
      </w:r>
      <w:r w:rsidR="002225E1" w:rsidRPr="00A055E3">
        <w:t xml:space="preserve"> goodness of fit or precision measures.</w:t>
      </w:r>
      <w:r w:rsidR="00903FEE">
        <w:t xml:space="preserve">  Furthermore, the methodology also needs to be able to adjust for declining default inventories.  </w:t>
      </w:r>
      <w:r w:rsidR="00180E57">
        <w:t>T</w:t>
      </w:r>
      <w:r w:rsidR="00903FEE">
        <w:t xml:space="preserve">he statistical specifications </w:t>
      </w:r>
      <w:r w:rsidR="00180E57">
        <w:t>of</w:t>
      </w:r>
      <w:r w:rsidR="00903FEE">
        <w:t xml:space="preserve"> the loan characteristic</w:t>
      </w:r>
      <w:r w:rsidR="00180E57">
        <w:t>s</w:t>
      </w:r>
      <w:r w:rsidR="00903FEE">
        <w:t xml:space="preserve"> do this by providing a clear methodology for dynamic algorithm updates.  This eliminates reliance on human judgment that needs to be informed by back </w:t>
      </w:r>
      <w:r w:rsidR="00903FEE">
        <w:lastRenderedPageBreak/>
        <w:t>testing, goodness of fit, and precision</w:t>
      </w:r>
      <w:r w:rsidR="00EE569C">
        <w:t xml:space="preserve"> measures</w:t>
      </w:r>
      <w:r w:rsidR="008601DA">
        <w:t xml:space="preserve"> and reduces substantially any concerns about bucket-misspecification that may result under these conditions</w:t>
      </w:r>
      <w:r w:rsidR="00903FEE">
        <w:t>.</w:t>
      </w:r>
    </w:p>
    <w:p w14:paraId="534FF4C7" w14:textId="77777777" w:rsidR="00DA0216" w:rsidRDefault="00DA0216" w:rsidP="00162A93"/>
    <w:p w14:paraId="7325F54D" w14:textId="77777777" w:rsidR="008601DA" w:rsidRDefault="008601DA" w:rsidP="00162A93"/>
    <w:p w14:paraId="3D6E524E" w14:textId="77777777" w:rsidR="001C3C90" w:rsidRDefault="001C3C90" w:rsidP="001C3C90">
      <w:pPr>
        <w:rPr>
          <w:rFonts w:ascii="Arial" w:hAnsi="Arial" w:cs="Arial"/>
          <w:b/>
        </w:rPr>
      </w:pPr>
      <w:r>
        <w:rPr>
          <w:rFonts w:ascii="Arial" w:hAnsi="Arial" w:cs="Arial"/>
          <w:b/>
        </w:rPr>
        <w:t>ALGORITHM STRUCTURE OPTIONS</w:t>
      </w:r>
    </w:p>
    <w:p w14:paraId="4C585646" w14:textId="77777777" w:rsidR="001C3C90" w:rsidRDefault="001C3C90" w:rsidP="00464D53">
      <w:pPr>
        <w:jc w:val="both"/>
      </w:pPr>
    </w:p>
    <w:p w14:paraId="73F29065" w14:textId="77777777" w:rsidR="001C3C90" w:rsidRDefault="001C3C90" w:rsidP="00464D53">
      <w:pPr>
        <w:jc w:val="both"/>
      </w:pPr>
      <w:r>
        <w:t xml:space="preserve">Of the five loan characteristic inputs, three have </w:t>
      </w:r>
      <w:r w:rsidR="00401EF9">
        <w:t xml:space="preserve">specification </w:t>
      </w:r>
      <w:r w:rsidR="008D363D">
        <w:t>alternative</w:t>
      </w:r>
      <w:r w:rsidR="00401EF9">
        <w:t>s</w:t>
      </w:r>
      <w:r>
        <w:t>:  geography, value, and the urban/rural indicator.</w:t>
      </w:r>
    </w:p>
    <w:p w14:paraId="3B9A7225" w14:textId="77777777" w:rsidR="001C3C90" w:rsidRDefault="001C3C90" w:rsidP="00464D53">
      <w:pPr>
        <w:pStyle w:val="ListParagraph"/>
        <w:jc w:val="both"/>
      </w:pPr>
    </w:p>
    <w:p w14:paraId="2F19CE3C" w14:textId="77777777" w:rsidR="001C3C90" w:rsidRDefault="001C3C90" w:rsidP="00464D53">
      <w:pPr>
        <w:pStyle w:val="ListParagraph"/>
        <w:numPr>
          <w:ilvl w:val="0"/>
          <w:numId w:val="17"/>
        </w:numPr>
        <w:jc w:val="both"/>
      </w:pPr>
      <w:r>
        <w:t>Geography: The algorithm can specif</w:t>
      </w:r>
      <w:r w:rsidR="008D363D">
        <w:t>y geography</w:t>
      </w:r>
      <w:r w:rsidR="00FA2B90">
        <w:t xml:space="preserve"> by using</w:t>
      </w:r>
      <w:r w:rsidR="008D363D">
        <w:t xml:space="preserve"> 1) state, or 2) a </w:t>
      </w:r>
      <w:r>
        <w:t>statistical clustering methodology to determine state groupings.</w:t>
      </w:r>
    </w:p>
    <w:p w14:paraId="0C0990A4" w14:textId="77777777" w:rsidR="001C3C90" w:rsidRDefault="001C3C90" w:rsidP="00464D53">
      <w:pPr>
        <w:pStyle w:val="ListParagraph"/>
        <w:jc w:val="both"/>
      </w:pPr>
    </w:p>
    <w:p w14:paraId="65FEA9EF" w14:textId="77777777" w:rsidR="001C3C90" w:rsidRDefault="001C3C90" w:rsidP="00464D53">
      <w:pPr>
        <w:pStyle w:val="ListParagraph"/>
        <w:numPr>
          <w:ilvl w:val="0"/>
          <w:numId w:val="17"/>
        </w:numPr>
        <w:jc w:val="both"/>
      </w:pPr>
      <w:r>
        <w:t xml:space="preserve">Value:  The algorithm can specify value </w:t>
      </w:r>
      <w:r w:rsidR="00756FC9">
        <w:t>by using</w:t>
      </w:r>
      <w:r>
        <w:t xml:space="preserve"> </w:t>
      </w:r>
      <w:r w:rsidR="00756FC9">
        <w:t>1) $100K buckets</w:t>
      </w:r>
      <w:r>
        <w:t xml:space="preserve">, or 2) </w:t>
      </w:r>
      <w:r w:rsidR="00756FC9">
        <w:t>buckets specified by the value</w:t>
      </w:r>
      <w:r w:rsidR="00221A69">
        <w:t>’s</w:t>
      </w:r>
      <w:r w:rsidR="00756FC9">
        <w:t xml:space="preserve"> mean and standard deviation</w:t>
      </w:r>
      <w:r>
        <w:t>.</w:t>
      </w:r>
    </w:p>
    <w:p w14:paraId="75CA252A" w14:textId="77777777" w:rsidR="001C3C90" w:rsidRDefault="001C3C90" w:rsidP="00464D53">
      <w:pPr>
        <w:pStyle w:val="ListParagraph"/>
        <w:jc w:val="both"/>
      </w:pPr>
    </w:p>
    <w:p w14:paraId="6700B950" w14:textId="77777777" w:rsidR="001C3C90" w:rsidRDefault="001407C6" w:rsidP="00464D53">
      <w:pPr>
        <w:pStyle w:val="ListParagraph"/>
        <w:numPr>
          <w:ilvl w:val="0"/>
          <w:numId w:val="17"/>
        </w:numPr>
        <w:jc w:val="both"/>
      </w:pPr>
      <w:r>
        <w:t>Urban/Rural</w:t>
      </w:r>
      <w:r w:rsidR="001C3C90">
        <w:t xml:space="preserve"> Indicator:  The algorithm can be specified 1) with or 2) without an urban/rural indicator.</w:t>
      </w:r>
    </w:p>
    <w:p w14:paraId="21D2120C" w14:textId="77777777" w:rsidR="001C3C90" w:rsidRDefault="001C3C90" w:rsidP="00464D53">
      <w:pPr>
        <w:pStyle w:val="ListParagraph"/>
        <w:jc w:val="both"/>
      </w:pPr>
    </w:p>
    <w:p w14:paraId="130B23FD" w14:textId="77777777" w:rsidR="001C3C90" w:rsidRDefault="001C3C90" w:rsidP="00464D53">
      <w:pPr>
        <w:jc w:val="both"/>
      </w:pPr>
      <w:r>
        <w:t xml:space="preserve">The other two loan characteristics, disposition type and property type, </w:t>
      </w:r>
      <w:r w:rsidR="005A0BFF">
        <w:t xml:space="preserve">each </w:t>
      </w:r>
      <w:r>
        <w:t xml:space="preserve">have only one </w:t>
      </w:r>
      <w:r w:rsidR="005A0BFF">
        <w:t>specification</w:t>
      </w:r>
      <w:r>
        <w:t>.</w:t>
      </w:r>
    </w:p>
    <w:p w14:paraId="2D705B48" w14:textId="77777777" w:rsidR="001C3C90" w:rsidRDefault="001C3C90" w:rsidP="00464D53">
      <w:pPr>
        <w:jc w:val="both"/>
      </w:pPr>
    </w:p>
    <w:p w14:paraId="4A6A9FBD" w14:textId="77777777" w:rsidR="001C3C90" w:rsidRDefault="001C3C90" w:rsidP="00464D53">
      <w:pPr>
        <w:pStyle w:val="ListParagraph"/>
        <w:numPr>
          <w:ilvl w:val="0"/>
          <w:numId w:val="18"/>
        </w:numPr>
        <w:jc w:val="both"/>
      </w:pPr>
      <w:r>
        <w:t>Disposition Type:  The algorithm specifies two buckets for disposition t</w:t>
      </w:r>
      <w:r w:rsidR="00950C90">
        <w:t>ype:  1) short sales and 2) TPS and REO</w:t>
      </w:r>
      <w:r>
        <w:t>.</w:t>
      </w:r>
    </w:p>
    <w:p w14:paraId="777EF38B" w14:textId="77777777" w:rsidR="001C3C90" w:rsidRDefault="001C3C90" w:rsidP="00464D53">
      <w:pPr>
        <w:pStyle w:val="ListParagraph"/>
        <w:jc w:val="both"/>
      </w:pPr>
    </w:p>
    <w:p w14:paraId="5C520C30" w14:textId="77777777" w:rsidR="001C3C90" w:rsidRDefault="001C3C90" w:rsidP="00464D53">
      <w:pPr>
        <w:pStyle w:val="ListParagraph"/>
        <w:numPr>
          <w:ilvl w:val="0"/>
          <w:numId w:val="18"/>
        </w:numPr>
        <w:jc w:val="both"/>
      </w:pPr>
      <w:r>
        <w:t>Property Type:  The algorithm specifies three buckets for property type:  1) one-unit single family properties, 2) condos, and 3) all other property types.</w:t>
      </w:r>
    </w:p>
    <w:p w14:paraId="52AA6E78" w14:textId="77777777" w:rsidR="001C3C90" w:rsidRDefault="001C3C90" w:rsidP="00464D53">
      <w:pPr>
        <w:jc w:val="both"/>
      </w:pPr>
    </w:p>
    <w:p w14:paraId="6F5CD40C" w14:textId="07386236" w:rsidR="001C3C90" w:rsidRDefault="001C3C90" w:rsidP="00464D53">
      <w:pPr>
        <w:jc w:val="both"/>
      </w:pPr>
      <w:r>
        <w:t>Each of the loan characteristic options have been iteratively analyzed resulting in eight scenarios</w:t>
      </w:r>
      <w:r w:rsidR="00985EC1">
        <w:t xml:space="preserve">, changing one factor of the overall calculation method at a time and then analyzing the </w:t>
      </w:r>
      <w:r>
        <w:t>performance metrics</w:t>
      </w:r>
      <w:r w:rsidR="00985EC1">
        <w:t xml:space="preserve"> of</w:t>
      </w:r>
      <w:r w:rsidR="00DD48BD">
        <w:t xml:space="preserve">  goodness of fit</w:t>
      </w:r>
      <w:r>
        <w:t xml:space="preserve">, precision, ease of implementation, </w:t>
      </w:r>
      <w:r w:rsidR="00404D15">
        <w:t>and updatable methodology</w:t>
      </w:r>
      <w:r w:rsidR="00985EC1">
        <w:t xml:space="preserve">.  </w:t>
      </w:r>
      <w:r w:rsidR="00404D15">
        <w:t xml:space="preserve">Additionally, </w:t>
      </w:r>
      <w:r w:rsidR="000B71FC">
        <w:t xml:space="preserve">Appendix </w:t>
      </w:r>
      <w:r w:rsidR="00404D15">
        <w:t xml:space="preserve">D contains a table that compares the performance metrics for all of the algorithms, which may be a helpful reference </w:t>
      </w:r>
      <w:r w:rsidR="0058351E">
        <w:t>when</w:t>
      </w:r>
      <w:r w:rsidR="00404D15">
        <w:t xml:space="preserve"> reviewing the individual algorithm results.</w:t>
      </w:r>
    </w:p>
    <w:p w14:paraId="13BB7510" w14:textId="77777777" w:rsidR="008417B5" w:rsidRDefault="008417B5" w:rsidP="001C3C90">
      <w:pPr>
        <w:rPr>
          <w:u w:val="single"/>
        </w:rPr>
      </w:pPr>
    </w:p>
    <w:p w14:paraId="5E0A6156" w14:textId="77777777" w:rsidR="008417B5" w:rsidRDefault="008417B5">
      <w:pPr>
        <w:rPr>
          <w:u w:val="single"/>
        </w:rPr>
      </w:pPr>
      <w:r>
        <w:rPr>
          <w:u w:val="single"/>
        </w:rPr>
        <w:br w:type="page"/>
      </w:r>
    </w:p>
    <w:p w14:paraId="19582D36" w14:textId="1986A8E7" w:rsidR="001C3C90" w:rsidRPr="00E216C8" w:rsidRDefault="001C3C90" w:rsidP="001C3C90">
      <w:pPr>
        <w:rPr>
          <w:u w:val="single"/>
        </w:rPr>
      </w:pPr>
      <w:r w:rsidRPr="00E216C8">
        <w:rPr>
          <w:u w:val="single"/>
        </w:rPr>
        <w:lastRenderedPageBreak/>
        <w:t>Option 1:  50 State Geography, $100K Values,</w:t>
      </w:r>
      <w:r>
        <w:rPr>
          <w:u w:val="single"/>
        </w:rPr>
        <w:t xml:space="preserve"> With</w:t>
      </w:r>
      <w:r w:rsidRPr="00E216C8">
        <w:rPr>
          <w:u w:val="single"/>
        </w:rPr>
        <w:t xml:space="preserve"> Urban/Rural Indicator</w:t>
      </w:r>
    </w:p>
    <w:p w14:paraId="66CB3F37" w14:textId="77777777" w:rsidR="001C3C90" w:rsidRDefault="001C3C90" w:rsidP="001C3C90"/>
    <w:p w14:paraId="1E450F94" w14:textId="33EA2CF7" w:rsidR="001C3C90" w:rsidRDefault="001C3C90" w:rsidP="001C3C90">
      <w:r>
        <w:t xml:space="preserve">Table </w:t>
      </w:r>
      <w:r w:rsidR="00B4362B">
        <w:t>10</w:t>
      </w:r>
      <w:r>
        <w:t xml:space="preserve"> provides the algorithm performance metrics for the first option.</w:t>
      </w:r>
      <w:r w:rsidR="00CB7A86">
        <w:t xml:space="preserve">  This option uses the 50-state specification for geography, the $100K value buckets, and </w:t>
      </w:r>
      <w:r w:rsidR="0083131D">
        <w:t xml:space="preserve">includes the </w:t>
      </w:r>
      <w:r w:rsidR="00CB7A86">
        <w:t>use</w:t>
      </w:r>
      <w:r w:rsidR="0083131D">
        <w:t xml:space="preserve"> of</w:t>
      </w:r>
      <w:r w:rsidR="00CB7A86">
        <w:t xml:space="preserve"> the urban/rural indicator.</w:t>
      </w:r>
    </w:p>
    <w:p w14:paraId="5A735823" w14:textId="77777777" w:rsidR="00DF5AFF" w:rsidRDefault="00DF5AFF" w:rsidP="001C3C90"/>
    <w:p w14:paraId="16091979" w14:textId="5BF66CC1" w:rsidR="00101604" w:rsidRPr="00405F67" w:rsidRDefault="00101604" w:rsidP="001C3C90">
      <w:pPr>
        <w:rPr>
          <w:rFonts w:ascii="Arial" w:hAnsi="Arial" w:cs="Arial"/>
          <w:sz w:val="18"/>
        </w:rPr>
      </w:pPr>
      <w:r w:rsidRPr="00405F67">
        <w:rPr>
          <w:rFonts w:ascii="Arial" w:hAnsi="Arial" w:cs="Arial"/>
          <w:sz w:val="18"/>
        </w:rPr>
        <w:t>Tabl</w:t>
      </w:r>
      <w:r w:rsidR="00B4362B">
        <w:rPr>
          <w:rFonts w:ascii="Arial" w:hAnsi="Arial" w:cs="Arial"/>
          <w:sz w:val="18"/>
        </w:rPr>
        <w:t>e 10</w:t>
      </w:r>
      <w:r w:rsidRPr="00405F67">
        <w:rPr>
          <w:rFonts w:ascii="Arial" w:hAnsi="Arial" w:cs="Arial"/>
          <w:sz w:val="18"/>
        </w:rPr>
        <w:t>:  Algorithm Option 1</w:t>
      </w:r>
    </w:p>
    <w:p w14:paraId="7622F9DD" w14:textId="51BB1235" w:rsidR="001C3C90" w:rsidRDefault="007A51AB" w:rsidP="001C3C90">
      <w:r w:rsidRPr="007A51AB">
        <w:rPr>
          <w:noProof/>
        </w:rPr>
        <w:drawing>
          <wp:inline distT="0" distB="0" distL="0" distR="0" wp14:anchorId="0209AE38" wp14:editId="42D0723B">
            <wp:extent cx="6292850" cy="4089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36D89B5B" w14:textId="77777777" w:rsidR="001C3C90" w:rsidRDefault="001C3C90" w:rsidP="001C3C90"/>
    <w:p w14:paraId="2ECCC681" w14:textId="77777777" w:rsidR="00DF5AFF" w:rsidRDefault="00DF5AFF" w:rsidP="001C3C90"/>
    <w:p w14:paraId="00E8118B" w14:textId="191C5EF4" w:rsidR="00FC10A2" w:rsidRDefault="00B628D2" w:rsidP="00464D53">
      <w:pPr>
        <w:jc w:val="both"/>
      </w:pPr>
      <w:r>
        <w:t>T</w:t>
      </w:r>
      <w:r w:rsidR="00FC10A2">
        <w:t xml:space="preserve">he algorithm specification </w:t>
      </w:r>
      <w:r>
        <w:t xml:space="preserve">for option one </w:t>
      </w:r>
      <w:r w:rsidR="00FC10A2">
        <w:t xml:space="preserve">is </w:t>
      </w:r>
      <w:r>
        <w:t xml:space="preserve">the </w:t>
      </w:r>
      <w:r w:rsidR="00FC10A2">
        <w:t>easiest to understand</w:t>
      </w:r>
      <w:r>
        <w:t xml:space="preserve"> out of all the algorithm options</w:t>
      </w:r>
      <w:r w:rsidR="00FC10A2">
        <w:t>, and the metrics for goodness of fit and precision all indicate a highly effective algorithm.  The ease of implementation and the ease of updating the methodology are both negatives, however.  The grid dimension count is quite large</w:t>
      </w:r>
      <w:r w:rsidR="00133BBF">
        <w:t xml:space="preserve"> (at over 1,200 different values)</w:t>
      </w:r>
      <w:r w:rsidR="00FC10A2">
        <w:t>, and the methodology</w:t>
      </w:r>
      <w:r>
        <w:t xml:space="preserve"> for updating</w:t>
      </w:r>
      <w:r w:rsidR="00FC10A2">
        <w:t xml:space="preserve"> is </w:t>
      </w:r>
      <w:r w:rsidR="00061455">
        <w:t>judgment</w:t>
      </w:r>
      <w:r w:rsidR="00FC10A2">
        <w:t xml:space="preserve"> based.</w:t>
      </w:r>
    </w:p>
    <w:p w14:paraId="61F5AA55" w14:textId="77777777" w:rsidR="00AF05B9" w:rsidRDefault="00AF05B9">
      <w:pPr>
        <w:rPr>
          <w:u w:val="single"/>
        </w:rPr>
      </w:pPr>
    </w:p>
    <w:p w14:paraId="2894587F" w14:textId="77777777" w:rsidR="00DF5AFF" w:rsidRDefault="00DF5AFF">
      <w:pPr>
        <w:rPr>
          <w:u w:val="single"/>
        </w:rPr>
      </w:pPr>
      <w:r>
        <w:rPr>
          <w:u w:val="single"/>
        </w:rPr>
        <w:br w:type="page"/>
      </w:r>
    </w:p>
    <w:p w14:paraId="5E13C85E" w14:textId="77777777" w:rsidR="001C3C90" w:rsidRPr="00E216C8" w:rsidRDefault="001C3C90" w:rsidP="001C3C90">
      <w:pPr>
        <w:rPr>
          <w:u w:val="single"/>
        </w:rPr>
      </w:pPr>
      <w:r w:rsidRPr="00E216C8">
        <w:rPr>
          <w:u w:val="single"/>
        </w:rPr>
        <w:lastRenderedPageBreak/>
        <w:t xml:space="preserve">Option </w:t>
      </w:r>
      <w:r>
        <w:rPr>
          <w:u w:val="single"/>
        </w:rPr>
        <w:t>2</w:t>
      </w:r>
      <w:r w:rsidRPr="00E216C8">
        <w:rPr>
          <w:u w:val="single"/>
        </w:rPr>
        <w:t>:  50 State Geography</w:t>
      </w:r>
      <w:r>
        <w:rPr>
          <w:u w:val="single"/>
        </w:rPr>
        <w:t>,</w:t>
      </w:r>
      <w:r w:rsidRPr="00E216C8">
        <w:rPr>
          <w:u w:val="single"/>
        </w:rPr>
        <w:t xml:space="preserve"> $100K Values</w:t>
      </w:r>
      <w:r>
        <w:rPr>
          <w:u w:val="single"/>
        </w:rPr>
        <w:t>,</w:t>
      </w:r>
      <w:r w:rsidRPr="00E216C8">
        <w:rPr>
          <w:u w:val="single"/>
        </w:rPr>
        <w:t xml:space="preserve"> and </w:t>
      </w:r>
      <w:r>
        <w:rPr>
          <w:u w:val="single"/>
        </w:rPr>
        <w:t xml:space="preserve">No </w:t>
      </w:r>
      <w:r w:rsidRPr="00E216C8">
        <w:rPr>
          <w:u w:val="single"/>
        </w:rPr>
        <w:t>Urban/Rural Indicator</w:t>
      </w:r>
    </w:p>
    <w:p w14:paraId="37FA9BE2" w14:textId="77777777" w:rsidR="001C3C90" w:rsidRDefault="001C3C90" w:rsidP="001C3C90"/>
    <w:p w14:paraId="243B0FDC" w14:textId="63D8538B" w:rsidR="001C3C90" w:rsidRDefault="001C3C90" w:rsidP="00464D53">
      <w:pPr>
        <w:jc w:val="both"/>
      </w:pPr>
      <w:r>
        <w:t>Tabl</w:t>
      </w:r>
      <w:r w:rsidR="00B4362B">
        <w:t>e 11</w:t>
      </w:r>
      <w:r>
        <w:t xml:space="preserve"> provides the algorithm performance metrics for the second option.</w:t>
      </w:r>
      <w:r w:rsidR="0033249C">
        <w:t xml:space="preserve">  This option uses the 50-state specification for geography, the $100K value buckets, and </w:t>
      </w:r>
      <w:r w:rsidR="0083131D">
        <w:t xml:space="preserve">excludes </w:t>
      </w:r>
      <w:r w:rsidR="0033249C">
        <w:t>the urban/rural indicator.</w:t>
      </w:r>
    </w:p>
    <w:p w14:paraId="08DC2DD6" w14:textId="77777777" w:rsidR="001C3C90" w:rsidRDefault="001C3C90" w:rsidP="001C3C90"/>
    <w:p w14:paraId="01D72617" w14:textId="7E8367D0" w:rsidR="0033249C" w:rsidRPr="00405F67" w:rsidRDefault="00B4362B" w:rsidP="001C3C90">
      <w:pPr>
        <w:rPr>
          <w:rFonts w:ascii="Arial" w:hAnsi="Arial" w:cs="Arial"/>
          <w:sz w:val="18"/>
          <w:szCs w:val="18"/>
        </w:rPr>
      </w:pPr>
      <w:r>
        <w:rPr>
          <w:rFonts w:ascii="Arial" w:hAnsi="Arial" w:cs="Arial"/>
          <w:sz w:val="18"/>
          <w:szCs w:val="18"/>
        </w:rPr>
        <w:t>Table 11</w:t>
      </w:r>
      <w:r w:rsidR="0033249C" w:rsidRPr="00405F67">
        <w:rPr>
          <w:rFonts w:ascii="Arial" w:hAnsi="Arial" w:cs="Arial"/>
          <w:sz w:val="18"/>
          <w:szCs w:val="18"/>
        </w:rPr>
        <w:t>:  Algorithm Option 2</w:t>
      </w:r>
    </w:p>
    <w:p w14:paraId="35DCEE70" w14:textId="52BE6A37" w:rsidR="001C3C90" w:rsidRDefault="007A51AB" w:rsidP="001C3C90">
      <w:r w:rsidRPr="007A51AB">
        <w:rPr>
          <w:noProof/>
        </w:rPr>
        <w:drawing>
          <wp:inline distT="0" distB="0" distL="0" distR="0" wp14:anchorId="41567DF8" wp14:editId="2725085C">
            <wp:extent cx="6292850" cy="40894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77B40D5D" w14:textId="77777777" w:rsidR="00D21D08" w:rsidRDefault="00D21D08" w:rsidP="00D21D08"/>
    <w:p w14:paraId="51718EFD" w14:textId="77777777" w:rsidR="00126891" w:rsidRDefault="00126891" w:rsidP="00D21D08"/>
    <w:p w14:paraId="0C875076" w14:textId="707365FE" w:rsidR="005E659C" w:rsidRDefault="005E659C" w:rsidP="00464D53">
      <w:pPr>
        <w:jc w:val="both"/>
      </w:pPr>
      <w:r>
        <w:t>O</w:t>
      </w:r>
      <w:r w:rsidR="00D21D08">
        <w:t xml:space="preserve">ption </w:t>
      </w:r>
      <w:r>
        <w:t xml:space="preserve">two also </w:t>
      </w:r>
      <w:r w:rsidR="00D21D08">
        <w:t xml:space="preserve">uses </w:t>
      </w:r>
      <w:r>
        <w:t xml:space="preserve">an </w:t>
      </w:r>
      <w:r w:rsidR="00D21D08">
        <w:t xml:space="preserve">algorithm specification that is </w:t>
      </w:r>
      <w:r>
        <w:t xml:space="preserve">very </w:t>
      </w:r>
      <w:r w:rsidR="00D21D08">
        <w:t>ea</w:t>
      </w:r>
      <w:r w:rsidR="004753F4">
        <w:t>sy</w:t>
      </w:r>
      <w:r w:rsidR="00D21D08">
        <w:t xml:space="preserve"> to understand</w:t>
      </w:r>
      <w:r>
        <w:t xml:space="preserve"> as the only difference between option two and option one is the exclusion of the urban/rural indicator.  T</w:t>
      </w:r>
      <w:r w:rsidR="00D21D08">
        <w:t>he metrics for goodness of fit and precision all indicate a highly effective algorithm</w:t>
      </w:r>
      <w:r>
        <w:t xml:space="preserve"> and are negligibly different from option </w:t>
      </w:r>
      <w:r w:rsidRPr="00AA03E4">
        <w:t>one</w:t>
      </w:r>
      <w:r w:rsidR="000E11DB">
        <w:t>, suggesting that the urban/rural indicator is not terribly predictive</w:t>
      </w:r>
      <w:r w:rsidR="00D21D08" w:rsidRPr="00AA03E4">
        <w:t xml:space="preserve">.  </w:t>
      </w:r>
      <w:r w:rsidR="004E0C28" w:rsidRPr="00AA03E4">
        <w:t xml:space="preserve">While the grid dimensions decrease due to the exclusion of the urban/rural indicator, the grid dimension count is still </w:t>
      </w:r>
      <w:r w:rsidR="00AA03E4">
        <w:t>relatively</w:t>
      </w:r>
      <w:r w:rsidR="004E0C28" w:rsidRPr="00AA03E4">
        <w:t xml:space="preserve"> large</w:t>
      </w:r>
      <w:r w:rsidR="000E11DB">
        <w:t xml:space="preserve"> (around 700 possibilities)</w:t>
      </w:r>
      <w:r w:rsidR="004E0C28" w:rsidRPr="00AA03E4">
        <w:t>, and</w:t>
      </w:r>
      <w:r w:rsidR="004E0C28">
        <w:t xml:space="preserve"> the update methodology remains </w:t>
      </w:r>
      <w:r w:rsidR="00061455">
        <w:t>judgment</w:t>
      </w:r>
      <w:r w:rsidR="004E0C28">
        <w:t xml:space="preserve"> based</w:t>
      </w:r>
      <w:r w:rsidR="00846101">
        <w:t>,</w:t>
      </w:r>
      <w:r w:rsidR="007A41D1">
        <w:t xml:space="preserve"> making b</w:t>
      </w:r>
      <w:r w:rsidR="004E0C28">
        <w:t xml:space="preserve">oth the </w:t>
      </w:r>
      <w:r w:rsidR="00D21D08">
        <w:t>ease of implementation and the ease of updating the methodology negatives</w:t>
      </w:r>
      <w:r w:rsidR="004E0C28">
        <w:t xml:space="preserve"> for this scenario.</w:t>
      </w:r>
      <w:r w:rsidR="005E3A8E">
        <w:t xml:space="preserve">  Based on the negligibly different results for goodness of fit and for precision, we can </w:t>
      </w:r>
      <w:r>
        <w:t>conclude that the urban/rural indicator does not add significant value to the MI Factor algorithm</w:t>
      </w:r>
      <w:r w:rsidR="005E3A8E">
        <w:t xml:space="preserve"> when using the 50-state</w:t>
      </w:r>
      <w:r w:rsidR="00EC1C46">
        <w:t xml:space="preserve"> geography</w:t>
      </w:r>
      <w:r w:rsidR="005E3A8E">
        <w:t xml:space="preserve"> specification</w:t>
      </w:r>
      <w:r w:rsidR="00EC1C46">
        <w:t xml:space="preserve"> and</w:t>
      </w:r>
      <w:r w:rsidR="005E3A8E">
        <w:t xml:space="preserve"> the $100K value buckets</w:t>
      </w:r>
      <w:r w:rsidR="00EC1C46">
        <w:t xml:space="preserve">.  Given that excluding the urban/rural indicator provides a decrease in the grid dimensions, option two is preferred </w:t>
      </w:r>
      <w:r w:rsidR="00983F46">
        <w:t>over</w:t>
      </w:r>
      <w:r w:rsidR="00EC1C46">
        <w:t xml:space="preserve"> option one.</w:t>
      </w:r>
    </w:p>
    <w:p w14:paraId="3E267C75" w14:textId="77777777" w:rsidR="001C3C90" w:rsidRDefault="001C3C90" w:rsidP="001C3C90"/>
    <w:p w14:paraId="65817A2E" w14:textId="77777777" w:rsidR="00EC1C46" w:rsidRDefault="00EC1C46">
      <w:pPr>
        <w:rPr>
          <w:u w:val="single"/>
        </w:rPr>
      </w:pPr>
      <w:r>
        <w:rPr>
          <w:u w:val="single"/>
        </w:rPr>
        <w:br w:type="page"/>
      </w:r>
    </w:p>
    <w:p w14:paraId="33392335" w14:textId="77777777" w:rsidR="001C3C90" w:rsidRPr="00E216C8" w:rsidRDefault="001C3C90" w:rsidP="001C3C90">
      <w:pPr>
        <w:rPr>
          <w:u w:val="single"/>
        </w:rPr>
      </w:pPr>
      <w:r w:rsidRPr="00E216C8">
        <w:rPr>
          <w:u w:val="single"/>
        </w:rPr>
        <w:lastRenderedPageBreak/>
        <w:t xml:space="preserve">Option </w:t>
      </w:r>
      <w:r>
        <w:rPr>
          <w:u w:val="single"/>
        </w:rPr>
        <w:t>3</w:t>
      </w:r>
      <w:r w:rsidRPr="00E216C8">
        <w:rPr>
          <w:u w:val="single"/>
        </w:rPr>
        <w:t xml:space="preserve">:  50 State Geography, </w:t>
      </w:r>
      <w:r>
        <w:rPr>
          <w:u w:val="single"/>
        </w:rPr>
        <w:t xml:space="preserve">Statistical </w:t>
      </w:r>
      <w:r w:rsidRPr="00E216C8">
        <w:rPr>
          <w:u w:val="single"/>
        </w:rPr>
        <w:t xml:space="preserve">Values, </w:t>
      </w:r>
      <w:r>
        <w:rPr>
          <w:u w:val="single"/>
        </w:rPr>
        <w:t xml:space="preserve">With </w:t>
      </w:r>
      <w:r w:rsidRPr="00E216C8">
        <w:rPr>
          <w:u w:val="single"/>
        </w:rPr>
        <w:t>Urban/Rural Indicator</w:t>
      </w:r>
    </w:p>
    <w:p w14:paraId="320882B2" w14:textId="77777777" w:rsidR="001C3C90" w:rsidRDefault="001C3C90" w:rsidP="001C3C90"/>
    <w:p w14:paraId="0B8AA35C" w14:textId="3B6C9C54" w:rsidR="008068BC" w:rsidRDefault="00B4362B" w:rsidP="00464D53">
      <w:pPr>
        <w:jc w:val="both"/>
      </w:pPr>
      <w:r>
        <w:t>Table 12</w:t>
      </w:r>
      <w:r w:rsidR="008068BC">
        <w:t xml:space="preserve"> provides the algorithm performance metrics for the third option.  This option uses the 50-state specification for geography, the statistical value buckets, and includes the use of the urban/rural indicator.</w:t>
      </w:r>
    </w:p>
    <w:p w14:paraId="60A9B8D7" w14:textId="77777777" w:rsidR="008068BC" w:rsidRDefault="008068BC" w:rsidP="008068BC"/>
    <w:p w14:paraId="6A2507B0" w14:textId="204C1DA0" w:rsidR="008068BC" w:rsidRPr="00405F67" w:rsidRDefault="00B4362B" w:rsidP="008068BC">
      <w:pPr>
        <w:rPr>
          <w:rFonts w:ascii="Arial" w:hAnsi="Arial" w:cs="Arial"/>
          <w:sz w:val="18"/>
        </w:rPr>
      </w:pPr>
      <w:r>
        <w:rPr>
          <w:rFonts w:ascii="Arial" w:hAnsi="Arial" w:cs="Arial"/>
          <w:sz w:val="18"/>
        </w:rPr>
        <w:t xml:space="preserve">Table </w:t>
      </w:r>
      <w:r w:rsidR="009045B3">
        <w:rPr>
          <w:rFonts w:ascii="Arial" w:hAnsi="Arial" w:cs="Arial"/>
          <w:sz w:val="18"/>
        </w:rPr>
        <w:t>1</w:t>
      </w:r>
      <w:r>
        <w:rPr>
          <w:rFonts w:ascii="Arial" w:hAnsi="Arial" w:cs="Arial"/>
          <w:sz w:val="18"/>
        </w:rPr>
        <w:t>2</w:t>
      </w:r>
      <w:r w:rsidR="008068BC" w:rsidRPr="00405F67">
        <w:rPr>
          <w:rFonts w:ascii="Arial" w:hAnsi="Arial" w:cs="Arial"/>
          <w:sz w:val="18"/>
        </w:rPr>
        <w:t>:  Algorithm Option 3</w:t>
      </w:r>
    </w:p>
    <w:p w14:paraId="29A4E73F" w14:textId="2F408A4D" w:rsidR="001C3C90" w:rsidRDefault="007A51AB" w:rsidP="001C3C90">
      <w:r w:rsidRPr="007A51AB">
        <w:rPr>
          <w:noProof/>
        </w:rPr>
        <w:drawing>
          <wp:inline distT="0" distB="0" distL="0" distR="0" wp14:anchorId="3A0EA26C" wp14:editId="6EB19F7E">
            <wp:extent cx="6292850" cy="40894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36481C7A" w14:textId="77777777" w:rsidR="001C3C90" w:rsidRDefault="001C3C90" w:rsidP="001C3C90"/>
    <w:p w14:paraId="07793DD4" w14:textId="77777777" w:rsidR="004036B5" w:rsidRDefault="004036B5" w:rsidP="001C3C90"/>
    <w:p w14:paraId="5145A8C2" w14:textId="670C4484" w:rsidR="004036B5" w:rsidRDefault="00DF66BA" w:rsidP="00464D53">
      <w:pPr>
        <w:jc w:val="both"/>
      </w:pPr>
      <w:r>
        <w:t xml:space="preserve">Option three differs from option one in its use of statistical values rather than the $100K </w:t>
      </w:r>
      <w:r w:rsidR="002E207D">
        <w:t xml:space="preserve">value </w:t>
      </w:r>
      <w:r>
        <w:t>buckets.</w:t>
      </w:r>
      <w:r w:rsidR="00CA7074">
        <w:t xml:space="preserve">  Using the statistical values makes the algorithm slightly more difficult to und</w:t>
      </w:r>
      <w:r w:rsidR="00445F12">
        <w:t xml:space="preserve">erstand; however, it provides an </w:t>
      </w:r>
      <w:r w:rsidR="00CA7074">
        <w:t>increase in the ease of updating</w:t>
      </w:r>
      <w:r w:rsidR="009208EA">
        <w:t xml:space="preserve"> due to </w:t>
      </w:r>
      <w:r w:rsidR="008038AE">
        <w:t>using</w:t>
      </w:r>
      <w:r w:rsidR="00445F12">
        <w:t xml:space="preserve"> </w:t>
      </w:r>
      <w:r w:rsidR="002E207D">
        <w:t xml:space="preserve">statistically driven </w:t>
      </w:r>
      <w:r w:rsidR="009208EA">
        <w:t xml:space="preserve">value </w:t>
      </w:r>
      <w:r w:rsidR="00445F12">
        <w:t xml:space="preserve">updates </w:t>
      </w:r>
      <w:r w:rsidR="008038AE">
        <w:t>instead of judgment-</w:t>
      </w:r>
      <w:r w:rsidR="009208EA">
        <w:t>based</w:t>
      </w:r>
      <w:r w:rsidR="002E207D">
        <w:t xml:space="preserve"> updates</w:t>
      </w:r>
      <w:r w:rsidR="009208EA">
        <w:t>.</w:t>
      </w:r>
      <w:r w:rsidR="00445F12">
        <w:t xml:space="preserve">  The overall ease of updating </w:t>
      </w:r>
      <w:r w:rsidR="00A90306">
        <w:t xml:space="preserve">is not </w:t>
      </w:r>
      <w:r w:rsidR="00445F12">
        <w:t xml:space="preserve">materially improved, however, because geography is still </w:t>
      </w:r>
      <w:r w:rsidR="00061455">
        <w:t>judgment</w:t>
      </w:r>
      <w:r w:rsidR="00445F12">
        <w:t xml:space="preserve"> based.</w:t>
      </w:r>
      <w:r w:rsidR="00006E2C">
        <w:t xml:space="preserve">  The metrics for goodness of fit and precision all indicate a highly effective algorithm and are negligibly different from option one and two.  </w:t>
      </w:r>
      <w:r w:rsidR="00267E91">
        <w:t>Th</w:t>
      </w:r>
      <w:r w:rsidR="00DD5A36">
        <w:t xml:space="preserve">is option has the largest grid dimension count at 1,398 and one of the smallest inverses of the </w:t>
      </w:r>
      <w:r w:rsidR="004A797D">
        <w:t>roll-up</w:t>
      </w:r>
      <w:r w:rsidR="00DD5A36">
        <w:t xml:space="preserve"> percent at 95% making its</w:t>
      </w:r>
      <w:r w:rsidR="00267E91">
        <w:t xml:space="preserve"> ease of implementation</w:t>
      </w:r>
      <w:r w:rsidR="00DD5A36">
        <w:t xml:space="preserve"> the worst out of all the options.  </w:t>
      </w:r>
      <w:r w:rsidR="00A90306">
        <w:t>Given these results, t</w:t>
      </w:r>
      <w:r w:rsidR="00DD5A36">
        <w:t>here is really no compelling reason to use option three’s algorithm specification.</w:t>
      </w:r>
    </w:p>
    <w:p w14:paraId="786803E6" w14:textId="77777777" w:rsidR="001C3C90" w:rsidRDefault="001C3C90" w:rsidP="001C3C90"/>
    <w:p w14:paraId="496A7E33" w14:textId="77777777" w:rsidR="00DD5A36" w:rsidRDefault="00DD5A36">
      <w:pPr>
        <w:rPr>
          <w:u w:val="single"/>
        </w:rPr>
      </w:pPr>
      <w:r>
        <w:rPr>
          <w:u w:val="single"/>
        </w:rPr>
        <w:br w:type="page"/>
      </w:r>
    </w:p>
    <w:p w14:paraId="157836E2" w14:textId="77777777" w:rsidR="001C3C90" w:rsidRPr="00E216C8" w:rsidRDefault="001C3C90" w:rsidP="001C3C90">
      <w:pPr>
        <w:rPr>
          <w:u w:val="single"/>
        </w:rPr>
      </w:pPr>
      <w:r w:rsidRPr="00E216C8">
        <w:rPr>
          <w:u w:val="single"/>
        </w:rPr>
        <w:lastRenderedPageBreak/>
        <w:t xml:space="preserve">Option </w:t>
      </w:r>
      <w:r>
        <w:rPr>
          <w:u w:val="single"/>
        </w:rPr>
        <w:t>4</w:t>
      </w:r>
      <w:r w:rsidRPr="00E216C8">
        <w:rPr>
          <w:u w:val="single"/>
        </w:rPr>
        <w:t xml:space="preserve">:  50 State Geography, </w:t>
      </w:r>
      <w:r>
        <w:rPr>
          <w:u w:val="single"/>
        </w:rPr>
        <w:t xml:space="preserve">Statistical </w:t>
      </w:r>
      <w:r w:rsidRPr="00E216C8">
        <w:rPr>
          <w:u w:val="single"/>
        </w:rPr>
        <w:t xml:space="preserve">Values, and </w:t>
      </w:r>
      <w:r>
        <w:rPr>
          <w:u w:val="single"/>
        </w:rPr>
        <w:t xml:space="preserve">No </w:t>
      </w:r>
      <w:r w:rsidRPr="00E216C8">
        <w:rPr>
          <w:u w:val="single"/>
        </w:rPr>
        <w:t>Urban/Rural Indicator</w:t>
      </w:r>
    </w:p>
    <w:p w14:paraId="3FDE3319" w14:textId="77777777" w:rsidR="001C3C90" w:rsidRDefault="001C3C90" w:rsidP="001C3C90"/>
    <w:p w14:paraId="4A5B2C5C" w14:textId="5A47F25A" w:rsidR="006E1A52" w:rsidRDefault="00B4362B" w:rsidP="00464D53">
      <w:pPr>
        <w:jc w:val="both"/>
      </w:pPr>
      <w:r>
        <w:t>Table 13</w:t>
      </w:r>
      <w:r w:rsidR="006E1A52">
        <w:t xml:space="preserve"> provides the algorithm performance metrics for the </w:t>
      </w:r>
      <w:r w:rsidR="00CC5B94">
        <w:t>fourth</w:t>
      </w:r>
      <w:r w:rsidR="006E1A52">
        <w:t xml:space="preserve"> option.  This option uses the 50-state specification for geography, the statistical value buckets, and </w:t>
      </w:r>
      <w:r w:rsidR="00CC5B94">
        <w:t>excludes the urban/rural indicator</w:t>
      </w:r>
      <w:r w:rsidR="006E1A52">
        <w:t>.</w:t>
      </w:r>
    </w:p>
    <w:p w14:paraId="26C19CF1" w14:textId="77777777" w:rsidR="006E1A52" w:rsidRDefault="006E1A52" w:rsidP="006E1A52"/>
    <w:p w14:paraId="6CAE8305" w14:textId="6E830C90" w:rsidR="006E1A52" w:rsidRPr="00405F67" w:rsidRDefault="00B4362B" w:rsidP="006E1A52">
      <w:pPr>
        <w:rPr>
          <w:rFonts w:ascii="Arial" w:hAnsi="Arial" w:cs="Arial"/>
          <w:sz w:val="18"/>
        </w:rPr>
      </w:pPr>
      <w:r>
        <w:rPr>
          <w:rFonts w:ascii="Arial" w:hAnsi="Arial" w:cs="Arial"/>
          <w:sz w:val="18"/>
        </w:rPr>
        <w:t>Table 13</w:t>
      </w:r>
      <w:r w:rsidR="006E1A52" w:rsidRPr="00405F67">
        <w:rPr>
          <w:rFonts w:ascii="Arial" w:hAnsi="Arial" w:cs="Arial"/>
          <w:sz w:val="18"/>
        </w:rPr>
        <w:t xml:space="preserve">:  Algorithm Option </w:t>
      </w:r>
      <w:r w:rsidR="00E56282" w:rsidRPr="00405F67">
        <w:rPr>
          <w:rFonts w:ascii="Arial" w:hAnsi="Arial" w:cs="Arial"/>
          <w:sz w:val="18"/>
        </w:rPr>
        <w:t>4</w:t>
      </w:r>
    </w:p>
    <w:p w14:paraId="7DE53CDE" w14:textId="42E1FF08" w:rsidR="001C3C90" w:rsidRDefault="007A51AB" w:rsidP="001C3C90">
      <w:r w:rsidRPr="007A51AB">
        <w:rPr>
          <w:noProof/>
        </w:rPr>
        <w:drawing>
          <wp:inline distT="0" distB="0" distL="0" distR="0" wp14:anchorId="0430F6D3" wp14:editId="3B90F3B3">
            <wp:extent cx="6292850" cy="4089400"/>
            <wp:effectExtent l="0" t="0" r="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5E5CF9C5" w14:textId="77777777" w:rsidR="001C3C90" w:rsidRDefault="001C3C90" w:rsidP="001C3C90"/>
    <w:p w14:paraId="2FE6F4C7" w14:textId="77777777" w:rsidR="008E7E06" w:rsidRDefault="008E7E06" w:rsidP="001C3C90"/>
    <w:p w14:paraId="4A493396" w14:textId="5CAD62E7" w:rsidR="008E7E06" w:rsidRDefault="008E7E06" w:rsidP="00464D53">
      <w:pPr>
        <w:jc w:val="both"/>
      </w:pPr>
      <w:r>
        <w:t>Option four differs from option three only in its exclusion of the urban/rural indicator</w:t>
      </w:r>
      <w:r w:rsidR="00A90306">
        <w:t>, with similar impact as noted in option two</w:t>
      </w:r>
      <w:r>
        <w:t>.  From a goodness of fit and a precision perspective, the metrics indicate that this algorithm performs well and is negligibly different from the other three algorithms.  While excluding the urban/rural indicator provide</w:t>
      </w:r>
      <w:r w:rsidR="00EA2BCF">
        <w:t>s</w:t>
      </w:r>
      <w:r>
        <w:t xml:space="preserve"> a decrease in the grid dimension count, option four’s </w:t>
      </w:r>
      <w:r w:rsidR="00A90306">
        <w:t xml:space="preserve">cell frequency </w:t>
      </w:r>
      <w:r>
        <w:t>is still</w:t>
      </w:r>
      <w:r w:rsidR="00683126">
        <w:t xml:space="preserve"> larger than </w:t>
      </w:r>
      <w:r w:rsidR="003172C0">
        <w:t xml:space="preserve">option </w:t>
      </w:r>
      <w:r w:rsidR="00C93E91">
        <w:t>two</w:t>
      </w:r>
      <w:r w:rsidR="00CB7D8F">
        <w:t>’s</w:t>
      </w:r>
      <w:r>
        <w:t>.  Essentially, option four has all of the same pros and cons as option three, and there is no compelling reason to use this algorithm specification.</w:t>
      </w:r>
    </w:p>
    <w:p w14:paraId="754CCB4B" w14:textId="77777777" w:rsidR="001C3C90" w:rsidRDefault="001C3C90" w:rsidP="001C3C90"/>
    <w:p w14:paraId="1E1FF93B" w14:textId="77777777" w:rsidR="008E7E06" w:rsidRDefault="008E7E06">
      <w:pPr>
        <w:rPr>
          <w:u w:val="single"/>
        </w:rPr>
      </w:pPr>
      <w:r>
        <w:rPr>
          <w:u w:val="single"/>
        </w:rPr>
        <w:br w:type="page"/>
      </w:r>
    </w:p>
    <w:p w14:paraId="4BA8FF03" w14:textId="77777777" w:rsidR="001C3C90" w:rsidRPr="00E216C8" w:rsidRDefault="001C3C90" w:rsidP="001C3C90">
      <w:pPr>
        <w:rPr>
          <w:u w:val="single"/>
        </w:rPr>
      </w:pPr>
      <w:r w:rsidRPr="00E216C8">
        <w:rPr>
          <w:u w:val="single"/>
        </w:rPr>
        <w:lastRenderedPageBreak/>
        <w:t xml:space="preserve">Option </w:t>
      </w:r>
      <w:r>
        <w:rPr>
          <w:u w:val="single"/>
        </w:rPr>
        <w:t>5</w:t>
      </w:r>
      <w:r w:rsidRPr="00E216C8">
        <w:rPr>
          <w:u w:val="single"/>
        </w:rPr>
        <w:t xml:space="preserve">:  </w:t>
      </w:r>
      <w:r>
        <w:rPr>
          <w:u w:val="single"/>
        </w:rPr>
        <w:t>Statistical</w:t>
      </w:r>
      <w:r w:rsidRPr="00E216C8">
        <w:rPr>
          <w:u w:val="single"/>
        </w:rPr>
        <w:t xml:space="preserve"> Geography, $100K Values, </w:t>
      </w:r>
      <w:r>
        <w:rPr>
          <w:u w:val="single"/>
        </w:rPr>
        <w:t xml:space="preserve">With </w:t>
      </w:r>
      <w:r w:rsidRPr="00E216C8">
        <w:rPr>
          <w:u w:val="single"/>
        </w:rPr>
        <w:t>Urban/Rural Indicator</w:t>
      </w:r>
    </w:p>
    <w:p w14:paraId="2D4BE0DF" w14:textId="77777777" w:rsidR="001C3C90" w:rsidRDefault="001C3C90" w:rsidP="001C3C90"/>
    <w:p w14:paraId="52FE8920" w14:textId="0FC23CA4" w:rsidR="000E1AFF" w:rsidRDefault="00B4362B" w:rsidP="00464D53">
      <w:pPr>
        <w:jc w:val="both"/>
      </w:pPr>
      <w:r>
        <w:t>Table 14</w:t>
      </w:r>
      <w:r w:rsidR="000E1AFF">
        <w:t xml:space="preserve"> provides the algorithm performance metrics for the </w:t>
      </w:r>
      <w:r w:rsidR="00827340">
        <w:t>fifth</w:t>
      </w:r>
      <w:r w:rsidR="000E1AFF">
        <w:t xml:space="preserve"> option.  This option uses the geography</w:t>
      </w:r>
      <w:r w:rsidR="00344D16">
        <w:t xml:space="preserve"> clusters</w:t>
      </w:r>
      <w:r w:rsidR="000E1AFF">
        <w:t xml:space="preserve">, the </w:t>
      </w:r>
      <w:r w:rsidR="00344D16">
        <w:t xml:space="preserve">$100K </w:t>
      </w:r>
      <w:r w:rsidR="000E1AFF">
        <w:t>value buckets, and includes the use of the urban/rural indicator.</w:t>
      </w:r>
    </w:p>
    <w:p w14:paraId="09DF80B9" w14:textId="77777777" w:rsidR="000E1AFF" w:rsidRDefault="000E1AFF" w:rsidP="000E1AFF"/>
    <w:p w14:paraId="5E59E27E" w14:textId="08AC0060" w:rsidR="000E1AFF" w:rsidRPr="00405F67" w:rsidRDefault="00B4362B" w:rsidP="000E1AFF">
      <w:pPr>
        <w:rPr>
          <w:rFonts w:ascii="Arial" w:hAnsi="Arial" w:cs="Arial"/>
          <w:sz w:val="18"/>
        </w:rPr>
      </w:pPr>
      <w:r>
        <w:rPr>
          <w:rFonts w:ascii="Arial" w:hAnsi="Arial" w:cs="Arial"/>
          <w:sz w:val="18"/>
        </w:rPr>
        <w:t>Table 14</w:t>
      </w:r>
      <w:r w:rsidR="000E1AFF" w:rsidRPr="00405F67">
        <w:rPr>
          <w:rFonts w:ascii="Arial" w:hAnsi="Arial" w:cs="Arial"/>
          <w:sz w:val="18"/>
        </w:rPr>
        <w:t>:  Algorithm Option 5</w:t>
      </w:r>
    </w:p>
    <w:p w14:paraId="3952D8D6" w14:textId="0A60CC32" w:rsidR="001C3C90" w:rsidRDefault="007A51AB" w:rsidP="001C3C90">
      <w:r w:rsidRPr="007A51AB">
        <w:rPr>
          <w:noProof/>
        </w:rPr>
        <w:drawing>
          <wp:inline distT="0" distB="0" distL="0" distR="0" wp14:anchorId="3CA645A4" wp14:editId="6EF3646E">
            <wp:extent cx="6292850" cy="40894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3A555426" w14:textId="77777777" w:rsidR="001C3C90" w:rsidRDefault="001C3C90" w:rsidP="001C3C90"/>
    <w:p w14:paraId="7689F770" w14:textId="77777777" w:rsidR="003C593E" w:rsidRDefault="003C593E" w:rsidP="001C3C90"/>
    <w:p w14:paraId="25E68863" w14:textId="27ACDF8B" w:rsidR="001C3C90" w:rsidRPr="00256912" w:rsidRDefault="00D90DD6" w:rsidP="00464D53">
      <w:pPr>
        <w:jc w:val="both"/>
      </w:pPr>
      <w:r>
        <w:t xml:space="preserve">The </w:t>
      </w:r>
      <w:r w:rsidR="003C593E">
        <w:t>cluster</w:t>
      </w:r>
      <w:r w:rsidR="00ED4376">
        <w:t>ing methodology</w:t>
      </w:r>
      <w:r w:rsidR="003C593E">
        <w:t xml:space="preserve"> </w:t>
      </w:r>
      <w:r w:rsidR="00ED4376">
        <w:t>reduces the number of geography buckets from 50 to eight</w:t>
      </w:r>
      <w:r>
        <w:t xml:space="preserve"> resulting in o</w:t>
      </w:r>
      <w:r w:rsidR="008B680C">
        <w:t xml:space="preserve">ption five </w:t>
      </w:r>
      <w:r>
        <w:t>having</w:t>
      </w:r>
      <w:r w:rsidR="008B680C">
        <w:t xml:space="preserve"> a significant decrease in </w:t>
      </w:r>
      <w:r>
        <w:t xml:space="preserve">its grid dimensions count – 367 – as compared to the </w:t>
      </w:r>
      <w:r w:rsidR="00803BDF">
        <w:t>previous four options, the least</w:t>
      </w:r>
      <w:r>
        <w:t xml:space="preserve"> of which </w:t>
      </w:r>
      <w:r w:rsidRPr="00AA03E4">
        <w:t xml:space="preserve">was </w:t>
      </w:r>
      <w:r w:rsidR="00683126" w:rsidRPr="00AA03E4">
        <w:t>725</w:t>
      </w:r>
      <w:r w:rsidRPr="00AA03E4">
        <w:t>.</w:t>
      </w:r>
      <w:r>
        <w:t xml:space="preserve">  The clustering methodology also allows for statistically driven updates of geography; however, </w:t>
      </w:r>
      <w:r w:rsidR="00CA713D">
        <w:t xml:space="preserve">property </w:t>
      </w:r>
      <w:r>
        <w:t>value is back to having judgment based updates</w:t>
      </w:r>
      <w:r w:rsidR="009F5066">
        <w:t xml:space="preserve"> as we used the $100,000 bucketing</w:t>
      </w:r>
      <w:r>
        <w:t>.</w:t>
      </w:r>
      <w:r w:rsidR="001012D9">
        <w:t xml:space="preserve">  As for goodness of fit and precision, the metrics indicate that this algorithm performs well and is negligibly different from the other four algorithms.</w:t>
      </w:r>
    </w:p>
    <w:p w14:paraId="180B0BD1" w14:textId="77777777" w:rsidR="001C3C90" w:rsidRDefault="001C3C90" w:rsidP="001C3C90"/>
    <w:p w14:paraId="7AD12032" w14:textId="77777777" w:rsidR="00256912" w:rsidRDefault="00256912">
      <w:pPr>
        <w:rPr>
          <w:u w:val="single"/>
        </w:rPr>
      </w:pPr>
      <w:r>
        <w:rPr>
          <w:u w:val="single"/>
        </w:rPr>
        <w:br w:type="page"/>
      </w:r>
    </w:p>
    <w:p w14:paraId="43CD251C" w14:textId="77777777" w:rsidR="001C3C90" w:rsidRPr="00E216C8" w:rsidRDefault="001C3C90" w:rsidP="001C3C90">
      <w:pPr>
        <w:rPr>
          <w:u w:val="single"/>
        </w:rPr>
      </w:pPr>
      <w:r w:rsidRPr="00E216C8">
        <w:rPr>
          <w:u w:val="single"/>
        </w:rPr>
        <w:lastRenderedPageBreak/>
        <w:t xml:space="preserve">Option </w:t>
      </w:r>
      <w:r>
        <w:rPr>
          <w:u w:val="single"/>
        </w:rPr>
        <w:t>6</w:t>
      </w:r>
      <w:r w:rsidRPr="00E216C8">
        <w:rPr>
          <w:u w:val="single"/>
        </w:rPr>
        <w:t xml:space="preserve">:  </w:t>
      </w:r>
      <w:r>
        <w:rPr>
          <w:u w:val="single"/>
        </w:rPr>
        <w:t>Statistical</w:t>
      </w:r>
      <w:r w:rsidRPr="00E216C8">
        <w:rPr>
          <w:u w:val="single"/>
        </w:rPr>
        <w:t xml:space="preserve"> Geography</w:t>
      </w:r>
      <w:r>
        <w:rPr>
          <w:u w:val="single"/>
        </w:rPr>
        <w:t>,</w:t>
      </w:r>
      <w:r w:rsidRPr="00E216C8">
        <w:rPr>
          <w:u w:val="single"/>
        </w:rPr>
        <w:t xml:space="preserve"> $100K Values</w:t>
      </w:r>
      <w:r>
        <w:rPr>
          <w:u w:val="single"/>
        </w:rPr>
        <w:t>,</w:t>
      </w:r>
      <w:r w:rsidRPr="00E216C8">
        <w:rPr>
          <w:u w:val="single"/>
        </w:rPr>
        <w:t xml:space="preserve"> and </w:t>
      </w:r>
      <w:r>
        <w:rPr>
          <w:u w:val="single"/>
        </w:rPr>
        <w:t xml:space="preserve">No </w:t>
      </w:r>
      <w:r w:rsidRPr="00E216C8">
        <w:rPr>
          <w:u w:val="single"/>
        </w:rPr>
        <w:t>Urban/Rural Indicator</w:t>
      </w:r>
    </w:p>
    <w:p w14:paraId="30158242" w14:textId="77777777" w:rsidR="001C3C90" w:rsidRDefault="001C3C90" w:rsidP="001C3C90"/>
    <w:p w14:paraId="4432E4B5" w14:textId="44FC23F6" w:rsidR="00256912" w:rsidRDefault="00B4362B" w:rsidP="00464D53">
      <w:pPr>
        <w:jc w:val="both"/>
      </w:pPr>
      <w:r>
        <w:t>Table 15</w:t>
      </w:r>
      <w:r w:rsidR="00256912">
        <w:t xml:space="preserve"> provides the algorithm performance metrics for the </w:t>
      </w:r>
      <w:r w:rsidR="00B44942">
        <w:t>sixth</w:t>
      </w:r>
      <w:r w:rsidR="00256912">
        <w:t xml:space="preserve"> option.  This option uses the geography clusters, the $100K value buckets, and </w:t>
      </w:r>
      <w:r w:rsidR="00B44942">
        <w:t>excludes the urban/rural indicator.</w:t>
      </w:r>
    </w:p>
    <w:p w14:paraId="6F7CDF93" w14:textId="77777777" w:rsidR="00256912" w:rsidRDefault="00256912" w:rsidP="00256912"/>
    <w:p w14:paraId="2499F2DB" w14:textId="4A25588A" w:rsidR="00256912" w:rsidRPr="00405F67" w:rsidRDefault="00B4362B" w:rsidP="00256912">
      <w:pPr>
        <w:rPr>
          <w:rFonts w:ascii="Arial" w:hAnsi="Arial" w:cs="Arial"/>
          <w:sz w:val="18"/>
        </w:rPr>
      </w:pPr>
      <w:r>
        <w:rPr>
          <w:rFonts w:ascii="Arial" w:hAnsi="Arial" w:cs="Arial"/>
          <w:sz w:val="18"/>
        </w:rPr>
        <w:t>Table 15</w:t>
      </w:r>
      <w:r w:rsidR="00256912" w:rsidRPr="00405F67">
        <w:rPr>
          <w:rFonts w:ascii="Arial" w:hAnsi="Arial" w:cs="Arial"/>
          <w:sz w:val="18"/>
        </w:rPr>
        <w:t xml:space="preserve">:  Algorithm Option </w:t>
      </w:r>
      <w:r w:rsidR="00B44942" w:rsidRPr="00405F67">
        <w:rPr>
          <w:rFonts w:ascii="Arial" w:hAnsi="Arial" w:cs="Arial"/>
          <w:sz w:val="18"/>
        </w:rPr>
        <w:t>6</w:t>
      </w:r>
    </w:p>
    <w:p w14:paraId="41067720" w14:textId="0795DDBC" w:rsidR="001C3C90" w:rsidRDefault="007A51AB" w:rsidP="001C3C90">
      <w:r w:rsidRPr="007A51AB">
        <w:rPr>
          <w:noProof/>
        </w:rPr>
        <w:drawing>
          <wp:inline distT="0" distB="0" distL="0" distR="0" wp14:anchorId="6888A6B4" wp14:editId="77A4C7E7">
            <wp:extent cx="6292850" cy="40894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3014EFFA" w14:textId="77777777" w:rsidR="001C3C90" w:rsidRDefault="001C3C90" w:rsidP="001C3C90"/>
    <w:p w14:paraId="2E470C22" w14:textId="77777777" w:rsidR="004A4BC3" w:rsidRDefault="004A4BC3" w:rsidP="001C3C90"/>
    <w:p w14:paraId="76A944AC" w14:textId="00ECC897" w:rsidR="004A4BC3" w:rsidRDefault="004A4BC3" w:rsidP="00464D53">
      <w:pPr>
        <w:jc w:val="both"/>
      </w:pPr>
      <w:r>
        <w:t xml:space="preserve">Option six differs from option five only in its exclusion of the urban/rural indicator, which </w:t>
      </w:r>
      <w:r w:rsidR="00747FE7">
        <w:t>provides</w:t>
      </w:r>
      <w:r>
        <w:t xml:space="preserve"> the smallest grid dimension count out of all of the options at </w:t>
      </w:r>
      <w:r w:rsidR="00683126">
        <w:t>188</w:t>
      </w:r>
      <w:r>
        <w:t>.  Other than the decrease in the grid dimensions there is no material difference between option six and option five.</w:t>
      </w:r>
    </w:p>
    <w:p w14:paraId="56BC6FE5" w14:textId="77777777" w:rsidR="001C3C90" w:rsidRDefault="001C3C90" w:rsidP="001C3C90"/>
    <w:p w14:paraId="161D964F" w14:textId="77777777" w:rsidR="00D83D29" w:rsidRDefault="00D83D29">
      <w:pPr>
        <w:rPr>
          <w:u w:val="single"/>
        </w:rPr>
      </w:pPr>
      <w:r>
        <w:rPr>
          <w:u w:val="single"/>
        </w:rPr>
        <w:br w:type="page"/>
      </w:r>
    </w:p>
    <w:p w14:paraId="081C20AE" w14:textId="77777777" w:rsidR="001C3C90" w:rsidRPr="00E216C8" w:rsidRDefault="001C3C90" w:rsidP="001C3C90">
      <w:pPr>
        <w:rPr>
          <w:u w:val="single"/>
        </w:rPr>
      </w:pPr>
      <w:r w:rsidRPr="00E216C8">
        <w:rPr>
          <w:u w:val="single"/>
        </w:rPr>
        <w:lastRenderedPageBreak/>
        <w:t xml:space="preserve">Option </w:t>
      </w:r>
      <w:r>
        <w:rPr>
          <w:u w:val="single"/>
        </w:rPr>
        <w:t>7</w:t>
      </w:r>
      <w:r w:rsidRPr="00E216C8">
        <w:rPr>
          <w:u w:val="single"/>
        </w:rPr>
        <w:t xml:space="preserve">:  </w:t>
      </w:r>
      <w:r>
        <w:rPr>
          <w:u w:val="single"/>
        </w:rPr>
        <w:t>Statistical</w:t>
      </w:r>
      <w:r w:rsidRPr="00E216C8">
        <w:rPr>
          <w:u w:val="single"/>
        </w:rPr>
        <w:t xml:space="preserve"> Geography, </w:t>
      </w:r>
      <w:r>
        <w:rPr>
          <w:u w:val="single"/>
        </w:rPr>
        <w:t xml:space="preserve">Statistical </w:t>
      </w:r>
      <w:r w:rsidRPr="00E216C8">
        <w:rPr>
          <w:u w:val="single"/>
        </w:rPr>
        <w:t xml:space="preserve">Values, </w:t>
      </w:r>
      <w:r w:rsidRPr="00500B54">
        <w:rPr>
          <w:u w:val="single"/>
        </w:rPr>
        <w:t>With</w:t>
      </w:r>
      <w:r>
        <w:rPr>
          <w:u w:val="single"/>
        </w:rPr>
        <w:t xml:space="preserve"> </w:t>
      </w:r>
      <w:r w:rsidRPr="00E216C8">
        <w:rPr>
          <w:u w:val="single"/>
        </w:rPr>
        <w:t>Urban/Rural Indicator</w:t>
      </w:r>
    </w:p>
    <w:p w14:paraId="3A1E6DBB" w14:textId="77777777" w:rsidR="001C3C90" w:rsidRDefault="001C3C90" w:rsidP="001C3C90"/>
    <w:p w14:paraId="3C647374" w14:textId="5FC8BB3E" w:rsidR="00786E94" w:rsidRDefault="00B4362B" w:rsidP="00464D53">
      <w:pPr>
        <w:jc w:val="both"/>
      </w:pPr>
      <w:r>
        <w:t>Table 16</w:t>
      </w:r>
      <w:r w:rsidR="00786E94">
        <w:t xml:space="preserve"> provides the algorithm performance metrics for the </w:t>
      </w:r>
      <w:r w:rsidR="00135E2D">
        <w:t>seventh</w:t>
      </w:r>
      <w:r w:rsidR="00786E94">
        <w:t xml:space="preserve"> option.  This option uses the geography clusters, </w:t>
      </w:r>
      <w:r w:rsidR="00135E2D">
        <w:t>the statistical value buckets, and includes the use of the urban/rural indicator.</w:t>
      </w:r>
    </w:p>
    <w:p w14:paraId="74ADFEC8" w14:textId="77777777" w:rsidR="00135E2D" w:rsidRDefault="00135E2D" w:rsidP="00786E94"/>
    <w:p w14:paraId="52143019" w14:textId="2935B0CB" w:rsidR="00786E94" w:rsidRPr="00405F67" w:rsidRDefault="00B4362B" w:rsidP="00786E94">
      <w:pPr>
        <w:rPr>
          <w:rFonts w:ascii="Arial" w:hAnsi="Arial" w:cs="Arial"/>
          <w:sz w:val="18"/>
        </w:rPr>
      </w:pPr>
      <w:r>
        <w:rPr>
          <w:rFonts w:ascii="Arial" w:hAnsi="Arial" w:cs="Arial"/>
          <w:sz w:val="18"/>
        </w:rPr>
        <w:t>Table 16</w:t>
      </w:r>
      <w:r w:rsidR="00786E94" w:rsidRPr="00405F67">
        <w:rPr>
          <w:rFonts w:ascii="Arial" w:hAnsi="Arial" w:cs="Arial"/>
          <w:sz w:val="18"/>
        </w:rPr>
        <w:t xml:space="preserve">:  Algorithm Option </w:t>
      </w:r>
      <w:r w:rsidR="00135E2D" w:rsidRPr="00405F67">
        <w:rPr>
          <w:rFonts w:ascii="Arial" w:hAnsi="Arial" w:cs="Arial"/>
          <w:sz w:val="18"/>
        </w:rPr>
        <w:t>7</w:t>
      </w:r>
    </w:p>
    <w:p w14:paraId="6B860938" w14:textId="6A8D620E" w:rsidR="001C3C90" w:rsidRDefault="007A51AB" w:rsidP="001C3C90">
      <w:r w:rsidRPr="007A51AB">
        <w:rPr>
          <w:noProof/>
        </w:rPr>
        <w:drawing>
          <wp:inline distT="0" distB="0" distL="0" distR="0" wp14:anchorId="4B5502E6" wp14:editId="6A055B53">
            <wp:extent cx="6292850" cy="408940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101C96E4" w14:textId="77777777" w:rsidR="001C3C90" w:rsidRDefault="001C3C90" w:rsidP="001C3C90"/>
    <w:p w14:paraId="33D571E2" w14:textId="77777777" w:rsidR="006D3A93" w:rsidRDefault="006D3A93" w:rsidP="001C3C90"/>
    <w:p w14:paraId="1E7EC8C4" w14:textId="77777777" w:rsidR="00AD71EE" w:rsidRDefault="006D3A93" w:rsidP="00464D53">
      <w:pPr>
        <w:jc w:val="both"/>
      </w:pPr>
      <w:r>
        <w:t xml:space="preserve">Thus far, option seven is the best from an ease of updating perspective as both geography and value are statistically driven.  The ease of implementation is also very good </w:t>
      </w:r>
      <w:r w:rsidR="00C915E7">
        <w:t xml:space="preserve">with the grid dimension count </w:t>
      </w:r>
      <w:r>
        <w:t xml:space="preserve">at 449, although </w:t>
      </w:r>
      <w:r w:rsidR="000D2AC2">
        <w:t>the count</w:t>
      </w:r>
      <w:r>
        <w:t xml:space="preserve"> is slightly higher than options five and six due to the </w:t>
      </w:r>
      <w:r w:rsidR="000C05F5">
        <w:t>statistical value</w:t>
      </w:r>
      <w:r w:rsidR="000D2AC2">
        <w:t>s</w:t>
      </w:r>
      <w:r w:rsidR="000C05F5">
        <w:t xml:space="preserve"> having four buckets as compared to the three </w:t>
      </w:r>
      <w:r>
        <w:t>$100K value buckets.</w:t>
      </w:r>
      <w:r w:rsidR="000D2AC2">
        <w:t xml:space="preserve">  From a goodness of fit and a precision perspective, again, the metrics indicate that this algorithm performs well and is negligibly different from all the other algorithm</w:t>
      </w:r>
      <w:r w:rsidR="000D2AC2" w:rsidRPr="00AD71EE">
        <w:t>s.</w:t>
      </w:r>
    </w:p>
    <w:p w14:paraId="00E8BCA2" w14:textId="77777777" w:rsidR="00AD71EE" w:rsidRDefault="00AD71EE" w:rsidP="000D2AC2"/>
    <w:p w14:paraId="7B993384" w14:textId="1AAF88DF" w:rsidR="000D2AC2" w:rsidRDefault="00041977" w:rsidP="00464D53">
      <w:pPr>
        <w:jc w:val="both"/>
      </w:pPr>
      <w:r w:rsidRPr="00AD71EE">
        <w:t>Due to the significant increase in the ease of updating</w:t>
      </w:r>
      <w:r w:rsidR="00AD71EE">
        <w:t>,</w:t>
      </w:r>
      <w:r w:rsidRPr="00AD71EE">
        <w:t xml:space="preserve"> the good performance from an ease of implementation perspective</w:t>
      </w:r>
      <w:r w:rsidR="00AD71EE">
        <w:t xml:space="preserve">, and the </w:t>
      </w:r>
      <w:r w:rsidR="00364F3A">
        <w:t xml:space="preserve">metrics for </w:t>
      </w:r>
      <w:r w:rsidR="00AD71EE">
        <w:t>goodness of fit and precision indicating a highly effective algorithm</w:t>
      </w:r>
      <w:r w:rsidRPr="00AD71EE">
        <w:t>,</w:t>
      </w:r>
      <w:r w:rsidR="00364F3A">
        <w:t xml:space="preserve"> so far,</w:t>
      </w:r>
      <w:r w:rsidRPr="00AD71EE">
        <w:t xml:space="preserve"> option seven </w:t>
      </w:r>
      <w:r w:rsidR="00364F3A">
        <w:t>does</w:t>
      </w:r>
      <w:r w:rsidRPr="00AD71EE">
        <w:t xml:space="preserve"> the best </w:t>
      </w:r>
      <w:r w:rsidR="00364F3A">
        <w:t xml:space="preserve">job of </w:t>
      </w:r>
      <w:r w:rsidRPr="00AD71EE">
        <w:t>balanc</w:t>
      </w:r>
      <w:r w:rsidR="00364F3A">
        <w:t xml:space="preserve">ing </w:t>
      </w:r>
      <w:r w:rsidRPr="00AD71EE">
        <w:t>the four performance criteria.</w:t>
      </w:r>
    </w:p>
    <w:p w14:paraId="3F5A56A6" w14:textId="77777777" w:rsidR="001C3C90" w:rsidRDefault="000D2AC2" w:rsidP="00464D53">
      <w:pPr>
        <w:jc w:val="both"/>
      </w:pPr>
      <w:r>
        <w:t xml:space="preserve"> </w:t>
      </w:r>
    </w:p>
    <w:p w14:paraId="07BB01E3" w14:textId="77777777" w:rsidR="000D2AC2" w:rsidRDefault="000D2AC2">
      <w:pPr>
        <w:rPr>
          <w:u w:val="single"/>
        </w:rPr>
      </w:pPr>
      <w:r>
        <w:rPr>
          <w:u w:val="single"/>
        </w:rPr>
        <w:br w:type="page"/>
      </w:r>
    </w:p>
    <w:p w14:paraId="2C44244D" w14:textId="77777777" w:rsidR="009D1CAB" w:rsidRPr="009D1CAB" w:rsidRDefault="009D1CAB" w:rsidP="001C3C90">
      <w:pPr>
        <w:rPr>
          <w:rFonts w:ascii="Arial" w:hAnsi="Arial" w:cs="Arial"/>
          <w:b/>
        </w:rPr>
      </w:pPr>
      <w:r w:rsidRPr="00823656">
        <w:rPr>
          <w:rFonts w:ascii="Arial" w:hAnsi="Arial" w:cs="Arial"/>
          <w:b/>
        </w:rPr>
        <w:lastRenderedPageBreak/>
        <w:t xml:space="preserve">MI FACTOR </w:t>
      </w:r>
      <w:r>
        <w:rPr>
          <w:rFonts w:ascii="Arial" w:hAnsi="Arial" w:cs="Arial"/>
          <w:b/>
        </w:rPr>
        <w:t>RECOMMENDED ALGORITHM</w:t>
      </w:r>
    </w:p>
    <w:p w14:paraId="4D3178B6" w14:textId="77777777" w:rsidR="009D1CAB" w:rsidRDefault="009D1CAB" w:rsidP="001C3C90">
      <w:pPr>
        <w:rPr>
          <w:u w:val="single"/>
        </w:rPr>
      </w:pPr>
    </w:p>
    <w:p w14:paraId="7DF0B6AE" w14:textId="77777777" w:rsidR="001C3C90" w:rsidRPr="00E216C8" w:rsidRDefault="001C3C90" w:rsidP="001C3C90">
      <w:pPr>
        <w:rPr>
          <w:u w:val="single"/>
        </w:rPr>
      </w:pPr>
      <w:r w:rsidRPr="00E216C8">
        <w:rPr>
          <w:u w:val="single"/>
        </w:rPr>
        <w:t xml:space="preserve">Option </w:t>
      </w:r>
      <w:r>
        <w:rPr>
          <w:u w:val="single"/>
        </w:rPr>
        <w:t>8</w:t>
      </w:r>
      <w:r w:rsidRPr="00E216C8">
        <w:rPr>
          <w:u w:val="single"/>
        </w:rPr>
        <w:t xml:space="preserve">:  </w:t>
      </w:r>
      <w:r>
        <w:rPr>
          <w:u w:val="single"/>
        </w:rPr>
        <w:t>Statistical</w:t>
      </w:r>
      <w:r w:rsidRPr="00E216C8">
        <w:rPr>
          <w:u w:val="single"/>
        </w:rPr>
        <w:t xml:space="preserve"> Geography, </w:t>
      </w:r>
      <w:r>
        <w:rPr>
          <w:u w:val="single"/>
        </w:rPr>
        <w:t xml:space="preserve">Statistical </w:t>
      </w:r>
      <w:r w:rsidRPr="00E216C8">
        <w:rPr>
          <w:u w:val="single"/>
        </w:rPr>
        <w:t xml:space="preserve">Values, and </w:t>
      </w:r>
      <w:r>
        <w:rPr>
          <w:u w:val="single"/>
        </w:rPr>
        <w:t xml:space="preserve">No </w:t>
      </w:r>
      <w:r w:rsidRPr="00E216C8">
        <w:rPr>
          <w:u w:val="single"/>
        </w:rPr>
        <w:t>Urban/Rural Indicator</w:t>
      </w:r>
    </w:p>
    <w:p w14:paraId="169D25E1" w14:textId="77777777" w:rsidR="001C3C90" w:rsidRDefault="001C3C90" w:rsidP="001C3C90"/>
    <w:p w14:paraId="25C2D52C" w14:textId="4D5D231B" w:rsidR="00491CCC" w:rsidRDefault="00B4362B" w:rsidP="00464D53">
      <w:pPr>
        <w:jc w:val="both"/>
      </w:pPr>
      <w:r>
        <w:t>Table 17</w:t>
      </w:r>
      <w:r w:rsidR="00491CCC">
        <w:t xml:space="preserve"> provides the algorithm performance metrics for the eighth and final option.  This option uses the geography clusters, the statistical value buckets, and excludes the urban/rural indicator.</w:t>
      </w:r>
    </w:p>
    <w:p w14:paraId="3E78C7CF" w14:textId="77777777" w:rsidR="00491CCC" w:rsidRDefault="00491CCC" w:rsidP="00491CCC"/>
    <w:p w14:paraId="3A962D56" w14:textId="0F866642" w:rsidR="00491CCC" w:rsidRPr="00405F67" w:rsidRDefault="00B4362B" w:rsidP="00491CCC">
      <w:pPr>
        <w:rPr>
          <w:rFonts w:ascii="Arial" w:hAnsi="Arial" w:cs="Arial"/>
          <w:sz w:val="18"/>
        </w:rPr>
      </w:pPr>
      <w:r>
        <w:rPr>
          <w:rFonts w:ascii="Arial" w:hAnsi="Arial" w:cs="Arial"/>
          <w:sz w:val="18"/>
        </w:rPr>
        <w:t>Table 17</w:t>
      </w:r>
      <w:r w:rsidR="00491CCC" w:rsidRPr="00405F67">
        <w:rPr>
          <w:rFonts w:ascii="Arial" w:hAnsi="Arial" w:cs="Arial"/>
          <w:sz w:val="18"/>
        </w:rPr>
        <w:t xml:space="preserve">:  Algorithm Option </w:t>
      </w:r>
      <w:r w:rsidR="003411A7" w:rsidRPr="00405F67">
        <w:rPr>
          <w:rFonts w:ascii="Arial" w:hAnsi="Arial" w:cs="Arial"/>
          <w:sz w:val="18"/>
        </w:rPr>
        <w:t>8</w:t>
      </w:r>
    </w:p>
    <w:p w14:paraId="2E560D9E" w14:textId="26012134" w:rsidR="001C3C90" w:rsidRDefault="007A51AB" w:rsidP="001C3C90">
      <w:r w:rsidRPr="007A51AB">
        <w:rPr>
          <w:noProof/>
        </w:rPr>
        <w:drawing>
          <wp:inline distT="0" distB="0" distL="0" distR="0" wp14:anchorId="16DBC342" wp14:editId="3C0BA68C">
            <wp:extent cx="6292850" cy="40894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92850" cy="4089400"/>
                    </a:xfrm>
                    <a:prstGeom prst="rect">
                      <a:avLst/>
                    </a:prstGeom>
                    <a:noFill/>
                    <a:ln>
                      <a:noFill/>
                    </a:ln>
                  </pic:spPr>
                </pic:pic>
              </a:graphicData>
            </a:graphic>
          </wp:inline>
        </w:drawing>
      </w:r>
    </w:p>
    <w:p w14:paraId="365523EA" w14:textId="77777777" w:rsidR="001C3C90" w:rsidRDefault="001C3C90" w:rsidP="001C3C90"/>
    <w:p w14:paraId="7B4FA6B7" w14:textId="77777777" w:rsidR="00285394" w:rsidRDefault="00285394" w:rsidP="001C3C90"/>
    <w:p w14:paraId="39BBAB19" w14:textId="02B827CA" w:rsidR="00285394" w:rsidRDefault="00285394" w:rsidP="00464D53">
      <w:pPr>
        <w:jc w:val="both"/>
      </w:pPr>
      <w:r>
        <w:t xml:space="preserve">Option eight is the same as option seven except that is does not use the urban/rural indicator.  Other than bringing the grid dimension count down to </w:t>
      </w:r>
      <w:r w:rsidR="00683126">
        <w:t>237</w:t>
      </w:r>
      <w:r>
        <w:t xml:space="preserve">, excluding the urban/rural indicator </w:t>
      </w:r>
      <w:r w:rsidR="009F5066">
        <w:t xml:space="preserve">does not </w:t>
      </w:r>
      <w:r>
        <w:t>have a material impact on the algorithm performance as compared with option seven.</w:t>
      </w:r>
    </w:p>
    <w:p w14:paraId="6F9FB838" w14:textId="77777777" w:rsidR="001C3C90" w:rsidRDefault="001C3C90" w:rsidP="001C3C90"/>
    <w:p w14:paraId="5D6B29E3" w14:textId="4A9FFAF0" w:rsidR="003B6AE1" w:rsidRDefault="003B6AE1" w:rsidP="00464D53">
      <w:pPr>
        <w:jc w:val="both"/>
      </w:pPr>
      <w:r>
        <w:t>Out of all of the options, eight strikes the best balance between each of the four performance c</w:t>
      </w:r>
      <w:r w:rsidR="00CA6952">
        <w:t>riteria.  From a goodness of fit</w:t>
      </w:r>
      <w:r>
        <w:t xml:space="preserve"> and from a precision perspective, all of the algorithms perform very well, and none of the</w:t>
      </w:r>
      <w:r w:rsidR="00CA6952">
        <w:t>se</w:t>
      </w:r>
      <w:r>
        <w:t xml:space="preserve"> metrics</w:t>
      </w:r>
      <w:r w:rsidR="00B22A92" w:rsidRPr="00B22A92">
        <w:t xml:space="preserve"> </w:t>
      </w:r>
      <w:r w:rsidR="00B22A92">
        <w:t>differ</w:t>
      </w:r>
      <w:r>
        <w:t xml:space="preserve"> materially between the options.</w:t>
      </w:r>
      <w:r w:rsidR="00586DC0">
        <w:t xml:space="preserve">  This fact leaves us free to choose the algorithm that provides the easiest implementation and updates.  Having both geography and value statistically driven is a significant advantage</w:t>
      </w:r>
      <w:r w:rsidR="004B6B42">
        <w:t xml:space="preserve"> from an ease of updating perspective</w:t>
      </w:r>
      <w:r w:rsidR="00586DC0">
        <w:t>.</w:t>
      </w:r>
      <w:r w:rsidR="004B6B42">
        <w:t xml:space="preserve"> </w:t>
      </w:r>
      <w:r w:rsidR="00586DC0">
        <w:t xml:space="preserve"> </w:t>
      </w:r>
      <w:r w:rsidR="004B6B42">
        <w:t>Additionally, excluding the urban/rural indicator provides an improved ease of implementation as compared to option seven</w:t>
      </w:r>
      <w:r w:rsidR="009F5066">
        <w:t>, with little cost to overall performance</w:t>
      </w:r>
      <w:r w:rsidR="004B6B42">
        <w:t>.</w:t>
      </w:r>
      <w:r w:rsidR="00DA6662">
        <w:t xml:space="preserve">  Because of this, option eight is the recommended MI Factor algorithm specification.</w:t>
      </w:r>
    </w:p>
    <w:p w14:paraId="00B733C4" w14:textId="6DDB2B20" w:rsidR="00927CEC" w:rsidRDefault="00927CEC">
      <w:pPr>
        <w:rPr>
          <w:rFonts w:ascii="Arial" w:hAnsi="Arial" w:cs="Arial"/>
          <w:b/>
        </w:rPr>
      </w:pPr>
    </w:p>
    <w:p w14:paraId="0F499BC8" w14:textId="77777777" w:rsidR="00025E35" w:rsidRPr="00823656" w:rsidRDefault="00025E35" w:rsidP="00025E35">
      <w:pPr>
        <w:rPr>
          <w:rFonts w:ascii="Arial" w:hAnsi="Arial" w:cs="Arial"/>
          <w:b/>
        </w:rPr>
      </w:pPr>
      <w:r w:rsidRPr="00823656">
        <w:rPr>
          <w:rFonts w:ascii="Arial" w:hAnsi="Arial" w:cs="Arial"/>
          <w:b/>
        </w:rPr>
        <w:lastRenderedPageBreak/>
        <w:t>MI FACTOR IMPLEMENTATION</w:t>
      </w:r>
    </w:p>
    <w:p w14:paraId="15E9F644" w14:textId="77777777" w:rsidR="00025E35" w:rsidRDefault="00025E35" w:rsidP="00025E35">
      <w:pPr>
        <w:rPr>
          <w:u w:val="single"/>
        </w:rPr>
      </w:pPr>
    </w:p>
    <w:p w14:paraId="4B994CEE" w14:textId="77777777" w:rsidR="00025E35" w:rsidRDefault="00025E35" w:rsidP="00025E35">
      <w:pPr>
        <w:rPr>
          <w:u w:val="single"/>
        </w:rPr>
      </w:pPr>
      <w:r w:rsidRPr="00233E67">
        <w:rPr>
          <w:u w:val="single"/>
        </w:rPr>
        <w:t>Implementation Overview</w:t>
      </w:r>
    </w:p>
    <w:p w14:paraId="53292DD3" w14:textId="03081F99" w:rsidR="00025E35" w:rsidRDefault="00025E35" w:rsidP="00464D53">
      <w:pPr>
        <w:jc w:val="both"/>
      </w:pPr>
      <w:r>
        <w:t xml:space="preserve">A grid implementation was chosen for the MI Factor algorithm </w:t>
      </w:r>
      <w:r w:rsidR="00C10B6E">
        <w:t xml:space="preserve">for its </w:t>
      </w:r>
      <w:r>
        <w:t xml:space="preserve">advantages of being straight-forward and transparent.  A weakness of this implementation; however, is that it cannot capture trends in the way that, for example, a </w:t>
      </w:r>
      <w:r w:rsidR="00394ECC">
        <w:t xml:space="preserve">predictive </w:t>
      </w:r>
      <w:r>
        <w:t>regression</w:t>
      </w:r>
      <w:r w:rsidR="00394ECC">
        <w:t xml:space="preserve"> using continuous dimensions</w:t>
      </w:r>
      <w:r>
        <w:t xml:space="preserve"> can.  In other words, MI Factor can only capture average foreclosure costs at a point in time.  If costs are increasing or decreasing rapidly, the algorithm is not able to apply this trend into the future.  While a regression would not have this weakness, in addition to being less transparent, a regression implementation is not possible for MI Factor</w:t>
      </w:r>
      <w:r w:rsidR="006B5558">
        <w:t xml:space="preserve"> since </w:t>
      </w:r>
      <w:r>
        <w:t xml:space="preserve">there will </w:t>
      </w:r>
      <w:r w:rsidR="006B5558">
        <w:t xml:space="preserve">no longer be any </w:t>
      </w:r>
      <w:r>
        <w:t xml:space="preserve">actual disallowance or curtailment data </w:t>
      </w:r>
      <w:r w:rsidR="006B5558">
        <w:t xml:space="preserve">going forward, which is </w:t>
      </w:r>
      <w:r>
        <w:t xml:space="preserve">necessary for </w:t>
      </w:r>
      <w:r w:rsidR="00394ECC">
        <w:t xml:space="preserve">rigorously </w:t>
      </w:r>
      <w:r>
        <w:t>back testing regression updates.  The impact of this inability to capture foreclosure cost trends is small, however.  A number of geographies showed rapidly increasing foreclosure costs during the estimation time per</w:t>
      </w:r>
      <w:r w:rsidR="009C51CB">
        <w:t xml:space="preserve">iod of July 2013 – June 2014, which </w:t>
      </w:r>
      <w:r>
        <w:t>had little impact on th</w:t>
      </w:r>
      <w:r w:rsidR="00C10B6E">
        <w:t>e algorithm’s overall precision in estimating 2015 foreclosure costs</w:t>
      </w:r>
      <w:r w:rsidR="00563130">
        <w:t xml:space="preserve"> and MI claim payments</w:t>
      </w:r>
      <w:r w:rsidR="00C10B6E">
        <w:t>.</w:t>
      </w:r>
    </w:p>
    <w:p w14:paraId="22F72722" w14:textId="77777777" w:rsidR="00A721E9" w:rsidRDefault="00A721E9" w:rsidP="00464D53">
      <w:pPr>
        <w:pStyle w:val="ListParagraph"/>
        <w:ind w:left="0"/>
        <w:jc w:val="both"/>
        <w:rPr>
          <w:rFonts w:ascii="Arial" w:hAnsi="Arial" w:cs="Arial"/>
          <w:sz w:val="18"/>
        </w:rPr>
      </w:pPr>
    </w:p>
    <w:p w14:paraId="75AE19BF" w14:textId="04EDF31E" w:rsidR="0000055F" w:rsidRDefault="0000055F" w:rsidP="00464D53">
      <w:pPr>
        <w:pStyle w:val="ListParagraph"/>
        <w:ind w:left="0"/>
        <w:jc w:val="center"/>
        <w:rPr>
          <w:rFonts w:ascii="Arial" w:hAnsi="Arial" w:cs="Arial"/>
          <w:sz w:val="18"/>
        </w:rPr>
      </w:pPr>
      <w:r>
        <w:rPr>
          <w:rFonts w:ascii="Arial" w:hAnsi="Arial" w:cs="Arial"/>
          <w:sz w:val="18"/>
        </w:rPr>
        <w:t>Figure</w:t>
      </w:r>
      <w:r w:rsidR="00E940BD">
        <w:rPr>
          <w:rFonts w:ascii="Arial" w:hAnsi="Arial" w:cs="Arial"/>
          <w:sz w:val="18"/>
        </w:rPr>
        <w:t xml:space="preserve"> </w:t>
      </w:r>
      <w:r w:rsidR="00544A5E">
        <w:rPr>
          <w:rFonts w:ascii="Arial" w:hAnsi="Arial" w:cs="Arial"/>
          <w:sz w:val="18"/>
        </w:rPr>
        <w:t>16</w:t>
      </w:r>
      <w:r w:rsidRPr="0076086D">
        <w:rPr>
          <w:rFonts w:ascii="Arial" w:hAnsi="Arial" w:cs="Arial"/>
          <w:sz w:val="18"/>
        </w:rPr>
        <w:t xml:space="preserve">:  Foreclosure Costs </w:t>
      </w:r>
      <w:r w:rsidR="00A005C0">
        <w:rPr>
          <w:rFonts w:ascii="Arial" w:hAnsi="Arial" w:cs="Arial"/>
          <w:sz w:val="18"/>
        </w:rPr>
        <w:t>over Time</w:t>
      </w:r>
    </w:p>
    <w:p w14:paraId="2ED95CD6" w14:textId="21093EFB" w:rsidR="00025E35" w:rsidRDefault="00CD6273" w:rsidP="00464D53">
      <w:pPr>
        <w:pStyle w:val="ListParagraph"/>
        <w:ind w:left="0"/>
        <w:jc w:val="center"/>
        <w:rPr>
          <w:rFonts w:ascii="Arial" w:hAnsi="Arial" w:cs="Arial"/>
          <w:sz w:val="16"/>
        </w:rPr>
      </w:pPr>
      <w:r>
        <w:rPr>
          <w:rFonts w:ascii="Arial" w:hAnsi="Arial" w:cs="Arial"/>
          <w:noProof/>
          <w:sz w:val="16"/>
        </w:rPr>
        <w:drawing>
          <wp:inline distT="0" distB="0" distL="0" distR="0" wp14:anchorId="79D622A8" wp14:editId="495DB81F">
            <wp:extent cx="6400800" cy="491363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00800" cy="4913630"/>
                    </a:xfrm>
                    <a:prstGeom prst="rect">
                      <a:avLst/>
                    </a:prstGeom>
                    <a:noFill/>
                    <a:ln>
                      <a:noFill/>
                    </a:ln>
                  </pic:spPr>
                </pic:pic>
              </a:graphicData>
            </a:graphic>
          </wp:inline>
        </w:drawing>
      </w:r>
    </w:p>
    <w:p w14:paraId="7AC1D575" w14:textId="77777777" w:rsidR="00E97A37" w:rsidRPr="00E97A37" w:rsidRDefault="00E97A37" w:rsidP="00E97A37">
      <w:pPr>
        <w:pStyle w:val="ListParagraph"/>
        <w:ind w:left="0"/>
        <w:rPr>
          <w:rFonts w:ascii="Arial" w:hAnsi="Arial" w:cs="Arial"/>
          <w:sz w:val="16"/>
        </w:rPr>
      </w:pPr>
    </w:p>
    <w:p w14:paraId="0022159A" w14:textId="77777777" w:rsidR="00AA03E4" w:rsidRDefault="00AA03E4" w:rsidP="00025E35"/>
    <w:p w14:paraId="492190C5" w14:textId="77777777" w:rsidR="000B4354" w:rsidRDefault="000B4354" w:rsidP="00025E35">
      <w:pPr>
        <w:rPr>
          <w:u w:val="single"/>
        </w:rPr>
      </w:pPr>
    </w:p>
    <w:p w14:paraId="63CB3A6F" w14:textId="1F88104A" w:rsidR="00025E35" w:rsidRPr="00D40C57" w:rsidRDefault="004A797D" w:rsidP="00025E35">
      <w:pPr>
        <w:rPr>
          <w:u w:val="single"/>
        </w:rPr>
      </w:pPr>
      <w:r>
        <w:rPr>
          <w:u w:val="single"/>
        </w:rPr>
        <w:lastRenderedPageBreak/>
        <w:t>Roll-up</w:t>
      </w:r>
      <w:r w:rsidR="00025E35" w:rsidRPr="00D40C57">
        <w:rPr>
          <w:u w:val="single"/>
        </w:rPr>
        <w:t xml:space="preserve"> Methodology</w:t>
      </w:r>
    </w:p>
    <w:p w14:paraId="068D931D" w14:textId="468CB089" w:rsidR="00025E35" w:rsidRDefault="00025E35" w:rsidP="00464D53">
      <w:pPr>
        <w:jc w:val="both"/>
      </w:pPr>
      <w:r>
        <w:t xml:space="preserve">The implementation employs a </w:t>
      </w:r>
      <w:r w:rsidR="004A797D">
        <w:t>roll-up</w:t>
      </w:r>
      <w:r>
        <w:t xml:space="preserve"> methodology whereby if there are less than 30 observations in one of the grid’s buckets, the next highest bucket will be used</w:t>
      </w:r>
      <w:r w:rsidR="00394ECC">
        <w:t>, a common structural choice in statistical applications</w:t>
      </w:r>
      <w:r>
        <w:t xml:space="preserve">.  This is to prevent </w:t>
      </w:r>
      <w:r w:rsidR="00394ECC">
        <w:t xml:space="preserve">reliance on very limited data points </w:t>
      </w:r>
      <w:r>
        <w:t xml:space="preserve">from skewing the overall results.  </w:t>
      </w:r>
      <w:r w:rsidR="00394ECC">
        <w:t xml:space="preserve">Therefore, overall structure, or hierarchy, of the order in which buckets are applied matter for a limited number of cases in the proof of concept.  </w:t>
      </w:r>
      <w:r w:rsidR="004B55B6">
        <w:t>For</w:t>
      </w:r>
      <w:r>
        <w:t xml:space="preserve"> example, </w:t>
      </w:r>
      <w:r w:rsidR="00AF79B1">
        <w:t xml:space="preserve">if </w:t>
      </w:r>
      <w:r>
        <w:t>t</w:t>
      </w:r>
      <w:r w:rsidR="004B55B6">
        <w:t>here are</w:t>
      </w:r>
      <w:r w:rsidR="00FE34AD">
        <w:t xml:space="preserve"> only</w:t>
      </w:r>
      <w:r w:rsidR="004B55B6">
        <w:t xml:space="preserve"> 100</w:t>
      </w:r>
      <w:r>
        <w:t xml:space="preserve"> defaults</w:t>
      </w:r>
      <w:r w:rsidR="0000481A">
        <w:t xml:space="preserve"> during the estimation time period</w:t>
      </w:r>
      <w:r>
        <w:t xml:space="preserve"> that disposed as a s</w:t>
      </w:r>
      <w:r w:rsidR="00002863">
        <w:t xml:space="preserve">hort sale located in </w:t>
      </w:r>
      <w:r w:rsidR="004B55B6">
        <w:t>geographic cluster 6</w:t>
      </w:r>
      <w:r>
        <w:t xml:space="preserve"> with a value greater than $200,000</w:t>
      </w:r>
      <w:r w:rsidR="00CC1003">
        <w:t>.</w:t>
      </w:r>
      <w:r>
        <w:t xml:space="preserve"> </w:t>
      </w:r>
      <w:r w:rsidR="004B55B6">
        <w:t>Of these, 85 were one-unit properties, 15 were condos, and 5 were some other property type</w:t>
      </w:r>
      <w:r>
        <w:t xml:space="preserve">.  </w:t>
      </w:r>
      <w:r w:rsidR="004B55B6">
        <w:t xml:space="preserve">Since both the condos and the “other” property types have </w:t>
      </w:r>
      <w:r>
        <w:t xml:space="preserve">less than the 30 observation minimum, </w:t>
      </w:r>
      <w:r w:rsidR="004B55B6">
        <w:t xml:space="preserve">the property type loan characteristic </w:t>
      </w:r>
      <w:r>
        <w:t xml:space="preserve">would not be used </w:t>
      </w:r>
      <w:r w:rsidR="004B55B6">
        <w:t xml:space="preserve">when calculating the foreclosure cost averages </w:t>
      </w:r>
      <w:r>
        <w:t xml:space="preserve">for these defaults, and the average foreclosure costs of </w:t>
      </w:r>
      <w:r w:rsidR="004B55B6">
        <w:t>all 100</w:t>
      </w:r>
      <w:r>
        <w:t xml:space="preserve"> defaults would be used</w:t>
      </w:r>
      <w:r w:rsidR="004B55B6">
        <w:t xml:space="preserve"> instead</w:t>
      </w:r>
      <w:r>
        <w:t xml:space="preserve">.  The </w:t>
      </w:r>
      <w:r w:rsidR="004B55B6">
        <w:t>property type loan characteristic would</w:t>
      </w:r>
      <w:r>
        <w:t xml:space="preserve">, however, be used for the </w:t>
      </w:r>
      <w:r w:rsidR="004B55B6">
        <w:t xml:space="preserve">one-unit </w:t>
      </w:r>
      <w:r w:rsidR="00A73014">
        <w:t>population since 85</w:t>
      </w:r>
      <w:r>
        <w:t xml:space="preserve"> </w:t>
      </w:r>
      <w:r w:rsidR="004B55B6">
        <w:t xml:space="preserve">is </w:t>
      </w:r>
      <w:r w:rsidR="00A73014">
        <w:t>greater than</w:t>
      </w:r>
      <w:r w:rsidR="004B55B6">
        <w:t xml:space="preserve"> the </w:t>
      </w:r>
      <w:r>
        <w:t>30 observation minimum threshold.</w:t>
      </w:r>
      <w:r w:rsidR="00394ECC">
        <w:t xml:space="preserve">  We proposed the ordering where, in the event of lower than 30 frequency of events, property type would be disregarded first, then the value-hybrid bucketing, then geographic clusters, and finally disposition method.  This aligns with the explanatory power of each dimension; property type contributes the least to explanatory power while disposition method the most.</w:t>
      </w:r>
      <w:r w:rsidR="00AF79B1">
        <w:t xml:space="preserve">  Additionally, the inclusion of loans with and without MI coverage in the estimation data helps diminish this problem.</w:t>
      </w:r>
    </w:p>
    <w:p w14:paraId="00516A66" w14:textId="77777777" w:rsidR="00025E35" w:rsidRDefault="00025E35" w:rsidP="00025E35"/>
    <w:p w14:paraId="4E6B7AA2" w14:textId="77777777" w:rsidR="00025E35" w:rsidRDefault="00025E35" w:rsidP="00025E35">
      <w:pPr>
        <w:rPr>
          <w:u w:val="single"/>
        </w:rPr>
      </w:pPr>
      <w:r w:rsidRPr="009F4F90">
        <w:rPr>
          <w:u w:val="single"/>
        </w:rPr>
        <w:t>Grid</w:t>
      </w:r>
      <w:r>
        <w:rPr>
          <w:u w:val="single"/>
        </w:rPr>
        <w:t xml:space="preserve"> Implementation</w:t>
      </w:r>
      <w:r w:rsidRPr="009F4F90">
        <w:rPr>
          <w:u w:val="single"/>
        </w:rPr>
        <w:t xml:space="preserve"> Example</w:t>
      </w:r>
    </w:p>
    <w:p w14:paraId="0C4C7FCF" w14:textId="77777777" w:rsidR="00025E35" w:rsidRDefault="008C3B2B" w:rsidP="00464D53">
      <w:pPr>
        <w:jc w:val="both"/>
      </w:pPr>
      <w:r>
        <w:t xml:space="preserve">As foreclosure costs are a function of the loan characteristics, the proposed grid implementation uses the loan characteristics as the inputs and </w:t>
      </w:r>
      <w:r w:rsidR="000A381B">
        <w:t>has</w:t>
      </w:r>
      <w:r>
        <w:t xml:space="preserve"> fixed and variable costs as the outputs.</w:t>
      </w:r>
      <w:r w:rsidR="00E237F3">
        <w:t xml:space="preserve">  </w:t>
      </w:r>
      <w:r w:rsidR="00025E35">
        <w:t xml:space="preserve">The following provides an example of how to use the grid to solve for fixed and variable foreclosure costs.  For example, a borrower defaults on a mortgage with the following </w:t>
      </w:r>
      <w:r w:rsidR="006A5AD1">
        <w:t xml:space="preserve">loan </w:t>
      </w:r>
      <w:r w:rsidR="00025E35">
        <w:t>characteristics.</w:t>
      </w:r>
    </w:p>
    <w:p w14:paraId="6DCFD9B9" w14:textId="77777777" w:rsidR="00025E35" w:rsidRDefault="00025E35" w:rsidP="00025E35">
      <w:pPr>
        <w:pStyle w:val="ListParagraph"/>
      </w:pPr>
    </w:p>
    <w:p w14:paraId="59E090E1" w14:textId="77777777" w:rsidR="00025E35" w:rsidRDefault="00025E35" w:rsidP="00025E35">
      <w:pPr>
        <w:pStyle w:val="ListParagraph"/>
        <w:numPr>
          <w:ilvl w:val="0"/>
          <w:numId w:val="16"/>
        </w:numPr>
        <w:tabs>
          <w:tab w:val="left" w:pos="3600"/>
        </w:tabs>
      </w:pPr>
      <w:r>
        <w:t>Disposition Type:</w:t>
      </w:r>
      <w:r>
        <w:tab/>
        <w:t>REO</w:t>
      </w:r>
    </w:p>
    <w:p w14:paraId="1722FF8D" w14:textId="77777777" w:rsidR="00025E35" w:rsidRDefault="00025E35" w:rsidP="00025E35">
      <w:pPr>
        <w:pStyle w:val="ListParagraph"/>
        <w:numPr>
          <w:ilvl w:val="0"/>
          <w:numId w:val="16"/>
        </w:numPr>
        <w:tabs>
          <w:tab w:val="left" w:pos="3600"/>
        </w:tabs>
      </w:pPr>
      <w:r>
        <w:t>Geography:</w:t>
      </w:r>
      <w:r>
        <w:tab/>
        <w:t>Cluster 1</w:t>
      </w:r>
    </w:p>
    <w:p w14:paraId="34B288B5" w14:textId="77777777" w:rsidR="00025E35" w:rsidRDefault="00025E35" w:rsidP="00025E35">
      <w:pPr>
        <w:pStyle w:val="ListParagraph"/>
        <w:numPr>
          <w:ilvl w:val="0"/>
          <w:numId w:val="16"/>
        </w:numPr>
        <w:tabs>
          <w:tab w:val="left" w:pos="3600"/>
        </w:tabs>
      </w:pPr>
      <w:r>
        <w:t>Property Value (UPB):</w:t>
      </w:r>
      <w:r>
        <w:tab/>
        <w:t>$150,000</w:t>
      </w:r>
    </w:p>
    <w:p w14:paraId="40336258" w14:textId="77777777" w:rsidR="00025E35" w:rsidRDefault="00025E35" w:rsidP="00025E35">
      <w:pPr>
        <w:pStyle w:val="ListParagraph"/>
        <w:numPr>
          <w:ilvl w:val="0"/>
          <w:numId w:val="16"/>
        </w:numPr>
        <w:tabs>
          <w:tab w:val="left" w:pos="3600"/>
        </w:tabs>
      </w:pPr>
      <w:r>
        <w:t>Property Type:</w:t>
      </w:r>
      <w:r>
        <w:tab/>
      </w:r>
      <w:r w:rsidRPr="004B46A9">
        <w:t>1-Unit</w:t>
      </w:r>
    </w:p>
    <w:p w14:paraId="0E50949A" w14:textId="77777777" w:rsidR="00025E35" w:rsidRDefault="00025E35" w:rsidP="00025E35">
      <w:pPr>
        <w:pStyle w:val="ListParagraph"/>
        <w:numPr>
          <w:ilvl w:val="0"/>
          <w:numId w:val="16"/>
        </w:numPr>
        <w:tabs>
          <w:tab w:val="left" w:pos="3600"/>
        </w:tabs>
      </w:pPr>
      <w:r>
        <w:t>Urban/Rural Indicator:</w:t>
      </w:r>
      <w:r>
        <w:tab/>
        <w:t>NA</w:t>
      </w:r>
    </w:p>
    <w:p w14:paraId="44618820" w14:textId="77777777" w:rsidR="00025E35" w:rsidRDefault="00025E35" w:rsidP="00025E35">
      <w:pPr>
        <w:pStyle w:val="ListParagraph"/>
        <w:tabs>
          <w:tab w:val="left" w:pos="3600"/>
        </w:tabs>
        <w:ind w:left="0"/>
      </w:pPr>
    </w:p>
    <w:p w14:paraId="6CB00598" w14:textId="25FFF48C" w:rsidR="00025E35" w:rsidRDefault="00F330FB" w:rsidP="00464D53">
      <w:pPr>
        <w:pStyle w:val="ListParagraph"/>
        <w:tabs>
          <w:tab w:val="left" w:pos="3600"/>
        </w:tabs>
        <w:ind w:left="0"/>
        <w:jc w:val="center"/>
        <w:rPr>
          <w:rFonts w:ascii="Arial" w:hAnsi="Arial" w:cs="Arial"/>
          <w:sz w:val="18"/>
        </w:rPr>
      </w:pPr>
      <w:r>
        <w:rPr>
          <w:rFonts w:ascii="Arial" w:hAnsi="Arial" w:cs="Arial"/>
          <w:sz w:val="18"/>
        </w:rPr>
        <w:t>Table 18</w:t>
      </w:r>
      <w:r w:rsidR="00025E35" w:rsidRPr="00405F67">
        <w:rPr>
          <w:rFonts w:ascii="Arial" w:hAnsi="Arial" w:cs="Arial"/>
          <w:sz w:val="18"/>
        </w:rPr>
        <w:t>:  Grid Example</w:t>
      </w:r>
    </w:p>
    <w:p w14:paraId="37D38D7B" w14:textId="0992B36D" w:rsidR="00025E35" w:rsidRPr="00FB6C73" w:rsidRDefault="00FB6C73" w:rsidP="00464D53">
      <w:pPr>
        <w:pStyle w:val="ListParagraph"/>
        <w:tabs>
          <w:tab w:val="left" w:pos="3600"/>
        </w:tabs>
        <w:ind w:left="0"/>
        <w:jc w:val="center"/>
        <w:rPr>
          <w:rFonts w:ascii="Arial" w:hAnsi="Arial" w:cs="Arial"/>
          <w:sz w:val="18"/>
        </w:rPr>
      </w:pPr>
      <w:r>
        <w:rPr>
          <w:noProof/>
        </w:rPr>
        <w:drawing>
          <wp:inline distT="0" distB="0" distL="0" distR="0" wp14:anchorId="6D741BBC" wp14:editId="0386054D">
            <wp:extent cx="5552993" cy="2647785"/>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575653" cy="2658590"/>
                    </a:xfrm>
                    <a:prstGeom prst="rect">
                      <a:avLst/>
                    </a:prstGeom>
                  </pic:spPr>
                </pic:pic>
              </a:graphicData>
            </a:graphic>
          </wp:inline>
        </w:drawing>
      </w:r>
    </w:p>
    <w:p w14:paraId="52ED7181" w14:textId="6931AF52" w:rsidR="00025E35" w:rsidRDefault="00025E35" w:rsidP="00464D53">
      <w:pPr>
        <w:tabs>
          <w:tab w:val="left" w:pos="3600"/>
        </w:tabs>
        <w:jc w:val="both"/>
      </w:pPr>
      <w:r>
        <w:lastRenderedPageBreak/>
        <w:t>Using the loan characteristics to look up the fixed and variable cost percent</w:t>
      </w:r>
      <w:r w:rsidR="000F0D0B">
        <w:t>age</w:t>
      </w:r>
      <w:r>
        <w:t>s</w:t>
      </w:r>
      <w:r w:rsidR="005352F1">
        <w:t xml:space="preserve"> in the grid</w:t>
      </w:r>
      <w:r>
        <w:t xml:space="preserve">, </w:t>
      </w:r>
      <w:r w:rsidR="00A935D0">
        <w:t>the fixed and variable cost amounts</w:t>
      </w:r>
      <w:r w:rsidR="00FE3ED6">
        <w:t xml:space="preserve"> </w:t>
      </w:r>
      <w:r>
        <w:t xml:space="preserve">can be </w:t>
      </w:r>
      <w:r w:rsidR="00FE3ED6">
        <w:t>calculated</w:t>
      </w:r>
      <w:r>
        <w:t xml:space="preserve"> as follows.</w:t>
      </w:r>
    </w:p>
    <w:p w14:paraId="1206513E" w14:textId="088DEF0E" w:rsidR="00C3584B" w:rsidRDefault="00C3584B">
      <w:pPr>
        <w:rPr>
          <w:i/>
        </w:rPr>
      </w:pPr>
    </w:p>
    <w:p w14:paraId="7578AF32" w14:textId="4F2D258C" w:rsidR="00025E35" w:rsidRPr="00663AD8" w:rsidRDefault="00025E35" w:rsidP="00025E35">
      <w:pPr>
        <w:jc w:val="center"/>
        <w:rPr>
          <w:i/>
        </w:rPr>
      </w:pPr>
      <w:r>
        <w:rPr>
          <w:i/>
        </w:rPr>
        <w:t>Fixed Cost Amount</w:t>
      </w:r>
      <w:r w:rsidRPr="00663AD8">
        <w:rPr>
          <w:i/>
        </w:rPr>
        <w:t xml:space="preserve"> = </w:t>
      </w:r>
      <w:r>
        <w:rPr>
          <w:i/>
        </w:rPr>
        <w:t>Fixed Cost Percent from Grid</w:t>
      </w:r>
      <w:r w:rsidRPr="00663AD8">
        <w:rPr>
          <w:i/>
        </w:rPr>
        <w:t xml:space="preserve"> </w:t>
      </w:r>
      <w:r w:rsidRPr="00663AD8">
        <w:rPr>
          <w:i/>
          <w:vertAlign w:val="subscript"/>
        </w:rPr>
        <w:t>*</w:t>
      </w:r>
      <w:r w:rsidRPr="00663AD8">
        <w:rPr>
          <w:i/>
        </w:rPr>
        <w:t xml:space="preserve"> </w:t>
      </w:r>
      <w:r>
        <w:rPr>
          <w:i/>
        </w:rPr>
        <w:t xml:space="preserve">Property </w:t>
      </w:r>
      <w:r w:rsidRPr="00663AD8">
        <w:rPr>
          <w:i/>
        </w:rPr>
        <w:t>Value</w:t>
      </w:r>
    </w:p>
    <w:p w14:paraId="31E6102B" w14:textId="77777777" w:rsidR="00025E35" w:rsidRDefault="00025E35" w:rsidP="00025E35">
      <w:pPr>
        <w:pStyle w:val="ListParagraph"/>
        <w:ind w:left="0"/>
      </w:pPr>
    </w:p>
    <w:p w14:paraId="620716F6" w14:textId="77777777" w:rsidR="00025E35" w:rsidRPr="009F2506" w:rsidRDefault="00025E35" w:rsidP="00025E35">
      <w:pPr>
        <w:jc w:val="center"/>
        <w:rPr>
          <w:i/>
        </w:rPr>
      </w:pPr>
      <w:r w:rsidRPr="00617790">
        <w:rPr>
          <w:i/>
        </w:rPr>
        <w:t xml:space="preserve">Variable Costs per Day = </w:t>
      </w:r>
      <w:r>
        <w:rPr>
          <w:i/>
        </w:rPr>
        <w:t>Variable Cost Percent from Grid</w:t>
      </w:r>
      <w:r w:rsidRPr="00663AD8">
        <w:rPr>
          <w:i/>
        </w:rPr>
        <w:t xml:space="preserve"> </w:t>
      </w:r>
      <w:r w:rsidRPr="00663AD8">
        <w:rPr>
          <w:i/>
          <w:vertAlign w:val="subscript"/>
        </w:rPr>
        <w:t>*</w:t>
      </w:r>
      <w:r w:rsidRPr="00663AD8">
        <w:rPr>
          <w:i/>
        </w:rPr>
        <w:t xml:space="preserve"> </w:t>
      </w:r>
      <w:r>
        <w:rPr>
          <w:i/>
        </w:rPr>
        <w:t xml:space="preserve">Property </w:t>
      </w:r>
      <w:r w:rsidRPr="00663AD8">
        <w:rPr>
          <w:i/>
        </w:rPr>
        <w:t>Value</w:t>
      </w:r>
    </w:p>
    <w:p w14:paraId="4508D74C" w14:textId="77777777" w:rsidR="00025E35" w:rsidRDefault="00025E35" w:rsidP="00025E35">
      <w:pPr>
        <w:pStyle w:val="ListParagraph"/>
        <w:ind w:left="0"/>
      </w:pPr>
    </w:p>
    <w:p w14:paraId="7F386914" w14:textId="77777777" w:rsidR="00025E35" w:rsidRPr="00844578" w:rsidRDefault="00025E35" w:rsidP="00844578">
      <w:pPr>
        <w:pStyle w:val="ListParagraph"/>
        <w:tabs>
          <w:tab w:val="left" w:pos="3600"/>
          <w:tab w:val="left" w:pos="8640"/>
        </w:tabs>
        <w:ind w:left="0"/>
        <w:rPr>
          <w:i/>
        </w:rPr>
      </w:pPr>
      <w:r w:rsidRPr="00844578">
        <w:rPr>
          <w:i/>
        </w:rPr>
        <w:t>Fixed Cost Amount</w:t>
      </w:r>
      <w:r w:rsidRPr="00844578">
        <w:rPr>
          <w:i/>
        </w:rPr>
        <w:tab/>
        <w:t xml:space="preserve">= 2.390% </w:t>
      </w:r>
      <w:r w:rsidRPr="00844578">
        <w:rPr>
          <w:i/>
          <w:vertAlign w:val="subscript"/>
        </w:rPr>
        <w:t>*</w:t>
      </w:r>
      <w:r w:rsidRPr="00844578">
        <w:rPr>
          <w:i/>
        </w:rPr>
        <w:t xml:space="preserve"> $150,000</w:t>
      </w:r>
      <w:r w:rsidRPr="00844578">
        <w:rPr>
          <w:i/>
        </w:rPr>
        <w:tab/>
        <w:t>= $3,585</w:t>
      </w:r>
    </w:p>
    <w:p w14:paraId="322428BD" w14:textId="77777777" w:rsidR="00025E35" w:rsidRPr="00844578" w:rsidRDefault="00025E35" w:rsidP="00844578">
      <w:pPr>
        <w:pStyle w:val="ListParagraph"/>
        <w:tabs>
          <w:tab w:val="left" w:pos="3600"/>
          <w:tab w:val="left" w:pos="8640"/>
        </w:tabs>
        <w:ind w:left="0"/>
        <w:rPr>
          <w:i/>
        </w:rPr>
      </w:pPr>
    </w:p>
    <w:p w14:paraId="303BB9E5" w14:textId="77777777" w:rsidR="00025E35" w:rsidRPr="00844578" w:rsidRDefault="00025E35" w:rsidP="00844578">
      <w:pPr>
        <w:pStyle w:val="ListParagraph"/>
        <w:tabs>
          <w:tab w:val="left" w:pos="3600"/>
          <w:tab w:val="left" w:pos="8640"/>
        </w:tabs>
        <w:ind w:left="0"/>
        <w:rPr>
          <w:i/>
        </w:rPr>
      </w:pPr>
      <w:r w:rsidRPr="00844578">
        <w:rPr>
          <w:i/>
        </w:rPr>
        <w:t xml:space="preserve">Variable Cost </w:t>
      </w:r>
      <w:proofErr w:type="gramStart"/>
      <w:r w:rsidR="00844578">
        <w:rPr>
          <w:i/>
        </w:rPr>
        <w:t>Per</w:t>
      </w:r>
      <w:proofErr w:type="gramEnd"/>
      <w:r w:rsidR="00844578">
        <w:rPr>
          <w:i/>
        </w:rPr>
        <w:t xml:space="preserve"> Day</w:t>
      </w:r>
      <w:r w:rsidRPr="00844578">
        <w:rPr>
          <w:i/>
        </w:rPr>
        <w:tab/>
        <w:t>= 0.0098727% * $150,000</w:t>
      </w:r>
      <w:r w:rsidRPr="00844578">
        <w:rPr>
          <w:i/>
        </w:rPr>
        <w:tab/>
        <w:t>= $14.81</w:t>
      </w:r>
    </w:p>
    <w:p w14:paraId="7E575ADB" w14:textId="77777777" w:rsidR="00025E35" w:rsidRDefault="00025E35" w:rsidP="00025E35">
      <w:pPr>
        <w:tabs>
          <w:tab w:val="left" w:pos="3600"/>
        </w:tabs>
      </w:pPr>
    </w:p>
    <w:p w14:paraId="78458D80" w14:textId="77777777" w:rsidR="00BF69C0" w:rsidRPr="00BF69C0" w:rsidRDefault="00BF69C0" w:rsidP="00025E35">
      <w:pPr>
        <w:tabs>
          <w:tab w:val="left" w:pos="3600"/>
        </w:tabs>
        <w:rPr>
          <w:u w:val="single"/>
        </w:rPr>
      </w:pPr>
      <w:r w:rsidRPr="00BF69C0">
        <w:rPr>
          <w:u w:val="single"/>
        </w:rPr>
        <w:t>MI Factor</w:t>
      </w:r>
      <w:r w:rsidR="006A5AD1">
        <w:rPr>
          <w:u w:val="single"/>
        </w:rPr>
        <w:t xml:space="preserve"> Calculation</w:t>
      </w:r>
      <w:r w:rsidR="005352F1">
        <w:rPr>
          <w:u w:val="single"/>
        </w:rPr>
        <w:t xml:space="preserve"> &amp;</w:t>
      </w:r>
      <w:r w:rsidR="006A5AD1">
        <w:rPr>
          <w:u w:val="single"/>
        </w:rPr>
        <w:t xml:space="preserve"> </w:t>
      </w:r>
      <w:r w:rsidR="00AD029E">
        <w:rPr>
          <w:u w:val="single"/>
        </w:rPr>
        <w:t>Example</w:t>
      </w:r>
    </w:p>
    <w:p w14:paraId="1F5250C7" w14:textId="77777777" w:rsidR="006A5AD1" w:rsidRDefault="00BF69C0" w:rsidP="00464D53">
      <w:pPr>
        <w:tabs>
          <w:tab w:val="left" w:pos="3600"/>
        </w:tabs>
        <w:jc w:val="both"/>
      </w:pPr>
      <w:r>
        <w:t>Once the grid values have been used to calculate the fixed and variable cost amounts, MI Factor can be calculated.</w:t>
      </w:r>
      <w:r w:rsidR="00423F9D">
        <w:t xml:space="preserve">  </w:t>
      </w:r>
      <w:r w:rsidR="006A5AD1">
        <w:t>Continuing the example</w:t>
      </w:r>
      <w:r w:rsidR="00CC69A2">
        <w:t xml:space="preserve">, the defaulted mortgage also has the </w:t>
      </w:r>
      <w:r w:rsidR="006A5AD1">
        <w:t xml:space="preserve">following </w:t>
      </w:r>
      <w:r w:rsidR="00CC69A2">
        <w:t>loan characteristics.</w:t>
      </w:r>
    </w:p>
    <w:p w14:paraId="33F19DB6" w14:textId="77777777" w:rsidR="00CC69A2" w:rsidRDefault="00CC69A2" w:rsidP="00025E35">
      <w:pPr>
        <w:tabs>
          <w:tab w:val="left" w:pos="3600"/>
        </w:tabs>
      </w:pPr>
    </w:p>
    <w:p w14:paraId="573C2A87" w14:textId="77777777" w:rsidR="006A5AD1" w:rsidRDefault="00CC69A2" w:rsidP="00CC69A2">
      <w:pPr>
        <w:pStyle w:val="ListParagraph"/>
        <w:numPr>
          <w:ilvl w:val="0"/>
          <w:numId w:val="16"/>
        </w:numPr>
        <w:tabs>
          <w:tab w:val="left" w:pos="3600"/>
        </w:tabs>
      </w:pPr>
      <w:r>
        <w:t>LPI Date:</w:t>
      </w:r>
      <w:r>
        <w:tab/>
        <w:t>January 1, 2015</w:t>
      </w:r>
    </w:p>
    <w:p w14:paraId="3A386DF6" w14:textId="77777777" w:rsidR="006A5AD1" w:rsidRDefault="00CC69A2" w:rsidP="006A5AD1">
      <w:pPr>
        <w:pStyle w:val="ListParagraph"/>
        <w:numPr>
          <w:ilvl w:val="0"/>
          <w:numId w:val="16"/>
        </w:numPr>
        <w:tabs>
          <w:tab w:val="left" w:pos="3600"/>
        </w:tabs>
      </w:pPr>
      <w:r>
        <w:t>Liquidation Date:</w:t>
      </w:r>
      <w:r>
        <w:tab/>
      </w:r>
      <w:r w:rsidR="00423F9D">
        <w:t>September</w:t>
      </w:r>
      <w:r>
        <w:t xml:space="preserve"> 30, 2015</w:t>
      </w:r>
    </w:p>
    <w:p w14:paraId="21DF45F1" w14:textId="77777777" w:rsidR="00423F9D" w:rsidRDefault="00423F9D" w:rsidP="006A5AD1">
      <w:pPr>
        <w:pStyle w:val="ListParagraph"/>
        <w:numPr>
          <w:ilvl w:val="0"/>
          <w:numId w:val="16"/>
        </w:numPr>
        <w:tabs>
          <w:tab w:val="left" w:pos="3600"/>
        </w:tabs>
      </w:pPr>
      <w:r>
        <w:t>Allowable Days:</w:t>
      </w:r>
      <w:r>
        <w:tab/>
      </w:r>
      <w:r w:rsidR="00F518E6">
        <w:t>240</w:t>
      </w:r>
    </w:p>
    <w:p w14:paraId="0D8B04A6" w14:textId="77777777" w:rsidR="00556386" w:rsidRDefault="00556386" w:rsidP="00025E35">
      <w:pPr>
        <w:tabs>
          <w:tab w:val="left" w:pos="3600"/>
        </w:tabs>
      </w:pPr>
    </w:p>
    <w:p w14:paraId="293DFC78" w14:textId="77777777" w:rsidR="00F518E6" w:rsidRDefault="00F518E6" w:rsidP="00025E35">
      <w:pPr>
        <w:tabs>
          <w:tab w:val="left" w:pos="3600"/>
        </w:tabs>
      </w:pPr>
      <w:r>
        <w:t>MI Factor is calculated as follows.</w:t>
      </w:r>
    </w:p>
    <w:p w14:paraId="4A0B48DB" w14:textId="77777777" w:rsidR="00F518E6" w:rsidRDefault="00F518E6" w:rsidP="00025E35">
      <w:pPr>
        <w:tabs>
          <w:tab w:val="left" w:pos="3600"/>
        </w:tabs>
      </w:pPr>
    </w:p>
    <w:p w14:paraId="2DF6DB6B" w14:textId="77777777" w:rsidR="00844578" w:rsidRPr="00844578" w:rsidRDefault="00F518E6" w:rsidP="00844578">
      <w:pPr>
        <w:jc w:val="center"/>
        <w:rPr>
          <w:i/>
        </w:rPr>
      </w:pPr>
      <w:r>
        <w:rPr>
          <w:i/>
        </w:rPr>
        <w:t>Actual Days = Liquidation Date – LPI Date</w:t>
      </w:r>
    </w:p>
    <w:p w14:paraId="724C53E3" w14:textId="77777777" w:rsidR="00F518E6" w:rsidRDefault="00F518E6" w:rsidP="00025E35">
      <w:pPr>
        <w:tabs>
          <w:tab w:val="left" w:pos="3600"/>
        </w:tabs>
      </w:pPr>
    </w:p>
    <w:p w14:paraId="753B1842" w14:textId="77777777" w:rsidR="00423F9D" w:rsidRDefault="00423F9D" w:rsidP="00423F9D">
      <w:pPr>
        <w:jc w:val="center"/>
        <w:rPr>
          <w:i/>
        </w:rPr>
      </w:pPr>
      <w:r w:rsidRPr="008C110E">
        <w:rPr>
          <w:i/>
        </w:rPr>
        <w:t>MI Factor = Fixed Costs + (Variable Costs per Day * minimum (Actual Days, Allowable Days))</w:t>
      </w:r>
    </w:p>
    <w:p w14:paraId="771E9249" w14:textId="77777777" w:rsidR="00423F9D" w:rsidRDefault="00423F9D" w:rsidP="00025E35">
      <w:pPr>
        <w:tabs>
          <w:tab w:val="left" w:pos="3600"/>
        </w:tabs>
      </w:pPr>
    </w:p>
    <w:p w14:paraId="6ADEF387" w14:textId="77777777" w:rsidR="00844578" w:rsidRDefault="00844578" w:rsidP="00844578">
      <w:pPr>
        <w:tabs>
          <w:tab w:val="left" w:pos="3600"/>
          <w:tab w:val="left" w:pos="8640"/>
        </w:tabs>
        <w:rPr>
          <w:i/>
        </w:rPr>
      </w:pPr>
      <w:r>
        <w:rPr>
          <w:i/>
        </w:rPr>
        <w:t>Actual Days</w:t>
      </w:r>
      <w:r>
        <w:rPr>
          <w:i/>
        </w:rPr>
        <w:tab/>
        <w:t>= September</w:t>
      </w:r>
      <w:r w:rsidRPr="00EE1FA9">
        <w:rPr>
          <w:i/>
        </w:rPr>
        <w:t xml:space="preserve"> 30, 2015 – January </w:t>
      </w:r>
      <w:r>
        <w:rPr>
          <w:i/>
        </w:rPr>
        <w:t>1, 2015</w:t>
      </w:r>
      <w:r>
        <w:rPr>
          <w:i/>
        </w:rPr>
        <w:tab/>
        <w:t>= 272</w:t>
      </w:r>
      <w:r w:rsidRPr="00EE1FA9">
        <w:rPr>
          <w:i/>
        </w:rPr>
        <w:t xml:space="preserve"> Days</w:t>
      </w:r>
    </w:p>
    <w:p w14:paraId="0631695F" w14:textId="77777777" w:rsidR="00844578" w:rsidRDefault="00844578" w:rsidP="00844578">
      <w:pPr>
        <w:tabs>
          <w:tab w:val="left" w:pos="3600"/>
          <w:tab w:val="left" w:pos="8640"/>
        </w:tabs>
        <w:rPr>
          <w:i/>
        </w:rPr>
      </w:pPr>
    </w:p>
    <w:p w14:paraId="30A42792" w14:textId="77777777" w:rsidR="00556386" w:rsidRPr="000A381B" w:rsidRDefault="00844578" w:rsidP="000A381B">
      <w:pPr>
        <w:tabs>
          <w:tab w:val="left" w:pos="3600"/>
          <w:tab w:val="left" w:pos="8640"/>
        </w:tabs>
        <w:rPr>
          <w:i/>
        </w:rPr>
      </w:pPr>
      <w:r>
        <w:rPr>
          <w:i/>
        </w:rPr>
        <w:t>MI Factor</w:t>
      </w:r>
      <w:r>
        <w:rPr>
          <w:i/>
        </w:rPr>
        <w:tab/>
        <w:t xml:space="preserve">= </w:t>
      </w:r>
      <w:r w:rsidRPr="00844578">
        <w:rPr>
          <w:i/>
        </w:rPr>
        <w:t>$3,585</w:t>
      </w:r>
      <w:r>
        <w:rPr>
          <w:i/>
        </w:rPr>
        <w:t xml:space="preserve"> + (</w:t>
      </w:r>
      <w:r w:rsidRPr="00844578">
        <w:rPr>
          <w:i/>
        </w:rPr>
        <w:t>$14.81</w:t>
      </w:r>
      <w:r>
        <w:rPr>
          <w:i/>
        </w:rPr>
        <w:t xml:space="preserve"> * minimum (272, 240))</w:t>
      </w:r>
      <w:r>
        <w:rPr>
          <w:i/>
        </w:rPr>
        <w:tab/>
        <w:t xml:space="preserve">= </w:t>
      </w:r>
      <w:r w:rsidR="00917F72">
        <w:rPr>
          <w:i/>
        </w:rPr>
        <w:t>$</w:t>
      </w:r>
      <w:r w:rsidR="00917F72" w:rsidRPr="00917F72">
        <w:rPr>
          <w:i/>
        </w:rPr>
        <w:t>7</w:t>
      </w:r>
      <w:r w:rsidR="00917F72">
        <w:rPr>
          <w:i/>
        </w:rPr>
        <w:t>,</w:t>
      </w:r>
      <w:r w:rsidR="00917F72" w:rsidRPr="00917F72">
        <w:rPr>
          <w:i/>
        </w:rPr>
        <w:t>139.17</w:t>
      </w:r>
    </w:p>
    <w:p w14:paraId="248EDF83" w14:textId="77777777" w:rsidR="00BF69C0" w:rsidRDefault="00BF69C0" w:rsidP="00025E35">
      <w:pPr>
        <w:tabs>
          <w:tab w:val="left" w:pos="3600"/>
        </w:tabs>
      </w:pPr>
    </w:p>
    <w:p w14:paraId="18216568" w14:textId="77777777" w:rsidR="00025E35" w:rsidRPr="00823656" w:rsidRDefault="00025E35" w:rsidP="00025E35">
      <w:pPr>
        <w:tabs>
          <w:tab w:val="left" w:pos="3600"/>
        </w:tabs>
        <w:rPr>
          <w:u w:val="single"/>
        </w:rPr>
      </w:pPr>
      <w:r w:rsidRPr="00823656">
        <w:rPr>
          <w:u w:val="single"/>
        </w:rPr>
        <w:t xml:space="preserve">MI Claim Amount </w:t>
      </w:r>
      <w:r w:rsidR="00AD029E">
        <w:rPr>
          <w:u w:val="single"/>
        </w:rPr>
        <w:t>Calculation</w:t>
      </w:r>
      <w:r w:rsidR="00014ACD">
        <w:rPr>
          <w:u w:val="single"/>
        </w:rPr>
        <w:t xml:space="preserve"> &amp;</w:t>
      </w:r>
      <w:r w:rsidRPr="00823656">
        <w:rPr>
          <w:u w:val="single"/>
        </w:rPr>
        <w:t xml:space="preserve"> Example</w:t>
      </w:r>
    </w:p>
    <w:p w14:paraId="543BFED4" w14:textId="77777777" w:rsidR="00025E35" w:rsidRDefault="008F6762" w:rsidP="00464D53">
      <w:pPr>
        <w:jc w:val="both"/>
      </w:pPr>
      <w:r>
        <w:t xml:space="preserve">MI claim amount is </w:t>
      </w:r>
      <w:r w:rsidR="00B6732D">
        <w:t>the sum of the UPB, interest, and the foreclosure cost</w:t>
      </w:r>
      <w:r>
        <w:t>.</w:t>
      </w:r>
      <w:r w:rsidR="00B6732D">
        <w:t xml:space="preserve">  The proposed changes to the interest and the foreclosure cost components are </w:t>
      </w:r>
      <w:r w:rsidR="006F4E33">
        <w:t>covered</w:t>
      </w:r>
      <w:r w:rsidR="00B6732D">
        <w:t xml:space="preserve"> below.  There are no changes proposed for the UPB component of the MI claim amount calculation.</w:t>
      </w:r>
    </w:p>
    <w:p w14:paraId="1CABDFC3" w14:textId="77777777" w:rsidR="008F6762" w:rsidRDefault="008F6762" w:rsidP="00025E35"/>
    <w:p w14:paraId="08B40007" w14:textId="77777777" w:rsidR="006B1BC0" w:rsidRDefault="006B1BC0" w:rsidP="006B1BC0">
      <w:pPr>
        <w:pStyle w:val="ListParagraph"/>
        <w:numPr>
          <w:ilvl w:val="0"/>
          <w:numId w:val="4"/>
        </w:numPr>
      </w:pPr>
      <w:r>
        <w:t>Interest:  Assuming that our</w:t>
      </w:r>
      <w:r w:rsidR="00E44A96">
        <w:t xml:space="preserve"> example</w:t>
      </w:r>
      <w:r>
        <w:t xml:space="preserve"> loan has a note rate of 5%, the proposed new curtailed interest rate calculation is as follows.</w:t>
      </w:r>
    </w:p>
    <w:p w14:paraId="7C71CB41" w14:textId="77777777" w:rsidR="006B1BC0" w:rsidRDefault="006B1BC0" w:rsidP="006B1BC0">
      <w:pPr>
        <w:ind w:left="1080"/>
        <w:rPr>
          <w:i/>
          <w:iCs/>
        </w:rPr>
      </w:pPr>
    </w:p>
    <w:p w14:paraId="348F7E17" w14:textId="67A2B445" w:rsidR="006B1BC0" w:rsidRPr="00761BC1" w:rsidRDefault="006B1BC0" w:rsidP="006F4E33">
      <w:pPr>
        <w:ind w:left="1080"/>
        <w:jc w:val="center"/>
      </w:pPr>
      <w:r w:rsidRPr="006B1BC0">
        <w:rPr>
          <w:i/>
          <w:iCs/>
        </w:rPr>
        <w:t xml:space="preserve">Interest = UPB </w:t>
      </w:r>
      <w:r w:rsidRPr="006B1BC0">
        <w:rPr>
          <w:i/>
          <w:iCs/>
          <w:vertAlign w:val="subscript"/>
        </w:rPr>
        <w:t>*</w:t>
      </w:r>
      <w:r w:rsidRPr="006B1BC0">
        <w:rPr>
          <w:i/>
          <w:iCs/>
        </w:rPr>
        <w:t xml:space="preserve"> (Note Rate / </w:t>
      </w:r>
      <w:r w:rsidR="00EE6EB9">
        <w:rPr>
          <w:i/>
          <w:iCs/>
        </w:rPr>
        <w:t>365.25</w:t>
      </w:r>
      <w:r w:rsidRPr="006B1BC0">
        <w:rPr>
          <w:i/>
          <w:iCs/>
        </w:rPr>
        <w:t xml:space="preserve">) </w:t>
      </w:r>
      <w:r w:rsidRPr="006B1BC0">
        <w:rPr>
          <w:i/>
          <w:iCs/>
          <w:vertAlign w:val="subscript"/>
        </w:rPr>
        <w:t>*</w:t>
      </w:r>
      <w:r w:rsidRPr="006B1BC0">
        <w:rPr>
          <w:i/>
          <w:iCs/>
        </w:rPr>
        <w:t xml:space="preserve"> minimum (Actual Days, Allowable Days)</w:t>
      </w:r>
    </w:p>
    <w:p w14:paraId="7FE50D65" w14:textId="77777777" w:rsidR="006B1BC0" w:rsidRDefault="006B1BC0" w:rsidP="00025E35"/>
    <w:p w14:paraId="113FE21E" w14:textId="2F1FC5C8" w:rsidR="006B1BC0" w:rsidRPr="001C7636" w:rsidRDefault="001C7636" w:rsidP="006F4E33">
      <w:pPr>
        <w:tabs>
          <w:tab w:val="left" w:pos="3600"/>
          <w:tab w:val="left" w:pos="8640"/>
        </w:tabs>
        <w:ind w:left="720"/>
        <w:rPr>
          <w:i/>
        </w:rPr>
      </w:pPr>
      <w:r>
        <w:rPr>
          <w:i/>
        </w:rPr>
        <w:t>Interest</w:t>
      </w:r>
      <w:r>
        <w:rPr>
          <w:i/>
        </w:rPr>
        <w:tab/>
      </w:r>
      <w:r w:rsidR="006B1BC0" w:rsidRPr="001C7636">
        <w:rPr>
          <w:i/>
        </w:rPr>
        <w:t xml:space="preserve">= $150,000 * (5% / </w:t>
      </w:r>
      <w:r w:rsidR="00EE6EB9">
        <w:rPr>
          <w:i/>
        </w:rPr>
        <w:t>365.25</w:t>
      </w:r>
      <w:r w:rsidR="006B1BC0" w:rsidRPr="001C7636">
        <w:rPr>
          <w:i/>
        </w:rPr>
        <w:t xml:space="preserve">) * minimum </w:t>
      </w:r>
      <w:r>
        <w:rPr>
          <w:i/>
        </w:rPr>
        <w:t>(272, 240)</w:t>
      </w:r>
      <w:r>
        <w:rPr>
          <w:i/>
        </w:rPr>
        <w:tab/>
      </w:r>
      <w:r w:rsidR="006B1BC0" w:rsidRPr="001C7636">
        <w:rPr>
          <w:i/>
        </w:rPr>
        <w:t xml:space="preserve">= </w:t>
      </w:r>
      <w:r w:rsidRPr="001C7636">
        <w:rPr>
          <w:i/>
        </w:rPr>
        <w:t>$4,931.51</w:t>
      </w:r>
    </w:p>
    <w:p w14:paraId="5AD24747" w14:textId="77777777" w:rsidR="006B1BC0" w:rsidRDefault="006B1BC0" w:rsidP="00025E35"/>
    <w:p w14:paraId="50055957" w14:textId="77777777" w:rsidR="001C7636" w:rsidRDefault="006F4E33" w:rsidP="006F4E33">
      <w:pPr>
        <w:pStyle w:val="ListParagraph"/>
        <w:numPr>
          <w:ilvl w:val="0"/>
          <w:numId w:val="4"/>
        </w:numPr>
      </w:pPr>
      <w:r>
        <w:t>Foreclosure Costs:  The foreclosure cost component is equal to the MI Factor.</w:t>
      </w:r>
    </w:p>
    <w:p w14:paraId="784143AE" w14:textId="77777777" w:rsidR="006F4E33" w:rsidRDefault="006F4E33" w:rsidP="006F4E33"/>
    <w:p w14:paraId="7ACE6BAF" w14:textId="77777777" w:rsidR="006F4E33" w:rsidRPr="006F4E33" w:rsidRDefault="006F4E33" w:rsidP="006F4E33">
      <w:pPr>
        <w:tabs>
          <w:tab w:val="left" w:pos="3600"/>
          <w:tab w:val="left" w:pos="8640"/>
        </w:tabs>
        <w:ind w:left="720"/>
        <w:rPr>
          <w:i/>
        </w:rPr>
      </w:pPr>
      <w:r w:rsidRPr="006F4E33">
        <w:rPr>
          <w:i/>
        </w:rPr>
        <w:t>Foreclosure</w:t>
      </w:r>
      <w:r>
        <w:rPr>
          <w:i/>
        </w:rPr>
        <w:t xml:space="preserve"> Costs</w:t>
      </w:r>
      <w:r>
        <w:rPr>
          <w:i/>
        </w:rPr>
        <w:tab/>
        <w:t>= MI Factor</w:t>
      </w:r>
      <w:r>
        <w:rPr>
          <w:i/>
        </w:rPr>
        <w:tab/>
      </w:r>
      <w:r w:rsidRPr="006F4E33">
        <w:rPr>
          <w:i/>
        </w:rPr>
        <w:t>= $7,139.17</w:t>
      </w:r>
    </w:p>
    <w:p w14:paraId="58598BB1" w14:textId="77777777" w:rsidR="00CE0936" w:rsidRDefault="00CE0936" w:rsidP="00025E35"/>
    <w:p w14:paraId="27BBA105" w14:textId="77777777" w:rsidR="000B4354" w:rsidRDefault="000B4354" w:rsidP="00025E35"/>
    <w:p w14:paraId="70396450" w14:textId="176761C9" w:rsidR="006F4E33" w:rsidRDefault="00A5540F" w:rsidP="00025E35">
      <w:r>
        <w:lastRenderedPageBreak/>
        <w:t>The</w:t>
      </w:r>
      <w:r w:rsidR="00C23AC7">
        <w:t xml:space="preserve"> proposed </w:t>
      </w:r>
      <w:r w:rsidR="00DE1086">
        <w:t xml:space="preserve">new </w:t>
      </w:r>
      <w:r>
        <w:t xml:space="preserve">MI claim amount equation </w:t>
      </w:r>
      <w:r w:rsidR="001E59FD">
        <w:t>is as follows</w:t>
      </w:r>
      <w:r>
        <w:t>.</w:t>
      </w:r>
    </w:p>
    <w:p w14:paraId="64CA52FC" w14:textId="77777777" w:rsidR="006F4E33" w:rsidRDefault="006F4E33" w:rsidP="00025E35"/>
    <w:p w14:paraId="40DE8C8D" w14:textId="77777777" w:rsidR="008F6762" w:rsidRDefault="008F6762" w:rsidP="00A5540F">
      <w:pPr>
        <w:jc w:val="center"/>
        <w:rPr>
          <w:i/>
          <w:iCs/>
        </w:rPr>
      </w:pPr>
      <w:r>
        <w:rPr>
          <w:i/>
          <w:iCs/>
        </w:rPr>
        <w:t xml:space="preserve">MI Claim Amount = UPB + </w:t>
      </w:r>
      <w:r w:rsidR="001E59FD">
        <w:rPr>
          <w:i/>
          <w:iCs/>
        </w:rPr>
        <w:t xml:space="preserve">Curtailed </w:t>
      </w:r>
      <w:r>
        <w:rPr>
          <w:i/>
          <w:iCs/>
        </w:rPr>
        <w:t xml:space="preserve">Interest + </w:t>
      </w:r>
      <w:r w:rsidR="001E59FD">
        <w:rPr>
          <w:i/>
          <w:iCs/>
        </w:rPr>
        <w:t>MI Factor</w:t>
      </w:r>
    </w:p>
    <w:p w14:paraId="34C2D27E" w14:textId="77777777" w:rsidR="00A5540F" w:rsidRDefault="00A5540F" w:rsidP="008F6762">
      <w:pPr>
        <w:tabs>
          <w:tab w:val="left" w:pos="1260"/>
          <w:tab w:val="left" w:pos="5040"/>
          <w:tab w:val="left" w:pos="8640"/>
        </w:tabs>
        <w:jc w:val="center"/>
        <w:rPr>
          <w:i/>
          <w:iCs/>
        </w:rPr>
      </w:pPr>
    </w:p>
    <w:p w14:paraId="3111FA60" w14:textId="77777777" w:rsidR="00A5540F" w:rsidRDefault="00A5540F" w:rsidP="00A5540F">
      <w:pPr>
        <w:tabs>
          <w:tab w:val="left" w:pos="3600"/>
          <w:tab w:val="left" w:pos="8640"/>
        </w:tabs>
        <w:rPr>
          <w:i/>
          <w:iCs/>
        </w:rPr>
      </w:pPr>
      <w:r>
        <w:rPr>
          <w:i/>
          <w:iCs/>
        </w:rPr>
        <w:t>MI Claim Amount</w:t>
      </w:r>
      <w:r>
        <w:rPr>
          <w:i/>
          <w:iCs/>
        </w:rPr>
        <w:tab/>
        <w:t xml:space="preserve">= $150,000 + </w:t>
      </w:r>
      <w:r w:rsidRPr="001C7636">
        <w:rPr>
          <w:i/>
        </w:rPr>
        <w:t>$4,931.51</w:t>
      </w:r>
      <w:r>
        <w:rPr>
          <w:i/>
        </w:rPr>
        <w:t xml:space="preserve"> + </w:t>
      </w:r>
      <w:r w:rsidRPr="006F4E33">
        <w:rPr>
          <w:i/>
        </w:rPr>
        <w:t>$7,139.17</w:t>
      </w:r>
      <w:r>
        <w:rPr>
          <w:i/>
        </w:rPr>
        <w:tab/>
        <w:t>= $</w:t>
      </w:r>
      <w:r w:rsidRPr="00A5540F">
        <w:rPr>
          <w:i/>
        </w:rPr>
        <w:t>162</w:t>
      </w:r>
      <w:r>
        <w:rPr>
          <w:i/>
        </w:rPr>
        <w:t>,</w:t>
      </w:r>
      <w:r w:rsidRPr="00A5540F">
        <w:rPr>
          <w:i/>
        </w:rPr>
        <w:t>070.68</w:t>
      </w:r>
    </w:p>
    <w:p w14:paraId="19BEFD1C" w14:textId="77777777" w:rsidR="008F6762" w:rsidRPr="008F6762" w:rsidRDefault="008F6762" w:rsidP="00025E35"/>
    <w:p w14:paraId="4F00D28B" w14:textId="77777777" w:rsidR="00025E35" w:rsidRPr="00F66E25" w:rsidRDefault="00025E35" w:rsidP="00F66E25">
      <w:pPr>
        <w:rPr>
          <w:u w:val="single"/>
        </w:rPr>
      </w:pPr>
      <w:r w:rsidRPr="00F66E25">
        <w:rPr>
          <w:u w:val="single"/>
        </w:rPr>
        <w:t>MI Claim Settlement</w:t>
      </w:r>
      <w:r w:rsidR="00F66E25" w:rsidRPr="00F66E25">
        <w:rPr>
          <w:u w:val="single"/>
        </w:rPr>
        <w:t xml:space="preserve"> Example</w:t>
      </w:r>
      <w:r w:rsidR="00E87535">
        <w:rPr>
          <w:u w:val="single"/>
        </w:rPr>
        <w:t>:  Option Settlements</w:t>
      </w:r>
    </w:p>
    <w:p w14:paraId="646859C1" w14:textId="77777777" w:rsidR="007D5600" w:rsidRDefault="007D5600" w:rsidP="00464D53">
      <w:pPr>
        <w:jc w:val="both"/>
      </w:pPr>
      <w:r>
        <w:t xml:space="preserve">This example only covers the proposal for option settlements since presales with influence and </w:t>
      </w:r>
      <w:r w:rsidRPr="008A3B49">
        <w:t>MI acqui</w:t>
      </w:r>
      <w:r>
        <w:t>sitions are still being researched</w:t>
      </w:r>
      <w:r w:rsidRPr="008A3B49">
        <w:t xml:space="preserve">.  </w:t>
      </w:r>
      <w:r>
        <w:t>Assuming that our example loan has an MI coverage percent of 20%, option settlements are calculated as follows.</w:t>
      </w:r>
    </w:p>
    <w:p w14:paraId="482EDD86" w14:textId="77777777" w:rsidR="00E44A96" w:rsidRDefault="00E44A96" w:rsidP="00E44A96"/>
    <w:p w14:paraId="48F53F76" w14:textId="77777777" w:rsidR="00025E35" w:rsidRDefault="00025E35" w:rsidP="00E44A96">
      <w:pPr>
        <w:jc w:val="center"/>
        <w:rPr>
          <w:i/>
        </w:rPr>
      </w:pPr>
      <w:r w:rsidRPr="00E44A96">
        <w:rPr>
          <w:i/>
        </w:rPr>
        <w:t xml:space="preserve">MI Claim Payment = MI Claim Amount </w:t>
      </w:r>
      <w:r w:rsidRPr="00E44A96">
        <w:rPr>
          <w:i/>
          <w:vertAlign w:val="subscript"/>
        </w:rPr>
        <w:t>*</w:t>
      </w:r>
      <w:r w:rsidRPr="00E44A96">
        <w:rPr>
          <w:i/>
        </w:rPr>
        <w:t xml:space="preserve"> MI Coverage Percent</w:t>
      </w:r>
    </w:p>
    <w:p w14:paraId="03906D49" w14:textId="77777777" w:rsidR="00E87535" w:rsidRDefault="00E87535" w:rsidP="00E44A96">
      <w:pPr>
        <w:jc w:val="center"/>
        <w:rPr>
          <w:i/>
        </w:rPr>
      </w:pPr>
    </w:p>
    <w:p w14:paraId="56BD2DB5" w14:textId="77777777" w:rsidR="00E44A96" w:rsidRPr="00E44A96" w:rsidRDefault="00E87535" w:rsidP="00001756">
      <w:pPr>
        <w:tabs>
          <w:tab w:val="left" w:pos="3600"/>
          <w:tab w:val="left" w:pos="8640"/>
        </w:tabs>
        <w:rPr>
          <w:i/>
        </w:rPr>
      </w:pPr>
      <w:r>
        <w:rPr>
          <w:i/>
        </w:rPr>
        <w:t>MI Claim Payment</w:t>
      </w:r>
      <w:r>
        <w:rPr>
          <w:i/>
        </w:rPr>
        <w:tab/>
        <w:t>= $</w:t>
      </w:r>
      <w:r w:rsidRPr="00A5540F">
        <w:rPr>
          <w:i/>
        </w:rPr>
        <w:t>162</w:t>
      </w:r>
      <w:r>
        <w:rPr>
          <w:i/>
        </w:rPr>
        <w:t>,</w:t>
      </w:r>
      <w:r w:rsidRPr="00A5540F">
        <w:rPr>
          <w:i/>
        </w:rPr>
        <w:t>070.68</w:t>
      </w:r>
      <w:r>
        <w:rPr>
          <w:i/>
        </w:rPr>
        <w:t xml:space="preserve"> * 20%</w:t>
      </w:r>
      <w:r>
        <w:rPr>
          <w:i/>
        </w:rPr>
        <w:tab/>
        <w:t>= $32,414.14</w:t>
      </w:r>
    </w:p>
    <w:p w14:paraId="328F6EB1" w14:textId="77777777" w:rsidR="00025E35" w:rsidRDefault="00025E35" w:rsidP="00025E35"/>
    <w:p w14:paraId="43965265" w14:textId="77777777" w:rsidR="00025E35" w:rsidRPr="00523469" w:rsidRDefault="00025E35" w:rsidP="00025E35">
      <w:pPr>
        <w:rPr>
          <w:u w:val="single"/>
        </w:rPr>
      </w:pPr>
      <w:r w:rsidRPr="00A47571">
        <w:rPr>
          <w:u w:val="single"/>
        </w:rPr>
        <w:t>Update Schedule</w:t>
      </w:r>
      <w:r w:rsidR="00A47571" w:rsidRPr="00A47571">
        <w:rPr>
          <w:u w:val="single"/>
        </w:rPr>
        <w:t xml:space="preserve"> &amp; Methodology</w:t>
      </w:r>
    </w:p>
    <w:p w14:paraId="78E3BB37" w14:textId="6A8DC445" w:rsidR="004A63B6" w:rsidRPr="00805B91" w:rsidRDefault="000A381B" w:rsidP="00464D53">
      <w:pPr>
        <w:tabs>
          <w:tab w:val="left" w:pos="3393"/>
        </w:tabs>
        <w:jc w:val="both"/>
      </w:pPr>
      <w:r>
        <w:t>A</w:t>
      </w:r>
      <w:r w:rsidR="007868EC">
        <w:t xml:space="preserve">nnual </w:t>
      </w:r>
      <w:r>
        <w:t xml:space="preserve">updates are </w:t>
      </w:r>
      <w:r w:rsidR="007868EC">
        <w:t xml:space="preserve">proposed for </w:t>
      </w:r>
      <w:r w:rsidR="00536265">
        <w:t xml:space="preserve">the </w:t>
      </w:r>
      <w:r w:rsidR="007868EC">
        <w:t>MI Factor</w:t>
      </w:r>
      <w:r w:rsidR="00536265">
        <w:t xml:space="preserve"> algorithm</w:t>
      </w:r>
      <w:r w:rsidR="007868EC">
        <w:t>.</w:t>
      </w:r>
      <w:r w:rsidR="00D21BE6">
        <w:t xml:space="preserve">  As described on </w:t>
      </w:r>
      <w:r w:rsidR="00394ECC">
        <w:t>earlier in this document</w:t>
      </w:r>
      <w:r w:rsidR="00B772B5">
        <w:t xml:space="preserve">, the estimation data used in the updates will be </w:t>
      </w:r>
      <w:r w:rsidR="004A63B6" w:rsidRPr="00805B91">
        <w:t>Fannie Mae’</w:t>
      </w:r>
      <w:r w:rsidR="00B772B5">
        <w:t>s actual foreclosure cost data, and</w:t>
      </w:r>
      <w:r w:rsidR="00C03CDF">
        <w:t xml:space="preserve"> the</w:t>
      </w:r>
      <w:r w:rsidR="00B772B5">
        <w:t xml:space="preserve"> timeframe used will be </w:t>
      </w:r>
      <w:r w:rsidR="004A63B6">
        <w:t>a rolling 12-month window with a six-month lag</w:t>
      </w:r>
      <w:r w:rsidR="00B772B5">
        <w:t>.  The lag</w:t>
      </w:r>
      <w:r w:rsidR="004A63B6">
        <w:t xml:space="preserve"> allow</w:t>
      </w:r>
      <w:r w:rsidR="00B772B5">
        <w:t>s</w:t>
      </w:r>
      <w:r w:rsidR="004A63B6">
        <w:t xml:space="preserve"> time for all </w:t>
      </w:r>
      <w:r w:rsidR="00B772B5">
        <w:t xml:space="preserve">of the </w:t>
      </w:r>
      <w:r w:rsidR="004A63B6">
        <w:t>foreclosure costs to be submitted</w:t>
      </w:r>
      <w:r w:rsidR="00B772B5">
        <w:t xml:space="preserve"> to Fannie Mae</w:t>
      </w:r>
      <w:r w:rsidR="004A63B6">
        <w:t xml:space="preserve">.  For example, </w:t>
      </w:r>
      <w:r w:rsidR="008C1D60">
        <w:t xml:space="preserve">if </w:t>
      </w:r>
      <w:r w:rsidR="004A63B6">
        <w:t xml:space="preserve">the MI Factor grid </w:t>
      </w:r>
      <w:r w:rsidR="008C1D60">
        <w:t xml:space="preserve">is estimated </w:t>
      </w:r>
      <w:r w:rsidR="004A63B6">
        <w:t xml:space="preserve">on July 2015 – June 2016 </w:t>
      </w:r>
      <w:r w:rsidR="008C1D60">
        <w:t xml:space="preserve">data, the results </w:t>
      </w:r>
      <w:r w:rsidR="004A63B6">
        <w:t xml:space="preserve">will be </w:t>
      </w:r>
      <w:r w:rsidR="008C1D60">
        <w:t xml:space="preserve">implemented </w:t>
      </w:r>
      <w:r w:rsidR="004A63B6">
        <w:t xml:space="preserve">for all </w:t>
      </w:r>
      <w:r w:rsidR="008C1D60">
        <w:t xml:space="preserve">MI claims filed in </w:t>
      </w:r>
      <w:r w:rsidR="004A63B6">
        <w:t>2017.</w:t>
      </w:r>
      <w:r w:rsidR="008C1D60">
        <w:t xml:space="preserve">  </w:t>
      </w:r>
      <w:r w:rsidR="004A63B6">
        <w:t>The base date used to define the population will be liquidation date for short sales and TPS and will be disposition date for REO.</w:t>
      </w:r>
      <w:r w:rsidR="008C1D60">
        <w:t xml:space="preserve">  Additionally, t</w:t>
      </w:r>
      <w:r w:rsidR="004A63B6">
        <w:t xml:space="preserve">he estimation data will be adjusted </w:t>
      </w:r>
      <w:r w:rsidR="008C1D60">
        <w:t>so that Fannie Mae is self-disallowing and self-curtailing</w:t>
      </w:r>
      <w:r>
        <w:t xml:space="preserve"> the MI claims</w:t>
      </w:r>
      <w:r w:rsidR="008C1D60">
        <w:t>.</w:t>
      </w:r>
    </w:p>
    <w:p w14:paraId="51917CE7" w14:textId="520F9F26" w:rsidR="00CC1D94" w:rsidRDefault="00CC1D94">
      <w:pPr>
        <w:rPr>
          <w:rFonts w:ascii="Arial" w:hAnsi="Arial" w:cs="Arial"/>
          <w:b/>
        </w:rPr>
      </w:pPr>
    </w:p>
    <w:p w14:paraId="55717A3D" w14:textId="092F8583" w:rsidR="0021158D" w:rsidRPr="00BD115F" w:rsidRDefault="00AC3F4C">
      <w:pPr>
        <w:rPr>
          <w:rFonts w:ascii="Arial" w:hAnsi="Arial" w:cs="Arial"/>
          <w:b/>
        </w:rPr>
      </w:pPr>
      <w:r w:rsidRPr="00BD115F">
        <w:rPr>
          <w:rFonts w:ascii="Arial" w:hAnsi="Arial" w:cs="Arial"/>
          <w:b/>
        </w:rPr>
        <w:t>PROOF OF CONCEPT OVERVIEW</w:t>
      </w:r>
    </w:p>
    <w:p w14:paraId="7D6B6B92" w14:textId="77777777" w:rsidR="0055480C" w:rsidRDefault="0055480C"/>
    <w:p w14:paraId="03DDCD5D" w14:textId="0F0B219A" w:rsidR="001B6958" w:rsidRDefault="00BD115F" w:rsidP="00464D53">
      <w:pPr>
        <w:jc w:val="both"/>
      </w:pPr>
      <w:r>
        <w:t xml:space="preserve">In order to provide the greatest possible transparency into the MI Factor algorithm research, Fannie Mae is providing a proof of concept package.  This package includes the estimation data and the SAS code that was used to generate the algorithm research.  The package also includes output data for each of the algorithm options as well as their corresponding grids.  This proof of concept allows the MI companies to do their own research and to develop their own educated opinions on the MI Factor proposal and on the recommended </w:t>
      </w:r>
      <w:r w:rsidR="00B3002E">
        <w:t xml:space="preserve">algorithm </w:t>
      </w:r>
      <w:r w:rsidR="008C2143">
        <w:t>of option eight</w:t>
      </w:r>
      <w:r>
        <w:t xml:space="preserve">.  A detailed overview of the files included in the proof of concept package can be found in </w:t>
      </w:r>
      <w:r w:rsidR="008C2143">
        <w:t xml:space="preserve">Appendix </w:t>
      </w:r>
      <w:r>
        <w:t>E.</w:t>
      </w:r>
      <w:r w:rsidR="008C2143">
        <w:t xml:space="preserve">  A similar set of material would be provided as part of the annual update process to the factor settings for on-going vetting activities.</w:t>
      </w:r>
    </w:p>
    <w:p w14:paraId="420DD2FB" w14:textId="77777777" w:rsidR="00D4165F" w:rsidRDefault="00D4165F" w:rsidP="001B6958"/>
    <w:p w14:paraId="3519AD79" w14:textId="2585ABB3" w:rsidR="00495FE3" w:rsidRPr="00DF62C4" w:rsidRDefault="0055480C">
      <w:pPr>
        <w:rPr>
          <w:rFonts w:ascii="Arial" w:hAnsi="Arial" w:cs="Arial"/>
          <w:b/>
        </w:rPr>
      </w:pPr>
      <w:r>
        <w:br w:type="page"/>
      </w:r>
      <w:r w:rsidR="00DF62C4" w:rsidRPr="00DF62C4">
        <w:rPr>
          <w:rFonts w:ascii="Arial" w:hAnsi="Arial" w:cs="Arial"/>
          <w:b/>
        </w:rPr>
        <w:lastRenderedPageBreak/>
        <w:t>APPENDIX A</w:t>
      </w:r>
      <w:r w:rsidR="006C713D">
        <w:rPr>
          <w:rFonts w:ascii="Arial" w:hAnsi="Arial" w:cs="Arial"/>
          <w:b/>
        </w:rPr>
        <w:t>:  ALLOWED &amp; DISALLOWED FORECLOSURE COSTS</w:t>
      </w:r>
    </w:p>
    <w:p w14:paraId="3520D8B1" w14:textId="77777777" w:rsidR="00495FE3" w:rsidRDefault="00495FE3"/>
    <w:p w14:paraId="5EAE014E" w14:textId="1DA7F872" w:rsidR="00FA7543" w:rsidRDefault="0085564B">
      <w:pPr>
        <w:rPr>
          <w:highlight w:val="green"/>
        </w:rPr>
      </w:pPr>
      <w:r>
        <w:rPr>
          <w:noProof/>
        </w:rPr>
        <w:drawing>
          <wp:inline distT="0" distB="0" distL="0" distR="0" wp14:anchorId="4FF2F99E" wp14:editId="375EF1D3">
            <wp:extent cx="597217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72175" cy="7639050"/>
                    </a:xfrm>
                    <a:prstGeom prst="rect">
                      <a:avLst/>
                    </a:prstGeom>
                  </pic:spPr>
                </pic:pic>
              </a:graphicData>
            </a:graphic>
          </wp:inline>
        </w:drawing>
      </w:r>
      <w:r w:rsidR="006C713D">
        <w:rPr>
          <w:highlight w:val="green"/>
        </w:rPr>
        <w:t xml:space="preserve"> </w:t>
      </w:r>
      <w:r w:rsidR="00FA7543">
        <w:rPr>
          <w:highlight w:val="green"/>
        </w:rPr>
        <w:br w:type="page"/>
      </w:r>
    </w:p>
    <w:p w14:paraId="2DEBDC6F" w14:textId="6FDC41A9" w:rsidR="00495FE3" w:rsidRPr="006C713D" w:rsidRDefault="006C713D">
      <w:pPr>
        <w:rPr>
          <w:rFonts w:ascii="Arial" w:hAnsi="Arial" w:cs="Arial"/>
          <w:b/>
        </w:rPr>
      </w:pPr>
      <w:r w:rsidRPr="006C713D">
        <w:rPr>
          <w:rFonts w:ascii="Arial" w:hAnsi="Arial" w:cs="Arial"/>
          <w:b/>
        </w:rPr>
        <w:lastRenderedPageBreak/>
        <w:t>APPENDIX B:  FIXED &amp; VARIABLE FORECLOSURE COSTS</w:t>
      </w:r>
    </w:p>
    <w:p w14:paraId="302B9DE6" w14:textId="77777777" w:rsidR="00EB64D1" w:rsidRDefault="00EB64D1">
      <w:pPr>
        <w:rPr>
          <w:highlight w:val="green"/>
        </w:rPr>
      </w:pPr>
    </w:p>
    <w:p w14:paraId="27209833" w14:textId="5F4A14A0" w:rsidR="003D20C6" w:rsidRDefault="0085564B">
      <w:pPr>
        <w:rPr>
          <w:highlight w:val="green"/>
        </w:rPr>
      </w:pPr>
      <w:r>
        <w:rPr>
          <w:noProof/>
        </w:rPr>
        <w:drawing>
          <wp:inline distT="0" distB="0" distL="0" distR="0" wp14:anchorId="3806247A" wp14:editId="5EB23ACE">
            <wp:extent cx="6305550" cy="5210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05550" cy="5210175"/>
                    </a:xfrm>
                    <a:prstGeom prst="rect">
                      <a:avLst/>
                    </a:prstGeom>
                  </pic:spPr>
                </pic:pic>
              </a:graphicData>
            </a:graphic>
          </wp:inline>
        </w:drawing>
      </w:r>
    </w:p>
    <w:p w14:paraId="287BB625" w14:textId="77777777" w:rsidR="00495FE3" w:rsidRDefault="00495FE3">
      <w:pPr>
        <w:rPr>
          <w:highlight w:val="green"/>
        </w:rPr>
      </w:pPr>
      <w:r>
        <w:rPr>
          <w:highlight w:val="green"/>
        </w:rPr>
        <w:br w:type="page"/>
      </w:r>
    </w:p>
    <w:p w14:paraId="2D076636" w14:textId="0EBACA5F" w:rsidR="008922D6" w:rsidRPr="00873099" w:rsidRDefault="00F531A4" w:rsidP="00162A93">
      <w:pPr>
        <w:rPr>
          <w:rFonts w:ascii="Arial" w:hAnsi="Arial" w:cs="Arial"/>
          <w:b/>
        </w:rPr>
      </w:pPr>
      <w:r>
        <w:rPr>
          <w:rFonts w:ascii="Arial" w:hAnsi="Arial" w:cs="Arial"/>
          <w:b/>
        </w:rPr>
        <w:lastRenderedPageBreak/>
        <w:t>APPENDIX C</w:t>
      </w:r>
      <w:r w:rsidR="00873099" w:rsidRPr="00873099">
        <w:rPr>
          <w:rFonts w:ascii="Arial" w:hAnsi="Arial" w:cs="Arial"/>
          <w:b/>
        </w:rPr>
        <w:t>:  FORECLOSURE COSTS BY 50 STATES (STATES 1 – 25)</w:t>
      </w:r>
    </w:p>
    <w:p w14:paraId="6BEAF579" w14:textId="77777777" w:rsidR="00873099" w:rsidRDefault="00873099" w:rsidP="00162A93"/>
    <w:p w14:paraId="140F75EC" w14:textId="77777777" w:rsidR="00EB64D1" w:rsidRDefault="00EB64D1" w:rsidP="00162A93"/>
    <w:p w14:paraId="2A917D56" w14:textId="32137D65" w:rsidR="00A827F5" w:rsidRDefault="00753D8A" w:rsidP="00162A93">
      <w:r>
        <w:rPr>
          <w:noProof/>
        </w:rPr>
        <w:drawing>
          <wp:inline distT="0" distB="0" distL="0" distR="0" wp14:anchorId="30BE51C0" wp14:editId="61C9241F">
            <wp:extent cx="6057900" cy="503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057900" cy="5038725"/>
                    </a:xfrm>
                    <a:prstGeom prst="rect">
                      <a:avLst/>
                    </a:prstGeom>
                  </pic:spPr>
                </pic:pic>
              </a:graphicData>
            </a:graphic>
          </wp:inline>
        </w:drawing>
      </w:r>
    </w:p>
    <w:p w14:paraId="2A82094F" w14:textId="77777777" w:rsidR="008922D6" w:rsidRDefault="008922D6"/>
    <w:p w14:paraId="59ABF6F6" w14:textId="77777777" w:rsidR="00E8179F" w:rsidRDefault="00E8179F">
      <w:r>
        <w:br w:type="page"/>
      </w:r>
    </w:p>
    <w:p w14:paraId="19E2470E" w14:textId="40D9827E" w:rsidR="00EB64D1" w:rsidRPr="00873099" w:rsidRDefault="00EB64D1" w:rsidP="00EB64D1">
      <w:pPr>
        <w:rPr>
          <w:rFonts w:ascii="Arial" w:hAnsi="Arial" w:cs="Arial"/>
          <w:b/>
        </w:rPr>
      </w:pPr>
      <w:r>
        <w:rPr>
          <w:rFonts w:ascii="Arial" w:hAnsi="Arial" w:cs="Arial"/>
          <w:b/>
        </w:rPr>
        <w:lastRenderedPageBreak/>
        <w:t>APPENDIX C, CONTINUED</w:t>
      </w:r>
      <w:r w:rsidRPr="00873099">
        <w:rPr>
          <w:rFonts w:ascii="Arial" w:hAnsi="Arial" w:cs="Arial"/>
          <w:b/>
        </w:rPr>
        <w:t>:  FORECLOSURE C</w:t>
      </w:r>
      <w:r>
        <w:rPr>
          <w:rFonts w:ascii="Arial" w:hAnsi="Arial" w:cs="Arial"/>
          <w:b/>
        </w:rPr>
        <w:t>OSTS BY 50 STATES (STATES 26 – 50</w:t>
      </w:r>
      <w:r w:rsidRPr="00873099">
        <w:rPr>
          <w:rFonts w:ascii="Arial" w:hAnsi="Arial" w:cs="Arial"/>
          <w:b/>
        </w:rPr>
        <w:t>)</w:t>
      </w:r>
    </w:p>
    <w:p w14:paraId="454F1426" w14:textId="77777777" w:rsidR="008922D6" w:rsidRDefault="008922D6" w:rsidP="008922D6"/>
    <w:p w14:paraId="7D111995" w14:textId="77777777" w:rsidR="00EB64D1" w:rsidRDefault="00EB64D1" w:rsidP="008922D6"/>
    <w:p w14:paraId="69B2465F" w14:textId="28E73E00" w:rsidR="00E8179F" w:rsidRDefault="00753D8A" w:rsidP="00E8179F">
      <w:r>
        <w:rPr>
          <w:noProof/>
        </w:rPr>
        <w:drawing>
          <wp:inline distT="0" distB="0" distL="0" distR="0" wp14:anchorId="4A423C3F" wp14:editId="6A0E2A34">
            <wp:extent cx="6276975" cy="503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276975" cy="5038725"/>
                    </a:xfrm>
                    <a:prstGeom prst="rect">
                      <a:avLst/>
                    </a:prstGeom>
                  </pic:spPr>
                </pic:pic>
              </a:graphicData>
            </a:graphic>
          </wp:inline>
        </w:drawing>
      </w:r>
    </w:p>
    <w:p w14:paraId="774294FB" w14:textId="77777777" w:rsidR="0021158D" w:rsidRDefault="0021158D">
      <w:r>
        <w:br w:type="page"/>
      </w:r>
    </w:p>
    <w:p w14:paraId="505A65A8" w14:textId="6AF55B85" w:rsidR="0021158D" w:rsidRPr="00BE19F3" w:rsidRDefault="00B53497" w:rsidP="0021158D">
      <w:pPr>
        <w:rPr>
          <w:rFonts w:ascii="Arial" w:hAnsi="Arial" w:cs="Arial"/>
          <w:b/>
        </w:rPr>
      </w:pPr>
      <w:r w:rsidRPr="00BE19F3">
        <w:rPr>
          <w:rFonts w:ascii="Arial" w:hAnsi="Arial" w:cs="Arial"/>
          <w:b/>
        </w:rPr>
        <w:lastRenderedPageBreak/>
        <w:t>APPENDIX D</w:t>
      </w:r>
      <w:r w:rsidR="00EB64D1" w:rsidRPr="00BE19F3">
        <w:rPr>
          <w:rFonts w:ascii="Arial" w:hAnsi="Arial" w:cs="Arial"/>
          <w:b/>
        </w:rPr>
        <w:t xml:space="preserve">:  ALGORITHM </w:t>
      </w:r>
      <w:r w:rsidR="006B6909" w:rsidRPr="00BE19F3">
        <w:rPr>
          <w:rFonts w:ascii="Arial" w:hAnsi="Arial" w:cs="Arial"/>
          <w:b/>
        </w:rPr>
        <w:t xml:space="preserve">PERFOMANCE METRICS </w:t>
      </w:r>
      <w:r w:rsidR="00EB64D1" w:rsidRPr="00BE19F3">
        <w:rPr>
          <w:rFonts w:ascii="Arial" w:hAnsi="Arial" w:cs="Arial"/>
          <w:b/>
        </w:rPr>
        <w:t>COMPARISON</w:t>
      </w:r>
    </w:p>
    <w:p w14:paraId="7959975F" w14:textId="77777777" w:rsidR="00EB64D1" w:rsidRDefault="00EB64D1" w:rsidP="0021158D"/>
    <w:p w14:paraId="078287E1" w14:textId="77777777" w:rsidR="00FD4E26" w:rsidRPr="00025E35" w:rsidRDefault="00FD4E26" w:rsidP="0021158D"/>
    <w:p w14:paraId="36FC998E" w14:textId="4C26AC5C" w:rsidR="0021158D" w:rsidRPr="00500B54" w:rsidRDefault="007A51AB" w:rsidP="0021158D">
      <w:r w:rsidRPr="007A51AB">
        <w:rPr>
          <w:noProof/>
        </w:rPr>
        <w:drawing>
          <wp:inline distT="0" distB="0" distL="0" distR="0" wp14:anchorId="035BA9F3" wp14:editId="1EF3DB3A">
            <wp:extent cx="6400800" cy="3536172"/>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400800" cy="3536172"/>
                    </a:xfrm>
                    <a:prstGeom prst="rect">
                      <a:avLst/>
                    </a:prstGeom>
                    <a:noFill/>
                    <a:ln>
                      <a:noFill/>
                    </a:ln>
                  </pic:spPr>
                </pic:pic>
              </a:graphicData>
            </a:graphic>
          </wp:inline>
        </w:drawing>
      </w:r>
    </w:p>
    <w:p w14:paraId="139BB754" w14:textId="77777777" w:rsidR="0021158D" w:rsidRDefault="0021158D" w:rsidP="0021158D"/>
    <w:p w14:paraId="57D4C3B7" w14:textId="77777777" w:rsidR="0021158D" w:rsidRDefault="0021158D" w:rsidP="0021158D"/>
    <w:p w14:paraId="18653826" w14:textId="77777777" w:rsidR="0084458C" w:rsidRDefault="0084458C">
      <w:r>
        <w:br w:type="page"/>
      </w:r>
    </w:p>
    <w:p w14:paraId="7E27B629" w14:textId="59F74ED3" w:rsidR="009F1945" w:rsidRPr="00A93A53" w:rsidRDefault="00B53497" w:rsidP="009F1945">
      <w:pPr>
        <w:rPr>
          <w:rFonts w:ascii="Arial" w:hAnsi="Arial" w:cs="Arial"/>
          <w:b/>
        </w:rPr>
      </w:pPr>
      <w:r>
        <w:rPr>
          <w:rFonts w:ascii="Arial" w:hAnsi="Arial" w:cs="Arial"/>
          <w:b/>
        </w:rPr>
        <w:lastRenderedPageBreak/>
        <w:t>APPENDIX E</w:t>
      </w:r>
      <w:r w:rsidR="009F1945" w:rsidRPr="00A93A53">
        <w:rPr>
          <w:rFonts w:ascii="Arial" w:hAnsi="Arial" w:cs="Arial"/>
          <w:b/>
        </w:rPr>
        <w:t>:  PROOF OF CONCEPT OVERVIEW</w:t>
      </w:r>
    </w:p>
    <w:p w14:paraId="5484311D" w14:textId="77777777" w:rsidR="009F1945" w:rsidRDefault="009F1945" w:rsidP="009F1945"/>
    <w:p w14:paraId="6E5D06DD" w14:textId="0626C7A8" w:rsidR="009F1945" w:rsidRDefault="009F1945" w:rsidP="00464D53">
      <w:pPr>
        <w:jc w:val="both"/>
      </w:pPr>
      <w:r>
        <w:t xml:space="preserve">To </w:t>
      </w:r>
      <w:r w:rsidR="0086697D">
        <w:t>afford</w:t>
      </w:r>
      <w:r>
        <w:t xml:space="preserve"> transparency, a proof of concept is provided that includes the input data, SAS code, and </w:t>
      </w:r>
      <w:r w:rsidR="00406257">
        <w:t xml:space="preserve">the </w:t>
      </w:r>
      <w:r>
        <w:t>output data that Fannie Mae used to create the algorithm</w:t>
      </w:r>
      <w:r w:rsidR="008625AF">
        <w:t xml:space="preserve"> options</w:t>
      </w:r>
      <w:r>
        <w:t>.  Using the proof of concept,</w:t>
      </w:r>
      <w:r w:rsidR="00406257">
        <w:t xml:space="preserve"> Fannie Mae’s</w:t>
      </w:r>
      <w:r w:rsidR="000018A3">
        <w:t xml:space="preserve"> MI Factor </w:t>
      </w:r>
      <w:r w:rsidR="00406257">
        <w:t xml:space="preserve">algorithm research </w:t>
      </w:r>
      <w:r>
        <w:t xml:space="preserve">should be able to </w:t>
      </w:r>
      <w:r w:rsidR="000018A3">
        <w:t>be reconstructed</w:t>
      </w:r>
      <w:r>
        <w:t>.</w:t>
      </w:r>
    </w:p>
    <w:p w14:paraId="01DD4A9E" w14:textId="77777777" w:rsidR="009F1945" w:rsidRPr="00A91E5C" w:rsidRDefault="009F1945" w:rsidP="009F1945"/>
    <w:p w14:paraId="21844C78" w14:textId="77777777" w:rsidR="009F1945" w:rsidRDefault="009F1945" w:rsidP="009F1945">
      <w:pPr>
        <w:rPr>
          <w:rFonts w:ascii="Arial" w:hAnsi="Arial" w:cs="Arial"/>
          <w:b/>
        </w:rPr>
      </w:pPr>
      <w:r>
        <w:rPr>
          <w:rFonts w:ascii="Arial" w:hAnsi="Arial" w:cs="Arial"/>
          <w:b/>
        </w:rPr>
        <w:t>INPUTS</w:t>
      </w:r>
    </w:p>
    <w:p w14:paraId="6B764C7E" w14:textId="77777777" w:rsidR="009F1945" w:rsidRPr="002B1259" w:rsidRDefault="009F1945" w:rsidP="009F1945">
      <w:pPr>
        <w:rPr>
          <w:rFonts w:ascii="Arial" w:hAnsi="Arial" w:cs="Arial"/>
          <w:b/>
        </w:rPr>
      </w:pPr>
    </w:p>
    <w:p w14:paraId="346177C2" w14:textId="77777777" w:rsidR="009F1945" w:rsidRDefault="009F1945" w:rsidP="00464D53">
      <w:pPr>
        <w:jc w:val="both"/>
      </w:pPr>
      <w:r>
        <w:t xml:space="preserve">The first step in reconstructing the MI factor analysis is understanding the input data provided.  The file </w:t>
      </w:r>
      <w:r w:rsidRPr="000D193D">
        <w:t>MI_Factor_Sample.csv contains</w:t>
      </w:r>
      <w:r>
        <w:t xml:space="preserve"> all of the input data that was used to develop the recommended algorithm and has two main attributes:  population criteria and included fields.</w:t>
      </w:r>
    </w:p>
    <w:p w14:paraId="1A3C1C3B" w14:textId="77777777" w:rsidR="009F1945" w:rsidRDefault="009F1945" w:rsidP="009F1945"/>
    <w:p w14:paraId="0F13B33E" w14:textId="77777777" w:rsidR="009F1945" w:rsidRPr="004733FA" w:rsidRDefault="009F1945" w:rsidP="009F1945">
      <w:pPr>
        <w:rPr>
          <w:u w:val="single"/>
        </w:rPr>
      </w:pPr>
      <w:r>
        <w:rPr>
          <w:u w:val="single"/>
        </w:rPr>
        <w:t>Population Criteria</w:t>
      </w:r>
    </w:p>
    <w:p w14:paraId="01D000A8" w14:textId="77777777" w:rsidR="009F1945" w:rsidRDefault="009F1945" w:rsidP="00464D53">
      <w:pPr>
        <w:jc w:val="both"/>
      </w:pPr>
      <w:r>
        <w:t>In order to analyze the algorithm’s performance, the input data is split between the estimation and the test populations.</w:t>
      </w:r>
    </w:p>
    <w:p w14:paraId="23B5EA2D" w14:textId="77777777" w:rsidR="009F1945" w:rsidRDefault="009F1945" w:rsidP="00464D53">
      <w:pPr>
        <w:pStyle w:val="ListParagraph"/>
        <w:jc w:val="both"/>
      </w:pPr>
    </w:p>
    <w:p w14:paraId="14E57C38" w14:textId="77777777" w:rsidR="009F1945" w:rsidRDefault="009F1945" w:rsidP="00464D53">
      <w:pPr>
        <w:pStyle w:val="ListParagraph"/>
        <w:numPr>
          <w:ilvl w:val="0"/>
          <w:numId w:val="15"/>
        </w:numPr>
        <w:jc w:val="both"/>
      </w:pPr>
      <w:r>
        <w:t>Estimation Population:  This population contains all of the loans used to estimate the MI Factor</w:t>
      </w:r>
      <w:r w:rsidRPr="005D57E0">
        <w:t xml:space="preserve"> </w:t>
      </w:r>
      <w:r>
        <w:t>values.  It includes all short sale and TPS liquidations and all REO dispositions occurring from July 2013 through June 2014 regardless of the presence of MI coverage.</w:t>
      </w:r>
    </w:p>
    <w:p w14:paraId="42DB3FD8" w14:textId="77777777" w:rsidR="009F1945" w:rsidRDefault="009F1945" w:rsidP="00464D53">
      <w:pPr>
        <w:jc w:val="both"/>
      </w:pPr>
    </w:p>
    <w:p w14:paraId="702D1097" w14:textId="1BBB3D23" w:rsidR="009F1945" w:rsidRDefault="009F1945" w:rsidP="00464D53">
      <w:pPr>
        <w:pStyle w:val="ListParagraph"/>
        <w:numPr>
          <w:ilvl w:val="0"/>
          <w:numId w:val="15"/>
        </w:numPr>
        <w:jc w:val="both"/>
      </w:pPr>
      <w:r>
        <w:t>Test</w:t>
      </w:r>
      <w:r w:rsidR="00605E58">
        <w:t>ing</w:t>
      </w:r>
      <w:r>
        <w:t xml:space="preserve"> Population:  This is the population that the estimated MI factor results are tested against.  It includes MI-covered short sale and TPS liquidations and REO dispositions occurring from January through December 2015.</w:t>
      </w:r>
    </w:p>
    <w:p w14:paraId="0BE269DE" w14:textId="77777777" w:rsidR="009F1945" w:rsidRDefault="009F1945" w:rsidP="00464D53">
      <w:pPr>
        <w:jc w:val="both"/>
      </w:pPr>
    </w:p>
    <w:p w14:paraId="08042A9D" w14:textId="77777777" w:rsidR="009F1945" w:rsidRDefault="009F1945" w:rsidP="00464D53">
      <w:pPr>
        <w:jc w:val="both"/>
      </w:pPr>
      <w:r>
        <w:t>To test the algorithm, the MI Factor results from the estimation population are compared with the actual MI claim results from the test population.  This mirrors the future implementation of the algorithm as historical MI claim data will be used to settle future claims.</w:t>
      </w:r>
    </w:p>
    <w:p w14:paraId="22E38F05" w14:textId="77777777" w:rsidR="009F1945" w:rsidRDefault="009F1945" w:rsidP="00464D53">
      <w:pPr>
        <w:jc w:val="both"/>
      </w:pPr>
    </w:p>
    <w:p w14:paraId="0EF27F52" w14:textId="77777777" w:rsidR="009F1945" w:rsidRPr="004733FA" w:rsidRDefault="009F1945" w:rsidP="009F1945">
      <w:pPr>
        <w:rPr>
          <w:u w:val="single"/>
        </w:rPr>
      </w:pPr>
      <w:r>
        <w:rPr>
          <w:u w:val="single"/>
        </w:rPr>
        <w:t>Included Fields</w:t>
      </w:r>
    </w:p>
    <w:p w14:paraId="080B31BA" w14:textId="77777777" w:rsidR="009F1945" w:rsidRDefault="009F1945" w:rsidP="00464D53">
      <w:pPr>
        <w:jc w:val="both"/>
      </w:pPr>
      <w:r>
        <w:t>There are five categories of input data fields:  distinct id, algorithm inputs, claim amount inputs, expected claim proceeds inputs, and key indicators.</w:t>
      </w:r>
    </w:p>
    <w:p w14:paraId="307F643E" w14:textId="77777777" w:rsidR="009F1945" w:rsidRDefault="009F1945" w:rsidP="00464D53">
      <w:pPr>
        <w:pStyle w:val="ListParagraph"/>
        <w:jc w:val="both"/>
      </w:pPr>
    </w:p>
    <w:p w14:paraId="223576CB" w14:textId="77777777" w:rsidR="009F1945" w:rsidRDefault="009F1945" w:rsidP="00464D53">
      <w:pPr>
        <w:pStyle w:val="ListParagraph"/>
        <w:numPr>
          <w:ilvl w:val="0"/>
          <w:numId w:val="15"/>
        </w:numPr>
        <w:jc w:val="both"/>
      </w:pPr>
      <w:r>
        <w:t>Distinct ID:  Row ID is the unique key used to join the input and output data sets.  It is simply a record counter; all distinguishing attributes such as Fannie Mae’s loan number have been removed.</w:t>
      </w:r>
    </w:p>
    <w:p w14:paraId="781AFC2B" w14:textId="77777777" w:rsidR="009F1945" w:rsidRDefault="009F1945" w:rsidP="00464D53">
      <w:pPr>
        <w:jc w:val="both"/>
      </w:pPr>
    </w:p>
    <w:p w14:paraId="3E490731" w14:textId="77777777" w:rsidR="009F1945" w:rsidRDefault="009F1945" w:rsidP="00464D53">
      <w:pPr>
        <w:pStyle w:val="ListParagraph"/>
        <w:numPr>
          <w:ilvl w:val="0"/>
          <w:numId w:val="15"/>
        </w:numPr>
        <w:jc w:val="both"/>
      </w:pPr>
      <w:r>
        <w:t>Algorithm Inputs: The below fields are required by the SAS code to generate all eight MI factor algorithm options.</w:t>
      </w:r>
    </w:p>
    <w:p w14:paraId="12A5A929" w14:textId="77777777" w:rsidR="009F1945" w:rsidRDefault="009F1945" w:rsidP="009F1945">
      <w:pPr>
        <w:pStyle w:val="ListParagraph"/>
      </w:pPr>
    </w:p>
    <w:p w14:paraId="785752DF" w14:textId="77777777" w:rsidR="009F1945" w:rsidRPr="00677786" w:rsidRDefault="009F1945" w:rsidP="009F1945">
      <w:pPr>
        <w:tabs>
          <w:tab w:val="left" w:pos="4320"/>
          <w:tab w:val="left" w:pos="7920"/>
        </w:tabs>
        <w:ind w:left="720"/>
      </w:pPr>
      <w:r w:rsidRPr="00677786">
        <w:t>Disposition Type</w:t>
      </w:r>
      <w:r>
        <w:tab/>
      </w:r>
      <w:r w:rsidRPr="00677786">
        <w:t>State</w:t>
      </w:r>
      <w:r>
        <w:tab/>
      </w:r>
      <w:r w:rsidRPr="00677786">
        <w:t>UPB</w:t>
      </w:r>
    </w:p>
    <w:p w14:paraId="49133211" w14:textId="77777777" w:rsidR="009F1945" w:rsidRPr="00677786" w:rsidRDefault="009F1945" w:rsidP="009F1945">
      <w:pPr>
        <w:tabs>
          <w:tab w:val="left" w:pos="4320"/>
          <w:tab w:val="left" w:pos="7920"/>
        </w:tabs>
        <w:ind w:left="720"/>
      </w:pPr>
      <w:r w:rsidRPr="00677786">
        <w:t>Sale Proceeds</w:t>
      </w:r>
      <w:r>
        <w:tab/>
      </w:r>
      <w:r w:rsidRPr="00677786">
        <w:t>Property Type</w:t>
      </w:r>
      <w:r>
        <w:tab/>
        <w:t>Urban/</w:t>
      </w:r>
      <w:r w:rsidRPr="00677786">
        <w:t xml:space="preserve">Rural </w:t>
      </w:r>
      <w:r>
        <w:t>Indicator</w:t>
      </w:r>
    </w:p>
    <w:p w14:paraId="0074962A" w14:textId="77777777" w:rsidR="009F1945" w:rsidRPr="00677786" w:rsidRDefault="009F1945" w:rsidP="009F1945">
      <w:pPr>
        <w:tabs>
          <w:tab w:val="left" w:pos="4320"/>
          <w:tab w:val="left" w:pos="7920"/>
        </w:tabs>
        <w:ind w:left="720"/>
      </w:pPr>
      <w:r w:rsidRPr="00677786">
        <w:t>Fixed Costs</w:t>
      </w:r>
      <w:r>
        <w:tab/>
      </w:r>
      <w:r w:rsidRPr="00677786">
        <w:t>Variable Costs</w:t>
      </w:r>
      <w:r>
        <w:tab/>
      </w:r>
      <w:r w:rsidRPr="00677786">
        <w:t>Base Date</w:t>
      </w:r>
    </w:p>
    <w:p w14:paraId="13B17086" w14:textId="77777777" w:rsidR="009F1945" w:rsidRDefault="009F1945" w:rsidP="009F1945">
      <w:pPr>
        <w:tabs>
          <w:tab w:val="left" w:pos="4320"/>
          <w:tab w:val="left" w:pos="7920"/>
        </w:tabs>
        <w:ind w:left="720"/>
      </w:pPr>
      <w:r>
        <w:t>Calculated Timeline</w:t>
      </w:r>
      <w:r>
        <w:tab/>
        <w:t>Allowable Timeline</w:t>
      </w:r>
      <w:r>
        <w:tab/>
        <w:t>Allowable Delays</w:t>
      </w:r>
    </w:p>
    <w:p w14:paraId="19367F0D" w14:textId="77777777" w:rsidR="009F1945" w:rsidRPr="00677786" w:rsidRDefault="009F1945" w:rsidP="009F1945">
      <w:pPr>
        <w:tabs>
          <w:tab w:val="left" w:pos="4320"/>
          <w:tab w:val="left" w:pos="7920"/>
        </w:tabs>
        <w:ind w:left="720"/>
      </w:pPr>
      <w:r w:rsidRPr="00677786">
        <w:t>Population Indictor</w:t>
      </w:r>
      <w:r>
        <w:tab/>
      </w:r>
      <w:r w:rsidRPr="00677786">
        <w:t>Post Guidelines Date</w:t>
      </w:r>
    </w:p>
    <w:p w14:paraId="5AB4E7CE" w14:textId="77777777" w:rsidR="009F1945" w:rsidRDefault="009F1945" w:rsidP="009F1945"/>
    <w:p w14:paraId="692DB65E" w14:textId="77777777" w:rsidR="009F1945" w:rsidRDefault="009F1945" w:rsidP="00464D53">
      <w:pPr>
        <w:pStyle w:val="ListParagraph"/>
        <w:numPr>
          <w:ilvl w:val="0"/>
          <w:numId w:val="15"/>
        </w:numPr>
        <w:jc w:val="both"/>
      </w:pPr>
      <w:r>
        <w:t>Claim Amount Inputs:  The below fields are also required to calculate the MI claim amount.</w:t>
      </w:r>
    </w:p>
    <w:p w14:paraId="19BA254B" w14:textId="77777777" w:rsidR="009F1945" w:rsidRDefault="009F1945" w:rsidP="009F1945">
      <w:pPr>
        <w:pStyle w:val="ListParagraph"/>
      </w:pPr>
    </w:p>
    <w:p w14:paraId="15356C5D" w14:textId="55C4F4E9" w:rsidR="009F1945" w:rsidRPr="00677786" w:rsidRDefault="009F1945" w:rsidP="009F1945">
      <w:pPr>
        <w:tabs>
          <w:tab w:val="left" w:pos="4320"/>
          <w:tab w:val="left" w:pos="7920"/>
        </w:tabs>
        <w:ind w:left="720"/>
      </w:pPr>
      <w:r w:rsidRPr="00677786">
        <w:lastRenderedPageBreak/>
        <w:t>UPB</w:t>
      </w:r>
      <w:r>
        <w:tab/>
      </w:r>
      <w:r w:rsidR="004F4095">
        <w:t>Note R</w:t>
      </w:r>
      <w:r w:rsidR="004F4095" w:rsidRPr="00677786">
        <w:t>ate</w:t>
      </w:r>
      <w:r>
        <w:tab/>
      </w:r>
      <w:r w:rsidRPr="00677786">
        <w:t>Liquidation Date</w:t>
      </w:r>
    </w:p>
    <w:p w14:paraId="3D8AF584" w14:textId="77777777" w:rsidR="009F1945" w:rsidRPr="00677786" w:rsidRDefault="009F1945" w:rsidP="009F1945">
      <w:pPr>
        <w:tabs>
          <w:tab w:val="left" w:pos="4320"/>
          <w:tab w:val="left" w:pos="7920"/>
        </w:tabs>
        <w:ind w:left="720"/>
      </w:pPr>
      <w:r>
        <w:t>LPI Date</w:t>
      </w:r>
      <w:r>
        <w:tab/>
      </w:r>
      <w:r w:rsidRPr="00677786">
        <w:t>Allowable Time</w:t>
      </w:r>
      <w:r>
        <w:t>line</w:t>
      </w:r>
      <w:r>
        <w:tab/>
      </w:r>
      <w:r w:rsidRPr="00677786">
        <w:t>Allowable Delay</w:t>
      </w:r>
      <w:r>
        <w:t>s</w:t>
      </w:r>
    </w:p>
    <w:p w14:paraId="16F9989B" w14:textId="77777777" w:rsidR="009F1945" w:rsidRPr="00677786" w:rsidRDefault="009F1945" w:rsidP="009F1945">
      <w:pPr>
        <w:tabs>
          <w:tab w:val="left" w:pos="4320"/>
          <w:tab w:val="left" w:pos="7920"/>
        </w:tabs>
        <w:ind w:left="720"/>
      </w:pPr>
      <w:r w:rsidRPr="00677786">
        <w:t>Algorithm Inputs (above)</w:t>
      </w:r>
    </w:p>
    <w:p w14:paraId="00602903" w14:textId="77777777" w:rsidR="009F1945" w:rsidRDefault="009F1945" w:rsidP="009F1945">
      <w:pPr>
        <w:pStyle w:val="ListParagraph"/>
      </w:pPr>
    </w:p>
    <w:p w14:paraId="0411FC22" w14:textId="77777777" w:rsidR="009F1945" w:rsidRDefault="009F1945" w:rsidP="00464D53">
      <w:pPr>
        <w:pStyle w:val="ListParagraph"/>
        <w:numPr>
          <w:ilvl w:val="0"/>
          <w:numId w:val="15"/>
        </w:numPr>
        <w:jc w:val="both"/>
      </w:pPr>
      <w:r>
        <w:t>Expected Claim Payment Inputs:  In addition to the claim amount inputs listed above, the MI coverage percent is needed as an input for the expected claim payment.</w:t>
      </w:r>
    </w:p>
    <w:p w14:paraId="410265FE" w14:textId="77777777" w:rsidR="009F1945" w:rsidRDefault="009F1945" w:rsidP="00464D53">
      <w:pPr>
        <w:pStyle w:val="ListParagraph"/>
        <w:jc w:val="both"/>
      </w:pPr>
    </w:p>
    <w:p w14:paraId="140F879F" w14:textId="77777777" w:rsidR="009F1945" w:rsidRDefault="009F1945" w:rsidP="00464D53">
      <w:pPr>
        <w:pStyle w:val="ListParagraph"/>
        <w:numPr>
          <w:ilvl w:val="0"/>
          <w:numId w:val="15"/>
        </w:numPr>
        <w:jc w:val="both"/>
      </w:pPr>
      <w:r>
        <w:t>Key Indicators:  There are two key indicators that do not fall into one of the prior categories:  MI indicator and diagnostics flag.</w:t>
      </w:r>
    </w:p>
    <w:p w14:paraId="32D290E4" w14:textId="77777777" w:rsidR="009F1945" w:rsidRDefault="009F1945" w:rsidP="00464D53">
      <w:pPr>
        <w:jc w:val="both"/>
      </w:pPr>
    </w:p>
    <w:p w14:paraId="530D4229" w14:textId="77777777" w:rsidR="009F1945" w:rsidRPr="00D32B13" w:rsidRDefault="009F1945" w:rsidP="00464D53">
      <w:pPr>
        <w:pStyle w:val="ListParagraph"/>
        <w:numPr>
          <w:ilvl w:val="1"/>
          <w:numId w:val="15"/>
        </w:numPr>
        <w:jc w:val="both"/>
      </w:pPr>
      <w:r>
        <w:t xml:space="preserve">MI </w:t>
      </w:r>
      <w:r w:rsidRPr="0005406E">
        <w:t>Ind</w:t>
      </w:r>
      <w:r>
        <w:t>icator</w:t>
      </w:r>
      <w:r w:rsidRPr="00677786">
        <w:t>:</w:t>
      </w:r>
      <w:r>
        <w:t xml:space="preserve"> </w:t>
      </w:r>
      <w:r w:rsidRPr="00677786">
        <w:t xml:space="preserve"> This field indicates whether or not the loan </w:t>
      </w:r>
      <w:r>
        <w:t xml:space="preserve">is covered by an </w:t>
      </w:r>
      <w:r w:rsidRPr="00677786">
        <w:t xml:space="preserve">MI </w:t>
      </w:r>
      <w:r>
        <w:t xml:space="preserve">policy </w:t>
      </w:r>
      <w:r w:rsidRPr="00677786">
        <w:t xml:space="preserve">at </w:t>
      </w:r>
      <w:r>
        <w:t xml:space="preserve">the </w:t>
      </w:r>
      <w:r w:rsidRPr="00677786">
        <w:t xml:space="preserve">time of </w:t>
      </w:r>
      <w:r>
        <w:t xml:space="preserve">mortgage default, excluding loans </w:t>
      </w:r>
      <w:r w:rsidRPr="00D32B13">
        <w:t xml:space="preserve">under a </w:t>
      </w:r>
      <w:r w:rsidRPr="00354A7D">
        <w:t>Delayed Payment Option (DPO) contract</w:t>
      </w:r>
      <w:r w:rsidRPr="00D32B13">
        <w:t>.</w:t>
      </w:r>
      <w:r>
        <w:t xml:space="preserve">  An allowable value of “1” means that the loan is covered by an MI policy; a value of “0” means that the loan is not MI covered.</w:t>
      </w:r>
    </w:p>
    <w:p w14:paraId="3EAFF5BD" w14:textId="77777777" w:rsidR="009F1945" w:rsidRPr="00D32B13" w:rsidRDefault="009F1945" w:rsidP="00464D53">
      <w:pPr>
        <w:pStyle w:val="ListParagraph"/>
        <w:ind w:left="1440"/>
        <w:jc w:val="both"/>
      </w:pPr>
    </w:p>
    <w:p w14:paraId="7F731B23" w14:textId="77777777" w:rsidR="009F1945" w:rsidRPr="00D32B13" w:rsidRDefault="009F1945" w:rsidP="00464D53">
      <w:pPr>
        <w:pStyle w:val="ListParagraph"/>
        <w:numPr>
          <w:ilvl w:val="1"/>
          <w:numId w:val="15"/>
        </w:numPr>
        <w:jc w:val="both"/>
      </w:pPr>
      <w:r>
        <w:t xml:space="preserve">Diagnostics </w:t>
      </w:r>
      <w:r w:rsidRPr="0005406E">
        <w:t>Flag</w:t>
      </w:r>
      <w:r w:rsidRPr="00D32B13">
        <w:t xml:space="preserve">: </w:t>
      </w:r>
      <w:r>
        <w:t xml:space="preserve"> </w:t>
      </w:r>
      <w:r w:rsidRPr="00D32B13">
        <w:t>This flag was desig</w:t>
      </w:r>
      <w:r>
        <w:t xml:space="preserve">ned to simplify the process of </w:t>
      </w:r>
      <w:r w:rsidRPr="00D32B13">
        <w:t xml:space="preserve">evaluating </w:t>
      </w:r>
      <w:r>
        <w:t>algorithm performance.  L</w:t>
      </w:r>
      <w:r w:rsidRPr="00D32B13">
        <w:t>oan</w:t>
      </w:r>
      <w:r>
        <w:t>s with an</w:t>
      </w:r>
      <w:r w:rsidRPr="00D32B13">
        <w:t xml:space="preserve"> </w:t>
      </w:r>
      <w:r>
        <w:t>allowable value of “</w:t>
      </w:r>
      <w:r w:rsidRPr="00D32B13">
        <w:t>1</w:t>
      </w:r>
      <w:r>
        <w:t xml:space="preserve">” should be included when calculating algorithm </w:t>
      </w:r>
      <w:r w:rsidRPr="00D32B13">
        <w:t>performance</w:t>
      </w:r>
      <w:r>
        <w:t xml:space="preserve"> metrics, and loans with a value of “0” should not</w:t>
      </w:r>
      <w:r w:rsidRPr="00D32B13">
        <w:t xml:space="preserve">. </w:t>
      </w:r>
      <w:r>
        <w:t xml:space="preserve"> A value of “1” indicates that the loan has the following characteristics.</w:t>
      </w:r>
    </w:p>
    <w:p w14:paraId="7DE518DA" w14:textId="77777777" w:rsidR="009F1945" w:rsidRPr="00D32B13" w:rsidRDefault="009F1945" w:rsidP="009F1945"/>
    <w:p w14:paraId="58F76F3C" w14:textId="77777777" w:rsidR="009F1945" w:rsidRDefault="009F1945" w:rsidP="009F1945">
      <w:pPr>
        <w:pStyle w:val="ListParagraph"/>
        <w:numPr>
          <w:ilvl w:val="2"/>
          <w:numId w:val="15"/>
        </w:numPr>
      </w:pPr>
      <w:r w:rsidRPr="00677786">
        <w:t>Population Indictor</w:t>
      </w:r>
      <w:r>
        <w:t xml:space="preserve"> </w:t>
      </w:r>
      <w:r w:rsidRPr="00165194">
        <w:t xml:space="preserve">= </w:t>
      </w:r>
      <w:r>
        <w:t>Test Population</w:t>
      </w:r>
    </w:p>
    <w:p w14:paraId="27733D5F" w14:textId="77777777" w:rsidR="009F1945" w:rsidRDefault="009F1945" w:rsidP="009F1945">
      <w:pPr>
        <w:pStyle w:val="ListParagraph"/>
        <w:ind w:left="2160"/>
      </w:pPr>
    </w:p>
    <w:p w14:paraId="0B06208F" w14:textId="77777777" w:rsidR="009F1945" w:rsidRDefault="009F1945" w:rsidP="009F1945">
      <w:pPr>
        <w:pStyle w:val="ListParagraph"/>
        <w:numPr>
          <w:ilvl w:val="2"/>
          <w:numId w:val="15"/>
        </w:numPr>
      </w:pPr>
      <w:r>
        <w:t xml:space="preserve">MI </w:t>
      </w:r>
      <w:r w:rsidRPr="0005406E">
        <w:t>Ind</w:t>
      </w:r>
      <w:r>
        <w:t>icator = 1</w:t>
      </w:r>
    </w:p>
    <w:p w14:paraId="051BC686" w14:textId="77777777" w:rsidR="009F1945" w:rsidRDefault="009F1945" w:rsidP="009F1945">
      <w:pPr>
        <w:pStyle w:val="ListParagraph"/>
        <w:ind w:left="2160"/>
      </w:pPr>
    </w:p>
    <w:p w14:paraId="159BBB7A" w14:textId="77777777" w:rsidR="009F1945" w:rsidRPr="00D32B13" w:rsidRDefault="009F1945" w:rsidP="009F1945">
      <w:pPr>
        <w:pStyle w:val="ListParagraph"/>
        <w:numPr>
          <w:ilvl w:val="2"/>
          <w:numId w:val="15"/>
        </w:numPr>
      </w:pPr>
      <w:r w:rsidRPr="009D76D4">
        <w:t>Actual MI Proceeds</w:t>
      </w:r>
      <w:r>
        <w:t xml:space="preserve"> </w:t>
      </w:r>
      <w:r w:rsidRPr="00D32B13">
        <w:t>&gt; 0</w:t>
      </w:r>
    </w:p>
    <w:p w14:paraId="12740506" w14:textId="77777777" w:rsidR="009F1945" w:rsidRDefault="009F1945" w:rsidP="009F1945">
      <w:pPr>
        <w:pStyle w:val="ListParagraph"/>
        <w:ind w:left="2160"/>
      </w:pPr>
    </w:p>
    <w:p w14:paraId="07F17885" w14:textId="77777777" w:rsidR="009F1945" w:rsidRPr="00D32B13" w:rsidRDefault="009F1945" w:rsidP="009F1945">
      <w:pPr>
        <w:pStyle w:val="ListParagraph"/>
        <w:numPr>
          <w:ilvl w:val="2"/>
          <w:numId w:val="15"/>
        </w:numPr>
      </w:pPr>
      <w:r>
        <w:t xml:space="preserve">1 ≤ </w:t>
      </w:r>
      <w:r w:rsidRPr="00D32B13">
        <w:t xml:space="preserve">MI Coverage Percent </w:t>
      </w:r>
      <w:r>
        <w:t>≤</w:t>
      </w:r>
      <w:r w:rsidRPr="00D32B13">
        <w:t xml:space="preserve"> 40</w:t>
      </w:r>
    </w:p>
    <w:p w14:paraId="55A948C7" w14:textId="77777777" w:rsidR="009F1945" w:rsidRPr="00B41D40" w:rsidRDefault="009F1945" w:rsidP="009F1945">
      <w:pPr>
        <w:pStyle w:val="ListParagraph"/>
        <w:ind w:left="2160"/>
      </w:pPr>
    </w:p>
    <w:p w14:paraId="5A59D88D" w14:textId="51667E22" w:rsidR="009F1945" w:rsidRPr="00B41D40" w:rsidRDefault="009F1945" w:rsidP="009F1945">
      <w:pPr>
        <w:pStyle w:val="ListParagraph"/>
        <w:numPr>
          <w:ilvl w:val="2"/>
          <w:numId w:val="15"/>
        </w:numPr>
      </w:pPr>
      <w:r w:rsidRPr="00B41D40">
        <w:t>Not Settled as</w:t>
      </w:r>
      <w:r w:rsidR="00B41D40" w:rsidRPr="00B41D40">
        <w:t xml:space="preserve"> a Presale with Influence</w:t>
      </w:r>
    </w:p>
    <w:p w14:paraId="43D58665" w14:textId="77777777" w:rsidR="009F1945" w:rsidRPr="00B41D40" w:rsidRDefault="009F1945" w:rsidP="009F1945"/>
    <w:p w14:paraId="71919D1E" w14:textId="77777777" w:rsidR="009F1945" w:rsidRDefault="009F1945" w:rsidP="009F1945">
      <w:pPr>
        <w:rPr>
          <w:rFonts w:ascii="Arial" w:hAnsi="Arial" w:cs="Arial"/>
          <w:b/>
        </w:rPr>
      </w:pPr>
      <w:r w:rsidRPr="00B41D40">
        <w:rPr>
          <w:rFonts w:ascii="Arial" w:hAnsi="Arial" w:cs="Arial"/>
          <w:b/>
        </w:rPr>
        <w:t>SAS CODE</w:t>
      </w:r>
    </w:p>
    <w:p w14:paraId="7A456C39" w14:textId="77777777" w:rsidR="009F1945" w:rsidRPr="002B1259" w:rsidRDefault="009F1945" w:rsidP="009F1945">
      <w:pPr>
        <w:rPr>
          <w:rFonts w:ascii="Arial" w:hAnsi="Arial" w:cs="Arial"/>
          <w:b/>
        </w:rPr>
      </w:pPr>
    </w:p>
    <w:p w14:paraId="5455CF4D" w14:textId="2DA7D174" w:rsidR="009F1945" w:rsidRDefault="008C2143" w:rsidP="00464D53">
      <w:pPr>
        <w:jc w:val="both"/>
      </w:pPr>
      <w:r>
        <w:t xml:space="preserve">We leveraged SAS, a statistical and data processing suite of software, in order to research the proposals in this document.  A streamlined set of this </w:t>
      </w:r>
      <w:r w:rsidR="009F1945" w:rsidRPr="009F68F6">
        <w:t xml:space="preserve">SAS code, </w:t>
      </w:r>
      <w:proofErr w:type="spellStart"/>
      <w:r w:rsidR="009F68F6" w:rsidRPr="009F68F6">
        <w:t>MI_Factor_</w:t>
      </w:r>
      <w:proofErr w:type="gramStart"/>
      <w:r w:rsidR="009F68F6" w:rsidRPr="009F68F6">
        <w:t>Algorithm</w:t>
      </w:r>
      <w:r w:rsidR="009F1945" w:rsidRPr="009F68F6">
        <w:t>.sas</w:t>
      </w:r>
      <w:proofErr w:type="spellEnd"/>
      <w:r w:rsidR="009F1945" w:rsidRPr="009F68F6">
        <w:t>,</w:t>
      </w:r>
      <w:r w:rsidR="000322E8" w:rsidRPr="009F68F6">
        <w:t xml:space="preserve"> that</w:t>
      </w:r>
      <w:proofErr w:type="gramEnd"/>
      <w:r w:rsidR="000322E8">
        <w:t xml:space="preserve"> was</w:t>
      </w:r>
      <w:r w:rsidR="009F1945">
        <w:t xml:space="preserve"> used to create the recommend MI factor algorithm is also provided as part of the proof of concept.</w:t>
      </w:r>
    </w:p>
    <w:p w14:paraId="7AFE9BE7" w14:textId="77777777" w:rsidR="009F1945" w:rsidRDefault="009F1945" w:rsidP="00464D53">
      <w:pPr>
        <w:jc w:val="both"/>
      </w:pPr>
    </w:p>
    <w:p w14:paraId="14AFF271" w14:textId="4F5CEB04" w:rsidR="009F1945" w:rsidRPr="00276D95" w:rsidRDefault="009F1945" w:rsidP="00464D53">
      <w:pPr>
        <w:jc w:val="both"/>
      </w:pPr>
      <w:r>
        <w:t xml:space="preserve">After reading in the </w:t>
      </w:r>
      <w:r w:rsidR="008C2143">
        <w:t xml:space="preserve">provided </w:t>
      </w:r>
      <w:r>
        <w:t xml:space="preserve">input data, the code performs the algorithm analysis.  The following bullets provide a high level breakdown of the </w:t>
      </w:r>
      <w:r w:rsidRPr="00276D95">
        <w:t>main analytical portions of the SAS code.</w:t>
      </w:r>
    </w:p>
    <w:p w14:paraId="3CF4A6E7" w14:textId="77777777" w:rsidR="009F1945" w:rsidRPr="00276D95" w:rsidRDefault="009F1945" w:rsidP="00464D53">
      <w:pPr>
        <w:jc w:val="both"/>
      </w:pPr>
    </w:p>
    <w:p w14:paraId="10B3BB32" w14:textId="77777777" w:rsidR="009F1945" w:rsidRPr="00276D95" w:rsidRDefault="009F1945" w:rsidP="00464D53">
      <w:pPr>
        <w:pStyle w:val="ListParagraph"/>
        <w:numPr>
          <w:ilvl w:val="0"/>
          <w:numId w:val="43"/>
        </w:numPr>
        <w:jc w:val="both"/>
      </w:pPr>
      <w:r w:rsidRPr="00276D95">
        <w:t xml:space="preserve">Statistically Driven State Clustering: </w:t>
      </w:r>
      <w:r>
        <w:t xml:space="preserve"> </w:t>
      </w:r>
      <w:r w:rsidRPr="00276D95">
        <w:t xml:space="preserve">This portion of the code uses the cost characteristics of states to group similar states into clusters. </w:t>
      </w:r>
      <w:r>
        <w:t xml:space="preserve"> Clustering is used </w:t>
      </w:r>
      <w:r w:rsidRPr="00276D95">
        <w:t xml:space="preserve">to decrease the number of grid dimensions needed while having a </w:t>
      </w:r>
      <w:r>
        <w:t xml:space="preserve">minimal reduction in </w:t>
      </w:r>
      <w:r w:rsidRPr="00276D95">
        <w:t>algorithm performance.</w:t>
      </w:r>
      <w:r>
        <w:t xml:space="preserve">  </w:t>
      </w:r>
      <w:r w:rsidRPr="00276D95">
        <w:t xml:space="preserve">Additionally, this process is setup to automatically update every year without </w:t>
      </w:r>
      <w:r>
        <w:t>judgment-</w:t>
      </w:r>
      <w:r w:rsidRPr="00276D95">
        <w:t>based interference.</w:t>
      </w:r>
    </w:p>
    <w:p w14:paraId="5A212762" w14:textId="77777777" w:rsidR="009F1945" w:rsidRPr="00276D95" w:rsidRDefault="009F1945" w:rsidP="00464D53">
      <w:pPr>
        <w:pStyle w:val="ListParagraph"/>
        <w:jc w:val="both"/>
      </w:pPr>
    </w:p>
    <w:p w14:paraId="44F0B99C" w14:textId="77777777" w:rsidR="009F1945" w:rsidRPr="00276D95" w:rsidRDefault="009F1945" w:rsidP="00464D53">
      <w:pPr>
        <w:pStyle w:val="ListParagraph"/>
        <w:numPr>
          <w:ilvl w:val="0"/>
          <w:numId w:val="43"/>
        </w:numPr>
        <w:jc w:val="both"/>
      </w:pPr>
      <w:r w:rsidRPr="00276D95">
        <w:lastRenderedPageBreak/>
        <w:t xml:space="preserve">Statistically Driven Value Bucket: </w:t>
      </w:r>
      <w:r>
        <w:t xml:space="preserve"> </w:t>
      </w:r>
      <w:r w:rsidRPr="00276D95">
        <w:t xml:space="preserve">This portion of the code uses the mean and standard deviation of the value bucket to group values after accounting for the disposition type bucket. This process is setup to automatically update every year without </w:t>
      </w:r>
      <w:r>
        <w:t>judgment-</w:t>
      </w:r>
      <w:r w:rsidRPr="00276D95">
        <w:t>based interference.</w:t>
      </w:r>
    </w:p>
    <w:p w14:paraId="620D7BCC" w14:textId="77777777" w:rsidR="009F1945" w:rsidRPr="00276D95" w:rsidRDefault="009F1945" w:rsidP="00464D53">
      <w:pPr>
        <w:jc w:val="both"/>
      </w:pPr>
    </w:p>
    <w:p w14:paraId="3A53310E" w14:textId="77777777" w:rsidR="009F1945" w:rsidRPr="00276D95" w:rsidRDefault="009F1945" w:rsidP="00464D53">
      <w:pPr>
        <w:pStyle w:val="ListParagraph"/>
        <w:numPr>
          <w:ilvl w:val="0"/>
          <w:numId w:val="43"/>
        </w:numPr>
        <w:jc w:val="both"/>
      </w:pPr>
      <w:r w:rsidRPr="00276D95">
        <w:t>Calculation of Cost Components</w:t>
      </w:r>
      <w:r>
        <w:t xml:space="preserve">: This portion of the code calculates the average fixed costs and variables costs per day for every combination of the loan characteristics. </w:t>
      </w:r>
    </w:p>
    <w:p w14:paraId="248DA7CD" w14:textId="77777777" w:rsidR="009F1945" w:rsidRPr="00276D95" w:rsidRDefault="009F1945" w:rsidP="00464D53">
      <w:pPr>
        <w:jc w:val="both"/>
      </w:pPr>
    </w:p>
    <w:p w14:paraId="696B2269" w14:textId="3BDF7A7F" w:rsidR="009F1945" w:rsidRPr="00276D95" w:rsidRDefault="004A797D" w:rsidP="00464D53">
      <w:pPr>
        <w:pStyle w:val="ListParagraph"/>
        <w:numPr>
          <w:ilvl w:val="0"/>
          <w:numId w:val="43"/>
        </w:numPr>
        <w:jc w:val="both"/>
      </w:pPr>
      <w:r>
        <w:t>R</w:t>
      </w:r>
      <w:r w:rsidR="009E2A2B">
        <w:t>oll-U</w:t>
      </w:r>
      <w:r>
        <w:t>p</w:t>
      </w:r>
      <w:r w:rsidR="009F1945" w:rsidRPr="00276D95">
        <w:t xml:space="preserve"> Type</w:t>
      </w:r>
      <w:r w:rsidR="009F1945">
        <w:t xml:space="preserve">: This portion of the code evaluates whether or not there is the sufficient loan coverage of 30 </w:t>
      </w:r>
      <w:r w:rsidR="00831F49">
        <w:t>observations</w:t>
      </w:r>
      <w:r w:rsidR="009F1945">
        <w:t xml:space="preserve"> within each bucket of the MI Factor grid. If there is not enough coverage, then the next highest level of the grid is used.</w:t>
      </w:r>
    </w:p>
    <w:p w14:paraId="4E140629" w14:textId="77777777" w:rsidR="009F1945" w:rsidRPr="00276D95" w:rsidRDefault="009F1945" w:rsidP="00464D53">
      <w:pPr>
        <w:jc w:val="both"/>
      </w:pPr>
    </w:p>
    <w:p w14:paraId="713D41F0" w14:textId="6EA4712C" w:rsidR="009F1945" w:rsidRPr="00276D95" w:rsidRDefault="009F1945" w:rsidP="00464D53">
      <w:pPr>
        <w:pStyle w:val="ListParagraph"/>
        <w:numPr>
          <w:ilvl w:val="0"/>
          <w:numId w:val="43"/>
        </w:numPr>
        <w:jc w:val="both"/>
      </w:pPr>
      <w:r w:rsidRPr="00276D95">
        <w:t>Calculation of Estimated Foreclosure Cost and Claim Proceeds</w:t>
      </w:r>
      <w:r>
        <w:t xml:space="preserve">: This portion of the code calculates the estimated foreclosure cost and claim proceeds for every loan. This is calculated by applying the correct </w:t>
      </w:r>
      <w:r w:rsidR="004A797D">
        <w:t>roll-up</w:t>
      </w:r>
      <w:r>
        <w:t xml:space="preserve"> type and cost components at the loan level.</w:t>
      </w:r>
    </w:p>
    <w:p w14:paraId="5617755E" w14:textId="77777777" w:rsidR="009F1945" w:rsidRPr="00AB07E7" w:rsidRDefault="009F1945" w:rsidP="009F1945"/>
    <w:p w14:paraId="5CFE879D" w14:textId="77777777" w:rsidR="009F1945" w:rsidRPr="00AB07E7" w:rsidRDefault="009F1945" w:rsidP="009F1945">
      <w:pPr>
        <w:rPr>
          <w:rFonts w:ascii="Arial" w:hAnsi="Arial" w:cs="Arial"/>
          <w:b/>
        </w:rPr>
      </w:pPr>
      <w:r>
        <w:rPr>
          <w:rFonts w:ascii="Arial" w:hAnsi="Arial" w:cs="Arial"/>
          <w:b/>
        </w:rPr>
        <w:t>OUTPUTS</w:t>
      </w:r>
    </w:p>
    <w:p w14:paraId="2BA58487" w14:textId="77777777" w:rsidR="009F1945" w:rsidRPr="00276D95" w:rsidRDefault="009F1945" w:rsidP="009F1945">
      <w:pPr>
        <w:rPr>
          <w:u w:val="single"/>
        </w:rPr>
      </w:pPr>
    </w:p>
    <w:p w14:paraId="07D9F781" w14:textId="57594B1B" w:rsidR="009F1945" w:rsidRDefault="009F1945" w:rsidP="00464D53">
      <w:pPr>
        <w:jc w:val="both"/>
      </w:pPr>
      <w:r w:rsidRPr="00276D95">
        <w:t>The code output</w:t>
      </w:r>
      <w:r>
        <w:t>s</w:t>
      </w:r>
      <w:r w:rsidRPr="00276D95">
        <w:t xml:space="preserve"> several</w:t>
      </w:r>
      <w:r>
        <w:t xml:space="preserve"> .csv and .pdf files that contain the algorithm outputs and performance metrics.  Each MI factor algorithm option has its own set of .csv and .pdf files.  The algorithm output data and MI Factor grids are provided as </w:t>
      </w:r>
      <w:r w:rsidRPr="006A2131">
        <w:t>.csv files.</w:t>
      </w:r>
      <w:r>
        <w:t xml:space="preserve">  The .pdf files contain the algorithm performance </w:t>
      </w:r>
      <w:r w:rsidRPr="00AB07E7">
        <w:t>metrics</w:t>
      </w:r>
      <w:r>
        <w:t xml:space="preserve">.  These metric files are not provided as part of the proof of concept package since all </w:t>
      </w:r>
      <w:r w:rsidRPr="00AB07E7">
        <w:t xml:space="preserve">of the important metrics are </w:t>
      </w:r>
      <w:r>
        <w:t xml:space="preserve">included in this paper.  Should the </w:t>
      </w:r>
      <w:r w:rsidR="009F68F6">
        <w:t>algorithm metric</w:t>
      </w:r>
      <w:r>
        <w:t xml:space="preserve"> files be desired, the SAS code may be used to create them.</w:t>
      </w:r>
    </w:p>
    <w:p w14:paraId="4FF8B5C7" w14:textId="77777777" w:rsidR="009F1945" w:rsidRDefault="009F1945" w:rsidP="009F1945"/>
    <w:p w14:paraId="136269B0" w14:textId="77777777" w:rsidR="009F1945" w:rsidRPr="00457CA4" w:rsidRDefault="009F1945" w:rsidP="009F1945">
      <w:pPr>
        <w:rPr>
          <w:u w:val="single"/>
        </w:rPr>
      </w:pPr>
      <w:r w:rsidRPr="00457CA4">
        <w:rPr>
          <w:u w:val="single"/>
        </w:rPr>
        <w:t>Algorithm Performance Metric Files</w:t>
      </w:r>
    </w:p>
    <w:p w14:paraId="41F162A2" w14:textId="3A4DB66C" w:rsidR="009F1945" w:rsidRDefault="009F1945" w:rsidP="00464D53">
      <w:pPr>
        <w:jc w:val="both"/>
      </w:pPr>
      <w:r w:rsidRPr="000D193D">
        <w:t>These</w:t>
      </w:r>
      <w:r>
        <w:t xml:space="preserve"> .pdf files contain the algorithm performance metrics used to analyze the algorithm options.  They are not provided as part of the proof of concept but can be created using the SAS code provided.</w:t>
      </w:r>
    </w:p>
    <w:p w14:paraId="6461AF86" w14:textId="77777777" w:rsidR="009F1945" w:rsidRDefault="009F1945" w:rsidP="009F1945"/>
    <w:p w14:paraId="12979D3F" w14:textId="77777777" w:rsidR="009F1945" w:rsidRPr="000E4B49" w:rsidRDefault="009F1945" w:rsidP="009F1945">
      <w:pPr>
        <w:rPr>
          <w:u w:val="single"/>
        </w:rPr>
      </w:pPr>
      <w:r>
        <w:rPr>
          <w:u w:val="single"/>
        </w:rPr>
        <w:t>Proof of Concept Output Files</w:t>
      </w:r>
    </w:p>
    <w:p w14:paraId="5D782D23" w14:textId="7868C05D" w:rsidR="009F1945" w:rsidRPr="00AB07E7" w:rsidRDefault="009F1945" w:rsidP="00464D53">
      <w:pPr>
        <w:jc w:val="both"/>
      </w:pPr>
      <w:r>
        <w:t xml:space="preserve">There are </w:t>
      </w:r>
      <w:r w:rsidR="00E62488">
        <w:t>three</w:t>
      </w:r>
      <w:r>
        <w:t xml:space="preserve"> kinds of output </w:t>
      </w:r>
      <w:r w:rsidRPr="00AB07E7">
        <w:t>file</w:t>
      </w:r>
      <w:r>
        <w:t>s provided as part of the proof of concept, the</w:t>
      </w:r>
      <w:r w:rsidR="00E62488">
        <w:t xml:space="preserve"> state cluster statistics, the</w:t>
      </w:r>
      <w:r>
        <w:t xml:space="preserve"> algorithm output data file</w:t>
      </w:r>
      <w:r w:rsidR="00E62488">
        <w:t>s,</w:t>
      </w:r>
      <w:r>
        <w:t xml:space="preserve"> and the MI Factor grid</w:t>
      </w:r>
      <w:r w:rsidR="00E62488">
        <w:t>s</w:t>
      </w:r>
      <w:r>
        <w:t xml:space="preserve">.  </w:t>
      </w:r>
      <w:r w:rsidR="00E62488">
        <w:t>The output data and the grid</w:t>
      </w:r>
      <w:r>
        <w:t xml:space="preserve"> files </w:t>
      </w:r>
      <w:r w:rsidRPr="00AB07E7">
        <w:t xml:space="preserve">are provided for each </w:t>
      </w:r>
      <w:r>
        <w:t xml:space="preserve">of the eight </w:t>
      </w:r>
      <w:r w:rsidRPr="00AB07E7">
        <w:t>algorithm option</w:t>
      </w:r>
      <w:r w:rsidR="00E62488">
        <w:t>s making 17</w:t>
      </w:r>
      <w:r>
        <w:t xml:space="preserve"> output files in total</w:t>
      </w:r>
      <w:r w:rsidRPr="00AB07E7">
        <w:t>.</w:t>
      </w:r>
    </w:p>
    <w:p w14:paraId="7E57D8BB" w14:textId="77777777" w:rsidR="00F907CB" w:rsidRDefault="00F907CB" w:rsidP="00F907CB"/>
    <w:p w14:paraId="0B226E1B" w14:textId="77777777" w:rsidR="00F907CB" w:rsidRPr="00AB07E7" w:rsidRDefault="00F907CB" w:rsidP="00464D53">
      <w:pPr>
        <w:pStyle w:val="ListParagraph"/>
        <w:numPr>
          <w:ilvl w:val="0"/>
          <w:numId w:val="15"/>
        </w:numPr>
        <w:jc w:val="both"/>
      </w:pPr>
      <w:r>
        <w:t>State Cluster Statistics</w:t>
      </w:r>
      <w:r w:rsidRPr="000D193D">
        <w:t>:  This .</w:t>
      </w:r>
      <w:r>
        <w:t>pdf file contains the analytical output that supports the specific state cluster outcome.</w:t>
      </w:r>
    </w:p>
    <w:p w14:paraId="1FF2645A" w14:textId="77777777" w:rsidR="00F907CB" w:rsidRDefault="00F907CB" w:rsidP="00464D53">
      <w:pPr>
        <w:jc w:val="both"/>
      </w:pPr>
    </w:p>
    <w:p w14:paraId="513D9638" w14:textId="45BD8C67" w:rsidR="009F1945" w:rsidRPr="00AB07E7" w:rsidRDefault="009F1945" w:rsidP="00464D53">
      <w:pPr>
        <w:pStyle w:val="ListParagraph"/>
        <w:numPr>
          <w:ilvl w:val="0"/>
          <w:numId w:val="42"/>
        </w:numPr>
        <w:jc w:val="both"/>
      </w:pPr>
      <w:r>
        <w:t xml:space="preserve">Output Data File:  </w:t>
      </w:r>
      <w:r w:rsidRPr="00AB07E7">
        <w:t>The output data</w:t>
      </w:r>
      <w:r>
        <w:t xml:space="preserve"> file MI_Factor_</w:t>
      </w:r>
      <w:proofErr w:type="gramStart"/>
      <w:r>
        <w:t>Option[</w:t>
      </w:r>
      <w:proofErr w:type="gramEnd"/>
      <w:r>
        <w:t>#]</w:t>
      </w:r>
      <w:r w:rsidRPr="00AB07E7">
        <w:t xml:space="preserve">.csv </w:t>
      </w:r>
      <w:r>
        <w:t xml:space="preserve">includes all of the </w:t>
      </w:r>
      <w:r w:rsidRPr="00AB07E7">
        <w:t xml:space="preserve">fields </w:t>
      </w:r>
      <w:r>
        <w:t>created</w:t>
      </w:r>
      <w:r w:rsidRPr="00AB07E7">
        <w:t xml:space="preserve"> by the SAS code. </w:t>
      </w:r>
      <w:r>
        <w:t xml:space="preserve"> Joining the input </w:t>
      </w:r>
      <w:r w:rsidR="00FB1B58">
        <w:t xml:space="preserve">and </w:t>
      </w:r>
      <w:r>
        <w:t>output data</w:t>
      </w:r>
      <w:r w:rsidRPr="00AB07E7">
        <w:t xml:space="preserve"> provide</w:t>
      </w:r>
      <w:r>
        <w:t>s</w:t>
      </w:r>
      <w:r w:rsidRPr="00AB07E7">
        <w:t xml:space="preserve"> the information needed to evaluate the performance of each algorithm.</w:t>
      </w:r>
      <w:r>
        <w:t xml:space="preserve">  The below fields are included in this file.</w:t>
      </w:r>
    </w:p>
    <w:p w14:paraId="42B8D5CF" w14:textId="77777777" w:rsidR="009F1945" w:rsidRDefault="009F1945" w:rsidP="009F1945">
      <w:pPr>
        <w:ind w:left="720"/>
      </w:pPr>
    </w:p>
    <w:p w14:paraId="47EF3C84" w14:textId="77777777" w:rsidR="009F1945" w:rsidRDefault="009F1945" w:rsidP="009F1945">
      <w:pPr>
        <w:tabs>
          <w:tab w:val="left" w:pos="5760"/>
        </w:tabs>
        <w:ind w:left="720"/>
      </w:pPr>
      <w:r w:rsidRPr="00540886">
        <w:t>Row ID</w:t>
      </w:r>
      <w:r>
        <w:tab/>
      </w:r>
      <w:r w:rsidRPr="00540886">
        <w:t>Property Type</w:t>
      </w:r>
      <w:r>
        <w:tab/>
      </w:r>
      <w:r w:rsidRPr="00540886">
        <w:t>Value</w:t>
      </w:r>
    </w:p>
    <w:p w14:paraId="3FF17762" w14:textId="77777777" w:rsidR="009F1945" w:rsidRDefault="009F1945" w:rsidP="009F1945">
      <w:pPr>
        <w:tabs>
          <w:tab w:val="left" w:pos="5760"/>
        </w:tabs>
        <w:ind w:left="720"/>
      </w:pPr>
      <w:r w:rsidRPr="00540886">
        <w:t>Diagnostics Flag</w:t>
      </w:r>
      <w:r>
        <w:tab/>
      </w:r>
      <w:r w:rsidRPr="00540886">
        <w:t>Value Amount</w:t>
      </w:r>
    </w:p>
    <w:p w14:paraId="2D7DC5DE" w14:textId="77777777" w:rsidR="009F1945" w:rsidRPr="004F4095" w:rsidRDefault="009F1945" w:rsidP="009F1945">
      <w:pPr>
        <w:tabs>
          <w:tab w:val="left" w:pos="5760"/>
        </w:tabs>
        <w:ind w:left="720"/>
      </w:pPr>
      <w:r w:rsidRPr="004F4095">
        <w:t>Liquidation Bucket</w:t>
      </w:r>
      <w:r w:rsidRPr="004F4095">
        <w:tab/>
        <w:t>Geography – State Buckets</w:t>
      </w:r>
    </w:p>
    <w:p w14:paraId="4D1C9244" w14:textId="77777777" w:rsidR="009F1945" w:rsidRPr="004F4095" w:rsidRDefault="009F1945" w:rsidP="009F1945">
      <w:pPr>
        <w:tabs>
          <w:tab w:val="left" w:pos="5760"/>
        </w:tabs>
        <w:ind w:left="720"/>
      </w:pPr>
      <w:r w:rsidRPr="004F4095">
        <w:t>Value Amount – $100K Buckets</w:t>
      </w:r>
      <w:r w:rsidRPr="004F4095">
        <w:tab/>
        <w:t>Property Type</w:t>
      </w:r>
    </w:p>
    <w:p w14:paraId="5C241285" w14:textId="77777777" w:rsidR="009F1945" w:rsidRDefault="009F1945" w:rsidP="009F1945">
      <w:pPr>
        <w:tabs>
          <w:tab w:val="left" w:pos="5760"/>
        </w:tabs>
        <w:ind w:left="720"/>
      </w:pPr>
      <w:r w:rsidRPr="004F4095">
        <w:t>MSA Indicator (Urban/Rural)</w:t>
      </w:r>
      <w:r w:rsidRPr="004F4095">
        <w:tab/>
        <w:t>MSA NA (placeholder)</w:t>
      </w:r>
    </w:p>
    <w:p w14:paraId="6EE74DA8" w14:textId="77777777" w:rsidR="009F1945" w:rsidRDefault="009F1945" w:rsidP="009F1945">
      <w:pPr>
        <w:tabs>
          <w:tab w:val="left" w:pos="5760"/>
        </w:tabs>
        <w:ind w:left="720"/>
      </w:pPr>
      <w:r w:rsidRPr="00540886">
        <w:t>Foreclosure Timeline</w:t>
      </w:r>
      <w:r>
        <w:tab/>
      </w:r>
      <w:r w:rsidRPr="00540886">
        <w:t>Geo</w:t>
      </w:r>
      <w:r>
        <w:t>graphy –</w:t>
      </w:r>
      <w:r w:rsidRPr="00540886">
        <w:t xml:space="preserve"> Cluster</w:t>
      </w:r>
    </w:p>
    <w:p w14:paraId="3A9B21F7" w14:textId="6B63A130" w:rsidR="009F1945" w:rsidRDefault="009F1945" w:rsidP="009F1945">
      <w:pPr>
        <w:tabs>
          <w:tab w:val="left" w:pos="5760"/>
        </w:tabs>
        <w:ind w:left="720"/>
      </w:pPr>
      <w:r w:rsidRPr="00540886">
        <w:lastRenderedPageBreak/>
        <w:t xml:space="preserve">Value Amount </w:t>
      </w:r>
      <w:r>
        <w:t xml:space="preserve">– </w:t>
      </w:r>
      <w:r w:rsidRPr="00540886">
        <w:t>Statistical</w:t>
      </w:r>
      <w:r>
        <w:tab/>
      </w:r>
      <w:r w:rsidR="004A797D">
        <w:t>Roll-up</w:t>
      </w:r>
      <w:r w:rsidRPr="00540886">
        <w:t xml:space="preserve"> Type</w:t>
      </w:r>
    </w:p>
    <w:p w14:paraId="6C72C4FD" w14:textId="77777777" w:rsidR="009F1945" w:rsidRDefault="009F1945" w:rsidP="009F1945">
      <w:pPr>
        <w:tabs>
          <w:tab w:val="left" w:pos="5760"/>
        </w:tabs>
        <w:ind w:left="720"/>
      </w:pPr>
      <w:r w:rsidRPr="00540886">
        <w:t>Actual Foreclosure Cost</w:t>
      </w:r>
      <w:r>
        <w:tab/>
      </w:r>
      <w:r w:rsidRPr="00540886">
        <w:t xml:space="preserve">Actual MI </w:t>
      </w:r>
      <w:r>
        <w:t>Payment</w:t>
      </w:r>
    </w:p>
    <w:p w14:paraId="09FC09F6" w14:textId="77777777" w:rsidR="009F1945" w:rsidRDefault="009F1945" w:rsidP="009F1945">
      <w:pPr>
        <w:tabs>
          <w:tab w:val="left" w:pos="5760"/>
        </w:tabs>
        <w:ind w:left="720"/>
      </w:pPr>
      <w:r>
        <w:t xml:space="preserve">Variable Amount </w:t>
      </w:r>
      <w:proofErr w:type="gramStart"/>
      <w:r>
        <w:t>Per</w:t>
      </w:r>
      <w:proofErr w:type="gramEnd"/>
      <w:r>
        <w:t xml:space="preserve"> </w:t>
      </w:r>
      <w:r w:rsidRPr="00540886">
        <w:t>Day</w:t>
      </w:r>
      <w:r>
        <w:tab/>
        <w:t>Average</w:t>
      </w:r>
      <w:r w:rsidRPr="00540886">
        <w:t xml:space="preserve"> Fixed Amount</w:t>
      </w:r>
    </w:p>
    <w:p w14:paraId="2516D326" w14:textId="77777777" w:rsidR="009F1945" w:rsidRDefault="009F1945" w:rsidP="009F1945">
      <w:pPr>
        <w:tabs>
          <w:tab w:val="left" w:pos="5760"/>
        </w:tabs>
        <w:ind w:left="720"/>
      </w:pPr>
      <w:r>
        <w:t xml:space="preserve">Average Variable Amount </w:t>
      </w:r>
      <w:proofErr w:type="gramStart"/>
      <w:r>
        <w:t>Per</w:t>
      </w:r>
      <w:proofErr w:type="gramEnd"/>
      <w:r>
        <w:t xml:space="preserve"> </w:t>
      </w:r>
      <w:r w:rsidRPr="00540886">
        <w:t>Day</w:t>
      </w:r>
      <w:r>
        <w:tab/>
      </w:r>
      <w:r w:rsidRPr="00540886">
        <w:t>Av</w:t>
      </w:r>
      <w:r>
        <w:t xml:space="preserve">erage </w:t>
      </w:r>
      <w:r w:rsidRPr="00540886">
        <w:t xml:space="preserve">Variable </w:t>
      </w:r>
      <w:r>
        <w:t>Amount Per Day Percent</w:t>
      </w:r>
    </w:p>
    <w:p w14:paraId="77AF15CB" w14:textId="77777777" w:rsidR="009F1945" w:rsidRPr="00540886" w:rsidRDefault="009F1945" w:rsidP="009F1945">
      <w:pPr>
        <w:tabs>
          <w:tab w:val="left" w:pos="5760"/>
        </w:tabs>
        <w:ind w:left="720"/>
      </w:pPr>
      <w:r w:rsidRPr="00540886">
        <w:t>Estimated MI Proceeds</w:t>
      </w:r>
      <w:r>
        <w:tab/>
      </w:r>
      <w:r w:rsidRPr="00540886">
        <w:t>Estimated Foreclosure Costs</w:t>
      </w:r>
    </w:p>
    <w:p w14:paraId="12E40768" w14:textId="77777777" w:rsidR="009F1945" w:rsidRPr="00540886" w:rsidRDefault="009F1945" w:rsidP="009F1945">
      <w:pPr>
        <w:tabs>
          <w:tab w:val="left" w:pos="5760"/>
          <w:tab w:val="left" w:pos="7740"/>
        </w:tabs>
        <w:ind w:left="720"/>
      </w:pPr>
      <w:r w:rsidRPr="00540886">
        <w:t>Estimated Interest</w:t>
      </w:r>
    </w:p>
    <w:p w14:paraId="50FCE198" w14:textId="77777777" w:rsidR="009F1945" w:rsidRDefault="009F1945" w:rsidP="009F1945">
      <w:pPr>
        <w:pStyle w:val="ListParagraph"/>
      </w:pPr>
    </w:p>
    <w:p w14:paraId="106762A2" w14:textId="77777777" w:rsidR="009F1945" w:rsidRDefault="009F1945" w:rsidP="00464D53">
      <w:pPr>
        <w:pStyle w:val="ListParagraph"/>
        <w:numPr>
          <w:ilvl w:val="0"/>
          <w:numId w:val="42"/>
        </w:numPr>
        <w:jc w:val="both"/>
      </w:pPr>
      <w:r w:rsidRPr="005219A3">
        <w:t>MI Factor Grid</w:t>
      </w:r>
      <w:r>
        <w:t xml:space="preserve">:  The </w:t>
      </w:r>
      <w:r w:rsidRPr="00157665">
        <w:t>data file MI_Factor_Grid_Matrix_</w:t>
      </w:r>
      <w:proofErr w:type="gramStart"/>
      <w:r w:rsidRPr="00157665">
        <w:t>Option[</w:t>
      </w:r>
      <w:proofErr w:type="gramEnd"/>
      <w:r w:rsidRPr="00157665">
        <w:t>#].csv contains</w:t>
      </w:r>
      <w:r>
        <w:t xml:space="preserve"> the MI factor grid, which includes the loan characteristics and the resulting fixed and variable foreclosure cost components.  The following fields are included.</w:t>
      </w:r>
    </w:p>
    <w:p w14:paraId="693F8F3B" w14:textId="77777777" w:rsidR="009F1945" w:rsidRDefault="009F1945" w:rsidP="009F1945">
      <w:pPr>
        <w:pStyle w:val="ListParagraph"/>
      </w:pPr>
    </w:p>
    <w:p w14:paraId="4666B4FB" w14:textId="77777777" w:rsidR="009F1945" w:rsidRDefault="009F1945" w:rsidP="009F1945">
      <w:pPr>
        <w:tabs>
          <w:tab w:val="left" w:pos="5760"/>
        </w:tabs>
        <w:ind w:left="720"/>
      </w:pPr>
      <w:r w:rsidRPr="005219A3">
        <w:t>Disposition Type</w:t>
      </w:r>
      <w:r>
        <w:tab/>
      </w:r>
      <w:r w:rsidRPr="005219A3">
        <w:t>Geography</w:t>
      </w:r>
    </w:p>
    <w:p w14:paraId="6D39E642" w14:textId="77777777" w:rsidR="009F1945" w:rsidRDefault="009F1945" w:rsidP="009F1945">
      <w:pPr>
        <w:tabs>
          <w:tab w:val="left" w:pos="5760"/>
        </w:tabs>
        <w:ind w:left="720"/>
      </w:pPr>
      <w:r w:rsidRPr="005219A3">
        <w:t>Value</w:t>
      </w:r>
      <w:r>
        <w:tab/>
      </w:r>
      <w:r w:rsidRPr="005219A3">
        <w:t>Property Type</w:t>
      </w:r>
    </w:p>
    <w:p w14:paraId="61437373" w14:textId="77777777" w:rsidR="009F1945" w:rsidRPr="005219A3" w:rsidRDefault="009F1945" w:rsidP="009F1945">
      <w:pPr>
        <w:tabs>
          <w:tab w:val="left" w:pos="5760"/>
        </w:tabs>
        <w:ind w:left="720"/>
      </w:pPr>
      <w:r w:rsidRPr="005219A3">
        <w:t>Urban/Rural</w:t>
      </w:r>
      <w:r>
        <w:t xml:space="preserve"> Indicator</w:t>
      </w:r>
      <w:r>
        <w:tab/>
        <w:t>Percentage of Avg.</w:t>
      </w:r>
      <w:r w:rsidRPr="005219A3">
        <w:t xml:space="preserve"> Fixed Costs to Value</w:t>
      </w:r>
    </w:p>
    <w:p w14:paraId="73B0FE2E" w14:textId="77777777" w:rsidR="009F1945" w:rsidRPr="005219A3" w:rsidRDefault="009F1945" w:rsidP="009F1945">
      <w:pPr>
        <w:tabs>
          <w:tab w:val="left" w:pos="5760"/>
        </w:tabs>
        <w:ind w:left="720"/>
        <w:rPr>
          <w:highlight w:val="green"/>
        </w:rPr>
      </w:pPr>
      <w:r>
        <w:t>Percentage of Avg.</w:t>
      </w:r>
      <w:r w:rsidRPr="005219A3">
        <w:t xml:space="preserve"> Daily Variable Costs to Value</w:t>
      </w:r>
    </w:p>
    <w:p w14:paraId="68143121" w14:textId="77777777" w:rsidR="0084458C" w:rsidRPr="002D77DE" w:rsidRDefault="0084458C" w:rsidP="00162A93"/>
    <w:sectPr w:rsidR="0084458C" w:rsidRPr="002D77DE" w:rsidSect="00D46800">
      <w:headerReference w:type="default"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8EE48" w14:textId="77777777" w:rsidR="00EA3D23" w:rsidRDefault="00EA3D23" w:rsidP="002B1259">
      <w:r>
        <w:separator/>
      </w:r>
    </w:p>
  </w:endnote>
  <w:endnote w:type="continuationSeparator" w:id="0">
    <w:p w14:paraId="6CE43E6A" w14:textId="77777777" w:rsidR="00EA3D23" w:rsidRDefault="00EA3D23" w:rsidP="002B1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3E478" w14:textId="78337192" w:rsidR="00022EEE" w:rsidRDefault="007C349B" w:rsidP="007C349B">
    <w:pPr>
      <w:pStyle w:val="Footer"/>
      <w:jc w:val="center"/>
      <w:rPr>
        <w:sz w:val="18"/>
        <w:szCs w:val="18"/>
      </w:rPr>
    </w:pPr>
    <w:r w:rsidRPr="007C349B">
      <w:rPr>
        <w:sz w:val="18"/>
        <w:szCs w:val="18"/>
      </w:rPr>
      <w:t>Proposal Documentation for Discussion Only – All Material Subject to Fannie Mae Management &amp; Governance Approval Processes</w:t>
    </w:r>
  </w:p>
  <w:sdt>
    <w:sdtPr>
      <w:id w:val="643855504"/>
      <w:docPartObj>
        <w:docPartGallery w:val="Page Numbers (Bottom of Page)"/>
        <w:docPartUnique/>
      </w:docPartObj>
    </w:sdtPr>
    <w:sdtEndPr>
      <w:rPr>
        <w:noProof/>
        <w:sz w:val="18"/>
        <w:szCs w:val="18"/>
      </w:rPr>
    </w:sdtEndPr>
    <w:sdtContent>
      <w:p w14:paraId="7641581F" w14:textId="7CADD8B4" w:rsidR="000B4354" w:rsidRPr="000B4354" w:rsidRDefault="000B4354" w:rsidP="000B4354">
        <w:pPr>
          <w:pStyle w:val="Footer"/>
          <w:jc w:val="right"/>
          <w:rPr>
            <w:sz w:val="18"/>
            <w:szCs w:val="18"/>
          </w:rPr>
        </w:pPr>
        <w:r w:rsidRPr="000B4354">
          <w:rPr>
            <w:sz w:val="18"/>
            <w:szCs w:val="18"/>
          </w:rPr>
          <w:fldChar w:fldCharType="begin"/>
        </w:r>
        <w:r w:rsidRPr="000B4354">
          <w:rPr>
            <w:sz w:val="18"/>
            <w:szCs w:val="18"/>
          </w:rPr>
          <w:instrText xml:space="preserve"> PAGE   \* MERGEFORMAT </w:instrText>
        </w:r>
        <w:r w:rsidRPr="000B4354">
          <w:rPr>
            <w:sz w:val="18"/>
            <w:szCs w:val="18"/>
          </w:rPr>
          <w:fldChar w:fldCharType="separate"/>
        </w:r>
        <w:r>
          <w:rPr>
            <w:noProof/>
            <w:sz w:val="18"/>
            <w:szCs w:val="18"/>
          </w:rPr>
          <w:t>28</w:t>
        </w:r>
        <w:r w:rsidRPr="000B4354">
          <w:rPr>
            <w:noProof/>
            <w:sz w:val="18"/>
            <w:szCs w:val="18"/>
          </w:rPr>
          <w:fldChar w:fldCharType="end"/>
        </w:r>
        <w:r w:rsidRPr="000B4354">
          <w:rPr>
            <w:noProof/>
            <w:sz w:val="18"/>
            <w:szCs w:val="18"/>
          </w:rPr>
          <w:t xml:space="preserve"> of </w:t>
        </w:r>
        <w:r w:rsidRPr="000B4354">
          <w:rPr>
            <w:noProof/>
            <w:sz w:val="18"/>
            <w:szCs w:val="18"/>
          </w:rPr>
          <w:fldChar w:fldCharType="begin"/>
        </w:r>
        <w:r w:rsidRPr="000B4354">
          <w:rPr>
            <w:noProof/>
            <w:sz w:val="18"/>
            <w:szCs w:val="18"/>
          </w:rPr>
          <w:instrText xml:space="preserve"> NUMPAGES   \* MERGEFORMAT </w:instrText>
        </w:r>
        <w:r w:rsidRPr="000B4354">
          <w:rPr>
            <w:noProof/>
            <w:sz w:val="18"/>
            <w:szCs w:val="18"/>
          </w:rPr>
          <w:fldChar w:fldCharType="separate"/>
        </w:r>
        <w:r>
          <w:rPr>
            <w:noProof/>
            <w:sz w:val="18"/>
            <w:szCs w:val="18"/>
          </w:rPr>
          <w:t>43</w:t>
        </w:r>
        <w:r w:rsidRPr="000B4354">
          <w:rPr>
            <w:noProof/>
            <w:sz w:val="18"/>
            <w:szCs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AB772" w14:textId="77777777" w:rsidR="00EA3D23" w:rsidRDefault="00EA3D23" w:rsidP="002B1259">
      <w:r>
        <w:separator/>
      </w:r>
    </w:p>
  </w:footnote>
  <w:footnote w:type="continuationSeparator" w:id="0">
    <w:p w14:paraId="661FFF95" w14:textId="77777777" w:rsidR="00EA3D23" w:rsidRDefault="00EA3D23" w:rsidP="002B1259">
      <w:r>
        <w:continuationSeparator/>
      </w:r>
    </w:p>
  </w:footnote>
  <w:footnote w:id="1">
    <w:p w14:paraId="53EB4D90" w14:textId="1A1B289C" w:rsidR="00022EEE" w:rsidRDefault="00022EEE" w:rsidP="00464D53">
      <w:pPr>
        <w:pStyle w:val="FootnoteText"/>
        <w:jc w:val="both"/>
      </w:pPr>
      <w:r>
        <w:rPr>
          <w:rStyle w:val="FootnoteReference"/>
        </w:rPr>
        <w:footnoteRef/>
      </w:r>
      <w:r>
        <w:t xml:space="preserve"> For the purposes of this paper, mortgage default is defined as a loan liquidation via a short </w:t>
      </w:r>
      <w:r w:rsidRPr="00A820D3">
        <w:t>sale (PFS),</w:t>
      </w:r>
      <w:r>
        <w:t xml:space="preserve"> third party sale (TPS), or real estate owned (REO) sale.</w:t>
      </w:r>
    </w:p>
  </w:footnote>
  <w:footnote w:id="2">
    <w:p w14:paraId="386E5E40" w14:textId="02DA29B1" w:rsidR="00022EEE" w:rsidRPr="008B03CD" w:rsidRDefault="00022EEE" w:rsidP="00464D53">
      <w:pPr>
        <w:pStyle w:val="FootnoteText"/>
        <w:jc w:val="both"/>
      </w:pPr>
      <w:r>
        <w:rPr>
          <w:rStyle w:val="FootnoteReference"/>
        </w:rPr>
        <w:footnoteRef/>
      </w:r>
      <w:r>
        <w:t xml:space="preserve"> The other types of issues which can impact MI claim payment are typically referred to as ‘Denials’ and ‘Rescissions’.  Denials are typically associated with documentation missing from the claims filing process or extreme servicing issues.  Rescissions are typically associated with violations of the MI </w:t>
      </w:r>
      <w:proofErr w:type="gramStart"/>
      <w:r>
        <w:t>company’s</w:t>
      </w:r>
      <w:proofErr w:type="gramEnd"/>
      <w:r>
        <w:t xml:space="preserve"> guaranty policy similar to a Fannie Mae Representation &amp; Warranty violation.  Both of these issues are </w:t>
      </w:r>
      <w:r>
        <w:rPr>
          <w:i/>
        </w:rPr>
        <w:t>not</w:t>
      </w:r>
      <w:r>
        <w:t xml:space="preserve"> considered in the MI Factor proposal discussed here.</w:t>
      </w:r>
    </w:p>
  </w:footnote>
  <w:footnote w:id="3">
    <w:p w14:paraId="14464FEF" w14:textId="1AE0AD34" w:rsidR="00B20643" w:rsidRDefault="00B20643" w:rsidP="00464D53">
      <w:pPr>
        <w:pStyle w:val="FootnoteText"/>
        <w:jc w:val="both"/>
      </w:pPr>
      <w:r>
        <w:rPr>
          <w:rStyle w:val="FootnoteReference"/>
        </w:rPr>
        <w:footnoteRef/>
      </w:r>
      <w:r>
        <w:t xml:space="preserve"> A full listing of the allowable delays and the amount of time associated with these per standard policy is available on the second page of our foreclosure timelines exhibit.</w:t>
      </w:r>
    </w:p>
  </w:footnote>
  <w:footnote w:id="4">
    <w:p w14:paraId="2505C564" w14:textId="0ECA705E" w:rsidR="00022EEE" w:rsidRDefault="00022EEE" w:rsidP="00464D53">
      <w:pPr>
        <w:pStyle w:val="FootnoteText"/>
        <w:jc w:val="both"/>
      </w:pPr>
      <w:r>
        <w:rPr>
          <w:rStyle w:val="FootnoteReference"/>
        </w:rPr>
        <w:footnoteRef/>
      </w:r>
      <w:r>
        <w:t xml:space="preserve"> </w:t>
      </w:r>
      <w:hyperlink r:id="rId1" w:history="1">
        <w:r w:rsidRPr="00322B72">
          <w:rPr>
            <w:rStyle w:val="Hyperlink"/>
          </w:rPr>
          <w:t>https://www.fanniemae.com/content/guide_exhibit/foreclosure-timeframes-compensatory-fees-allowable-delays.pdf</w:t>
        </w:r>
      </w:hyperlink>
    </w:p>
  </w:footnote>
  <w:footnote w:id="5">
    <w:p w14:paraId="41BDC5DE" w14:textId="354DF77F" w:rsidR="00022EEE" w:rsidRPr="0095467B" w:rsidRDefault="00022EEE" w:rsidP="00464D53">
      <w:pPr>
        <w:jc w:val="both"/>
        <w:rPr>
          <w:sz w:val="20"/>
          <w:szCs w:val="20"/>
        </w:rPr>
      </w:pPr>
      <w:r>
        <w:rPr>
          <w:rStyle w:val="FootnoteReference"/>
        </w:rPr>
        <w:footnoteRef/>
      </w:r>
      <w:r>
        <w:t xml:space="preserve"> </w:t>
      </w:r>
      <w:r w:rsidRPr="0095467B">
        <w:rPr>
          <w:sz w:val="20"/>
          <w:szCs w:val="20"/>
        </w:rPr>
        <w:t>Grid buckets containing fewer than 30 loans are not used since the number of observations are deemed too small to be representative.  As a result, loans in these buckets are “rolled-up” to the next highest grid level.</w:t>
      </w:r>
      <w:r>
        <w:rPr>
          <w:sz w:val="20"/>
          <w:szCs w:val="20"/>
        </w:rPr>
        <w:t xml:space="preserve">  </w:t>
      </w:r>
      <w:r w:rsidRPr="0095467B">
        <w:rPr>
          <w:sz w:val="20"/>
          <w:szCs w:val="20"/>
        </w:rPr>
        <w:t>Roll-up is explained</w:t>
      </w:r>
      <w:r>
        <w:rPr>
          <w:sz w:val="20"/>
          <w:szCs w:val="20"/>
        </w:rPr>
        <w:t xml:space="preserve"> further</w:t>
      </w:r>
      <w:r w:rsidRPr="0095467B">
        <w:rPr>
          <w:sz w:val="20"/>
          <w:szCs w:val="20"/>
        </w:rPr>
        <w:t xml:space="preserve"> in the implementation section.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71838" w14:textId="77777777" w:rsidR="00022EEE" w:rsidRDefault="00022EEE" w:rsidP="002B1259">
    <w:pPr>
      <w:pStyle w:val="Header"/>
    </w:pPr>
    <w:r w:rsidRPr="00797FEB">
      <w:rPr>
        <w:noProof/>
        <w:szCs w:val="22"/>
      </w:rPr>
      <w:drawing>
        <wp:anchor distT="0" distB="0" distL="114300" distR="114300" simplePos="0" relativeHeight="251658240" behindDoc="1" locked="0" layoutInCell="1" allowOverlap="1" wp14:anchorId="66269392" wp14:editId="70F82DCA">
          <wp:simplePos x="0" y="0"/>
          <wp:positionH relativeFrom="column">
            <wp:posOffset>248021</wp:posOffset>
          </wp:positionH>
          <wp:positionV relativeFrom="page">
            <wp:posOffset>457200</wp:posOffset>
          </wp:positionV>
          <wp:extent cx="5943600" cy="586105"/>
          <wp:effectExtent l="0" t="0" r="0" b="0"/>
          <wp:wrapTight wrapText="bothSides">
            <wp:wrapPolygon edited="0">
              <wp:start x="346" y="0"/>
              <wp:lineTo x="0" y="4914"/>
              <wp:lineTo x="0" y="13339"/>
              <wp:lineTo x="277" y="16849"/>
              <wp:lineTo x="346" y="18254"/>
              <wp:lineTo x="1108" y="18254"/>
              <wp:lineTo x="6231" y="16849"/>
              <wp:lineTo x="21531" y="14041"/>
              <wp:lineTo x="21531" y="11233"/>
              <wp:lineTo x="16477" y="9127"/>
              <wp:lineTo x="1177" y="0"/>
              <wp:lineTo x="346" y="0"/>
            </wp:wrapPolygon>
          </wp:wrapTight>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943600" cy="586105"/>
                  </a:xfrm>
                  <a:prstGeom prst="rect">
                    <a:avLst/>
                  </a:prstGeom>
                </pic:spPr>
              </pic:pic>
            </a:graphicData>
          </a:graphic>
        </wp:anchor>
      </w:drawing>
    </w:r>
  </w:p>
  <w:p w14:paraId="5E58DF41" w14:textId="77777777" w:rsidR="00022EEE" w:rsidRDefault="00022E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879EE"/>
    <w:multiLevelType w:val="hybridMultilevel"/>
    <w:tmpl w:val="CBBA5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3B09E4"/>
    <w:multiLevelType w:val="hybridMultilevel"/>
    <w:tmpl w:val="2EBAE1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F5F67"/>
    <w:multiLevelType w:val="hybridMultilevel"/>
    <w:tmpl w:val="FD5E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6356"/>
    <w:multiLevelType w:val="hybridMultilevel"/>
    <w:tmpl w:val="5B7A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62419"/>
    <w:multiLevelType w:val="hybridMultilevel"/>
    <w:tmpl w:val="18F6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90360"/>
    <w:multiLevelType w:val="hybridMultilevel"/>
    <w:tmpl w:val="38F0B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C0EBC"/>
    <w:multiLevelType w:val="hybridMultilevel"/>
    <w:tmpl w:val="0D4C8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642EA"/>
    <w:multiLevelType w:val="hybridMultilevel"/>
    <w:tmpl w:val="7BC6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9B331F"/>
    <w:multiLevelType w:val="hybridMultilevel"/>
    <w:tmpl w:val="CFC8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0289B"/>
    <w:multiLevelType w:val="hybridMultilevel"/>
    <w:tmpl w:val="FA8A3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2BB3"/>
    <w:multiLevelType w:val="hybridMultilevel"/>
    <w:tmpl w:val="BC7EB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62"/>
    <w:multiLevelType w:val="hybridMultilevel"/>
    <w:tmpl w:val="3C1EC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C34A41"/>
    <w:multiLevelType w:val="hybridMultilevel"/>
    <w:tmpl w:val="CFF8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7870B9"/>
    <w:multiLevelType w:val="hybridMultilevel"/>
    <w:tmpl w:val="4DE4A6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5C6A1F"/>
    <w:multiLevelType w:val="hybridMultilevel"/>
    <w:tmpl w:val="CC543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20DD6"/>
    <w:multiLevelType w:val="hybridMultilevel"/>
    <w:tmpl w:val="5002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55100"/>
    <w:multiLevelType w:val="hybridMultilevel"/>
    <w:tmpl w:val="8EE8E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046D7"/>
    <w:multiLevelType w:val="hybridMultilevel"/>
    <w:tmpl w:val="EA58E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E173E"/>
    <w:multiLevelType w:val="hybridMultilevel"/>
    <w:tmpl w:val="CA70E1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631677"/>
    <w:multiLevelType w:val="hybridMultilevel"/>
    <w:tmpl w:val="4334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B571C"/>
    <w:multiLevelType w:val="hybridMultilevel"/>
    <w:tmpl w:val="E2046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A50835"/>
    <w:multiLevelType w:val="hybridMultilevel"/>
    <w:tmpl w:val="F9723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2E0BFA"/>
    <w:multiLevelType w:val="hybridMultilevel"/>
    <w:tmpl w:val="38184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0E1B77"/>
    <w:multiLevelType w:val="hybridMultilevel"/>
    <w:tmpl w:val="55D08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0019EF"/>
    <w:multiLevelType w:val="hybridMultilevel"/>
    <w:tmpl w:val="5338F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E59F8"/>
    <w:multiLevelType w:val="hybridMultilevel"/>
    <w:tmpl w:val="7BE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7731F"/>
    <w:multiLevelType w:val="hybridMultilevel"/>
    <w:tmpl w:val="6E46F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F61EC2"/>
    <w:multiLevelType w:val="hybridMultilevel"/>
    <w:tmpl w:val="84809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D1767"/>
    <w:multiLevelType w:val="hybridMultilevel"/>
    <w:tmpl w:val="13C6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C93779"/>
    <w:multiLevelType w:val="hybridMultilevel"/>
    <w:tmpl w:val="D14A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83489C"/>
    <w:multiLevelType w:val="hybridMultilevel"/>
    <w:tmpl w:val="8432D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7C11DD"/>
    <w:multiLevelType w:val="hybridMultilevel"/>
    <w:tmpl w:val="DE7A7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F65BBC"/>
    <w:multiLevelType w:val="hybridMultilevel"/>
    <w:tmpl w:val="E98AF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EE1E7D"/>
    <w:multiLevelType w:val="hybridMultilevel"/>
    <w:tmpl w:val="C148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0E1F55"/>
    <w:multiLevelType w:val="hybridMultilevel"/>
    <w:tmpl w:val="50460A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1F382B"/>
    <w:multiLevelType w:val="hybridMultilevel"/>
    <w:tmpl w:val="2A7C34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B827B7"/>
    <w:multiLevelType w:val="hybridMultilevel"/>
    <w:tmpl w:val="819E0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EF4B92"/>
    <w:multiLevelType w:val="hybridMultilevel"/>
    <w:tmpl w:val="D158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62539"/>
    <w:multiLevelType w:val="hybridMultilevel"/>
    <w:tmpl w:val="6F98A0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B281F7A"/>
    <w:multiLevelType w:val="hybridMultilevel"/>
    <w:tmpl w:val="A0FEB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FC036F"/>
    <w:multiLevelType w:val="hybridMultilevel"/>
    <w:tmpl w:val="E85A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2B03D8"/>
    <w:multiLevelType w:val="hybridMultilevel"/>
    <w:tmpl w:val="6F70A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752371"/>
    <w:multiLevelType w:val="hybridMultilevel"/>
    <w:tmpl w:val="BAA62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55CFC"/>
    <w:multiLevelType w:val="hybridMultilevel"/>
    <w:tmpl w:val="EA08C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2"/>
  </w:num>
  <w:num w:numId="3">
    <w:abstractNumId w:val="26"/>
  </w:num>
  <w:num w:numId="4">
    <w:abstractNumId w:val="30"/>
  </w:num>
  <w:num w:numId="5">
    <w:abstractNumId w:val="6"/>
  </w:num>
  <w:num w:numId="6">
    <w:abstractNumId w:val="22"/>
  </w:num>
  <w:num w:numId="7">
    <w:abstractNumId w:val="24"/>
  </w:num>
  <w:num w:numId="8">
    <w:abstractNumId w:val="14"/>
  </w:num>
  <w:num w:numId="9">
    <w:abstractNumId w:val="31"/>
  </w:num>
  <w:num w:numId="10">
    <w:abstractNumId w:val="20"/>
  </w:num>
  <w:num w:numId="11">
    <w:abstractNumId w:val="18"/>
  </w:num>
  <w:num w:numId="12">
    <w:abstractNumId w:val="1"/>
  </w:num>
  <w:num w:numId="13">
    <w:abstractNumId w:val="33"/>
  </w:num>
  <w:num w:numId="14">
    <w:abstractNumId w:val="5"/>
  </w:num>
  <w:num w:numId="15">
    <w:abstractNumId w:val="41"/>
  </w:num>
  <w:num w:numId="16">
    <w:abstractNumId w:val="2"/>
  </w:num>
  <w:num w:numId="17">
    <w:abstractNumId w:val="25"/>
  </w:num>
  <w:num w:numId="18">
    <w:abstractNumId w:val="9"/>
  </w:num>
  <w:num w:numId="19">
    <w:abstractNumId w:val="10"/>
  </w:num>
  <w:num w:numId="20">
    <w:abstractNumId w:val="19"/>
  </w:num>
  <w:num w:numId="21">
    <w:abstractNumId w:val="37"/>
  </w:num>
  <w:num w:numId="22">
    <w:abstractNumId w:val="16"/>
  </w:num>
  <w:num w:numId="23">
    <w:abstractNumId w:val="32"/>
  </w:num>
  <w:num w:numId="24">
    <w:abstractNumId w:val="23"/>
  </w:num>
  <w:num w:numId="25">
    <w:abstractNumId w:val="43"/>
  </w:num>
  <w:num w:numId="26">
    <w:abstractNumId w:val="27"/>
  </w:num>
  <w:num w:numId="27">
    <w:abstractNumId w:val="11"/>
  </w:num>
  <w:num w:numId="28">
    <w:abstractNumId w:val="34"/>
  </w:num>
  <w:num w:numId="29">
    <w:abstractNumId w:val="29"/>
  </w:num>
  <w:num w:numId="30">
    <w:abstractNumId w:val="39"/>
  </w:num>
  <w:num w:numId="31">
    <w:abstractNumId w:val="7"/>
  </w:num>
  <w:num w:numId="32">
    <w:abstractNumId w:val="13"/>
  </w:num>
  <w:num w:numId="33">
    <w:abstractNumId w:val="4"/>
  </w:num>
  <w:num w:numId="34">
    <w:abstractNumId w:val="28"/>
  </w:num>
  <w:num w:numId="35">
    <w:abstractNumId w:val="17"/>
  </w:num>
  <w:num w:numId="36">
    <w:abstractNumId w:val="38"/>
  </w:num>
  <w:num w:numId="37">
    <w:abstractNumId w:val="3"/>
  </w:num>
  <w:num w:numId="38">
    <w:abstractNumId w:val="35"/>
  </w:num>
  <w:num w:numId="39">
    <w:abstractNumId w:val="0"/>
  </w:num>
  <w:num w:numId="40">
    <w:abstractNumId w:val="40"/>
  </w:num>
  <w:num w:numId="41">
    <w:abstractNumId w:val="36"/>
  </w:num>
  <w:num w:numId="42">
    <w:abstractNumId w:val="15"/>
  </w:num>
  <w:num w:numId="43">
    <w:abstractNumId w:val="12"/>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259"/>
    <w:rsid w:val="0000055F"/>
    <w:rsid w:val="000006A3"/>
    <w:rsid w:val="00001756"/>
    <w:rsid w:val="000018A3"/>
    <w:rsid w:val="00002863"/>
    <w:rsid w:val="00002A29"/>
    <w:rsid w:val="000039A7"/>
    <w:rsid w:val="0000481A"/>
    <w:rsid w:val="00004B8F"/>
    <w:rsid w:val="000050CB"/>
    <w:rsid w:val="00005657"/>
    <w:rsid w:val="00006E2C"/>
    <w:rsid w:val="0001098E"/>
    <w:rsid w:val="00013BC4"/>
    <w:rsid w:val="00014ACD"/>
    <w:rsid w:val="000161FC"/>
    <w:rsid w:val="000176D6"/>
    <w:rsid w:val="00017888"/>
    <w:rsid w:val="000209FF"/>
    <w:rsid w:val="0002184F"/>
    <w:rsid w:val="00022116"/>
    <w:rsid w:val="00022EEE"/>
    <w:rsid w:val="00025E35"/>
    <w:rsid w:val="00027062"/>
    <w:rsid w:val="00030DAB"/>
    <w:rsid w:val="000312B1"/>
    <w:rsid w:val="0003206F"/>
    <w:rsid w:val="000322E8"/>
    <w:rsid w:val="00034630"/>
    <w:rsid w:val="000371F2"/>
    <w:rsid w:val="00037360"/>
    <w:rsid w:val="000376A4"/>
    <w:rsid w:val="000406E2"/>
    <w:rsid w:val="00041977"/>
    <w:rsid w:val="00041B3A"/>
    <w:rsid w:val="000429DD"/>
    <w:rsid w:val="000445EB"/>
    <w:rsid w:val="00047BA6"/>
    <w:rsid w:val="00051D52"/>
    <w:rsid w:val="0005414D"/>
    <w:rsid w:val="0005422E"/>
    <w:rsid w:val="00061455"/>
    <w:rsid w:val="0006166C"/>
    <w:rsid w:val="00065480"/>
    <w:rsid w:val="00065F5E"/>
    <w:rsid w:val="00067E7F"/>
    <w:rsid w:val="00071FF3"/>
    <w:rsid w:val="00074337"/>
    <w:rsid w:val="00074AD7"/>
    <w:rsid w:val="00074F1A"/>
    <w:rsid w:val="00074F90"/>
    <w:rsid w:val="00075243"/>
    <w:rsid w:val="00075331"/>
    <w:rsid w:val="00075B81"/>
    <w:rsid w:val="000767DF"/>
    <w:rsid w:val="000816DA"/>
    <w:rsid w:val="00081B50"/>
    <w:rsid w:val="000835C0"/>
    <w:rsid w:val="000845D7"/>
    <w:rsid w:val="00085271"/>
    <w:rsid w:val="00085A0A"/>
    <w:rsid w:val="00085ADA"/>
    <w:rsid w:val="000860D5"/>
    <w:rsid w:val="00086313"/>
    <w:rsid w:val="00090FF8"/>
    <w:rsid w:val="00092708"/>
    <w:rsid w:val="00094124"/>
    <w:rsid w:val="000947A8"/>
    <w:rsid w:val="000977DB"/>
    <w:rsid w:val="000A02BC"/>
    <w:rsid w:val="000A260E"/>
    <w:rsid w:val="000A381B"/>
    <w:rsid w:val="000A5915"/>
    <w:rsid w:val="000A67CE"/>
    <w:rsid w:val="000A6813"/>
    <w:rsid w:val="000B1E38"/>
    <w:rsid w:val="000B2259"/>
    <w:rsid w:val="000B32E5"/>
    <w:rsid w:val="000B4354"/>
    <w:rsid w:val="000B452C"/>
    <w:rsid w:val="000B56C4"/>
    <w:rsid w:val="000B5918"/>
    <w:rsid w:val="000B71FC"/>
    <w:rsid w:val="000C05F5"/>
    <w:rsid w:val="000C1E18"/>
    <w:rsid w:val="000C24F0"/>
    <w:rsid w:val="000C30A2"/>
    <w:rsid w:val="000C347E"/>
    <w:rsid w:val="000C4D44"/>
    <w:rsid w:val="000C62EF"/>
    <w:rsid w:val="000C6944"/>
    <w:rsid w:val="000D0B35"/>
    <w:rsid w:val="000D193D"/>
    <w:rsid w:val="000D2AC2"/>
    <w:rsid w:val="000D3127"/>
    <w:rsid w:val="000D322B"/>
    <w:rsid w:val="000D3A23"/>
    <w:rsid w:val="000D4756"/>
    <w:rsid w:val="000D53E5"/>
    <w:rsid w:val="000D618E"/>
    <w:rsid w:val="000D6ECC"/>
    <w:rsid w:val="000E11DB"/>
    <w:rsid w:val="000E1AFF"/>
    <w:rsid w:val="000E5083"/>
    <w:rsid w:val="000F0D0B"/>
    <w:rsid w:val="000F1A3D"/>
    <w:rsid w:val="000F2357"/>
    <w:rsid w:val="000F3099"/>
    <w:rsid w:val="000F3A4D"/>
    <w:rsid w:val="000F4A6F"/>
    <w:rsid w:val="000F679E"/>
    <w:rsid w:val="00100D4F"/>
    <w:rsid w:val="001012D9"/>
    <w:rsid w:val="00101604"/>
    <w:rsid w:val="00103C03"/>
    <w:rsid w:val="00104EC7"/>
    <w:rsid w:val="00104FBB"/>
    <w:rsid w:val="001055AA"/>
    <w:rsid w:val="001064B1"/>
    <w:rsid w:val="00106D60"/>
    <w:rsid w:val="001075C4"/>
    <w:rsid w:val="00111276"/>
    <w:rsid w:val="001155D5"/>
    <w:rsid w:val="00116035"/>
    <w:rsid w:val="00117B6C"/>
    <w:rsid w:val="00122B5A"/>
    <w:rsid w:val="00123C72"/>
    <w:rsid w:val="00124C90"/>
    <w:rsid w:val="00126891"/>
    <w:rsid w:val="00127857"/>
    <w:rsid w:val="001278A7"/>
    <w:rsid w:val="00131797"/>
    <w:rsid w:val="00133BBF"/>
    <w:rsid w:val="00134FD7"/>
    <w:rsid w:val="00135BE4"/>
    <w:rsid w:val="00135E2D"/>
    <w:rsid w:val="00137598"/>
    <w:rsid w:val="00137ED9"/>
    <w:rsid w:val="001407C6"/>
    <w:rsid w:val="00144A7B"/>
    <w:rsid w:val="00145AC9"/>
    <w:rsid w:val="00147F8D"/>
    <w:rsid w:val="001511FA"/>
    <w:rsid w:val="00151265"/>
    <w:rsid w:val="001550A3"/>
    <w:rsid w:val="00156D4B"/>
    <w:rsid w:val="00156E55"/>
    <w:rsid w:val="00157665"/>
    <w:rsid w:val="00160219"/>
    <w:rsid w:val="00160C2D"/>
    <w:rsid w:val="00162A93"/>
    <w:rsid w:val="00163CD3"/>
    <w:rsid w:val="001643F7"/>
    <w:rsid w:val="00164E65"/>
    <w:rsid w:val="00167392"/>
    <w:rsid w:val="00171CB2"/>
    <w:rsid w:val="001723C5"/>
    <w:rsid w:val="00174B30"/>
    <w:rsid w:val="00180E57"/>
    <w:rsid w:val="001813B2"/>
    <w:rsid w:val="00182179"/>
    <w:rsid w:val="0018307B"/>
    <w:rsid w:val="0018511C"/>
    <w:rsid w:val="001923C5"/>
    <w:rsid w:val="0019429F"/>
    <w:rsid w:val="00196561"/>
    <w:rsid w:val="00197903"/>
    <w:rsid w:val="001A000B"/>
    <w:rsid w:val="001A102A"/>
    <w:rsid w:val="001A1F15"/>
    <w:rsid w:val="001A25E5"/>
    <w:rsid w:val="001A3280"/>
    <w:rsid w:val="001A3C8A"/>
    <w:rsid w:val="001A7B7A"/>
    <w:rsid w:val="001A7FC6"/>
    <w:rsid w:val="001B2717"/>
    <w:rsid w:val="001B2E21"/>
    <w:rsid w:val="001B6958"/>
    <w:rsid w:val="001B6EFE"/>
    <w:rsid w:val="001B7824"/>
    <w:rsid w:val="001C071B"/>
    <w:rsid w:val="001C1F49"/>
    <w:rsid w:val="001C2218"/>
    <w:rsid w:val="001C2F4C"/>
    <w:rsid w:val="001C39FE"/>
    <w:rsid w:val="001C3C90"/>
    <w:rsid w:val="001C42DD"/>
    <w:rsid w:val="001C49C9"/>
    <w:rsid w:val="001C516E"/>
    <w:rsid w:val="001C54E2"/>
    <w:rsid w:val="001C6D82"/>
    <w:rsid w:val="001C7607"/>
    <w:rsid w:val="001C7636"/>
    <w:rsid w:val="001D28E2"/>
    <w:rsid w:val="001D2CF7"/>
    <w:rsid w:val="001D3417"/>
    <w:rsid w:val="001D546F"/>
    <w:rsid w:val="001D5C57"/>
    <w:rsid w:val="001D6807"/>
    <w:rsid w:val="001D7151"/>
    <w:rsid w:val="001D750F"/>
    <w:rsid w:val="001D7A04"/>
    <w:rsid w:val="001E085A"/>
    <w:rsid w:val="001E0B5D"/>
    <w:rsid w:val="001E0E31"/>
    <w:rsid w:val="001E3C44"/>
    <w:rsid w:val="001E59FD"/>
    <w:rsid w:val="001E64FA"/>
    <w:rsid w:val="001E698E"/>
    <w:rsid w:val="001E7799"/>
    <w:rsid w:val="001F0DC7"/>
    <w:rsid w:val="001F125A"/>
    <w:rsid w:val="001F28B5"/>
    <w:rsid w:val="001F3CF3"/>
    <w:rsid w:val="001F7322"/>
    <w:rsid w:val="00201C3E"/>
    <w:rsid w:val="00203018"/>
    <w:rsid w:val="00205708"/>
    <w:rsid w:val="00210093"/>
    <w:rsid w:val="00210DB6"/>
    <w:rsid w:val="0021158D"/>
    <w:rsid w:val="00211700"/>
    <w:rsid w:val="00211DFF"/>
    <w:rsid w:val="00214779"/>
    <w:rsid w:val="002152D4"/>
    <w:rsid w:val="0021573D"/>
    <w:rsid w:val="002158FE"/>
    <w:rsid w:val="00220301"/>
    <w:rsid w:val="00221867"/>
    <w:rsid w:val="002218E0"/>
    <w:rsid w:val="00221A69"/>
    <w:rsid w:val="002225E1"/>
    <w:rsid w:val="00223405"/>
    <w:rsid w:val="0022606C"/>
    <w:rsid w:val="002264B6"/>
    <w:rsid w:val="00226C47"/>
    <w:rsid w:val="00233C26"/>
    <w:rsid w:val="00233E67"/>
    <w:rsid w:val="002418B8"/>
    <w:rsid w:val="0024201D"/>
    <w:rsid w:val="0024370B"/>
    <w:rsid w:val="00246E53"/>
    <w:rsid w:val="00252940"/>
    <w:rsid w:val="00256912"/>
    <w:rsid w:val="00256C4C"/>
    <w:rsid w:val="00257ECF"/>
    <w:rsid w:val="00261008"/>
    <w:rsid w:val="002617AE"/>
    <w:rsid w:val="00262FE7"/>
    <w:rsid w:val="00263785"/>
    <w:rsid w:val="0026505F"/>
    <w:rsid w:val="00267E91"/>
    <w:rsid w:val="00271880"/>
    <w:rsid w:val="00272A4D"/>
    <w:rsid w:val="002731DA"/>
    <w:rsid w:val="00273EB0"/>
    <w:rsid w:val="00275F6D"/>
    <w:rsid w:val="00276F52"/>
    <w:rsid w:val="00277860"/>
    <w:rsid w:val="002800D0"/>
    <w:rsid w:val="00283642"/>
    <w:rsid w:val="002843D3"/>
    <w:rsid w:val="00284C9A"/>
    <w:rsid w:val="00285394"/>
    <w:rsid w:val="00286F2D"/>
    <w:rsid w:val="00287546"/>
    <w:rsid w:val="00287576"/>
    <w:rsid w:val="00287AC4"/>
    <w:rsid w:val="00293716"/>
    <w:rsid w:val="002962BE"/>
    <w:rsid w:val="0029660D"/>
    <w:rsid w:val="00297CD9"/>
    <w:rsid w:val="002A0724"/>
    <w:rsid w:val="002A0CAB"/>
    <w:rsid w:val="002A0D00"/>
    <w:rsid w:val="002A57F1"/>
    <w:rsid w:val="002B1259"/>
    <w:rsid w:val="002B352C"/>
    <w:rsid w:val="002B3B73"/>
    <w:rsid w:val="002B50CC"/>
    <w:rsid w:val="002B5F34"/>
    <w:rsid w:val="002B6533"/>
    <w:rsid w:val="002C0F29"/>
    <w:rsid w:val="002C2480"/>
    <w:rsid w:val="002C354F"/>
    <w:rsid w:val="002C58D1"/>
    <w:rsid w:val="002C6645"/>
    <w:rsid w:val="002C6DA2"/>
    <w:rsid w:val="002C6E08"/>
    <w:rsid w:val="002D020A"/>
    <w:rsid w:val="002D0F02"/>
    <w:rsid w:val="002D4ED7"/>
    <w:rsid w:val="002D6C19"/>
    <w:rsid w:val="002D7695"/>
    <w:rsid w:val="002D77DE"/>
    <w:rsid w:val="002E0A47"/>
    <w:rsid w:val="002E207D"/>
    <w:rsid w:val="002E3CBE"/>
    <w:rsid w:val="002E6B27"/>
    <w:rsid w:val="002F0AC8"/>
    <w:rsid w:val="002F17FA"/>
    <w:rsid w:val="002F1DE6"/>
    <w:rsid w:val="002F293B"/>
    <w:rsid w:val="002F3FFE"/>
    <w:rsid w:val="002F5EA5"/>
    <w:rsid w:val="002F6889"/>
    <w:rsid w:val="002F69A5"/>
    <w:rsid w:val="002F70EF"/>
    <w:rsid w:val="00303620"/>
    <w:rsid w:val="003077C8"/>
    <w:rsid w:val="00310BAA"/>
    <w:rsid w:val="0031385F"/>
    <w:rsid w:val="00315142"/>
    <w:rsid w:val="003154E2"/>
    <w:rsid w:val="003161AA"/>
    <w:rsid w:val="00316788"/>
    <w:rsid w:val="003172C0"/>
    <w:rsid w:val="0031771A"/>
    <w:rsid w:val="00322074"/>
    <w:rsid w:val="00322ADC"/>
    <w:rsid w:val="00322B72"/>
    <w:rsid w:val="00330434"/>
    <w:rsid w:val="003304B6"/>
    <w:rsid w:val="0033249C"/>
    <w:rsid w:val="00332C09"/>
    <w:rsid w:val="00333DEE"/>
    <w:rsid w:val="00334287"/>
    <w:rsid w:val="003369A3"/>
    <w:rsid w:val="00336F65"/>
    <w:rsid w:val="0034118B"/>
    <w:rsid w:val="003411A7"/>
    <w:rsid w:val="003419AB"/>
    <w:rsid w:val="003446CF"/>
    <w:rsid w:val="00344D16"/>
    <w:rsid w:val="00344F02"/>
    <w:rsid w:val="003452FD"/>
    <w:rsid w:val="00350834"/>
    <w:rsid w:val="0035123A"/>
    <w:rsid w:val="00360EF0"/>
    <w:rsid w:val="00364F3A"/>
    <w:rsid w:val="00367019"/>
    <w:rsid w:val="003672C4"/>
    <w:rsid w:val="00367E3E"/>
    <w:rsid w:val="00371CF9"/>
    <w:rsid w:val="003747CA"/>
    <w:rsid w:val="00376472"/>
    <w:rsid w:val="00377F7D"/>
    <w:rsid w:val="00380E4E"/>
    <w:rsid w:val="00381A1A"/>
    <w:rsid w:val="003840BD"/>
    <w:rsid w:val="003846F7"/>
    <w:rsid w:val="0038481C"/>
    <w:rsid w:val="0038591F"/>
    <w:rsid w:val="00387EA8"/>
    <w:rsid w:val="00392940"/>
    <w:rsid w:val="00394066"/>
    <w:rsid w:val="003944DC"/>
    <w:rsid w:val="00394ECC"/>
    <w:rsid w:val="003952EF"/>
    <w:rsid w:val="003955A8"/>
    <w:rsid w:val="003957CB"/>
    <w:rsid w:val="003A2169"/>
    <w:rsid w:val="003A5C89"/>
    <w:rsid w:val="003A5F9F"/>
    <w:rsid w:val="003A7175"/>
    <w:rsid w:val="003A71BA"/>
    <w:rsid w:val="003A7314"/>
    <w:rsid w:val="003B197F"/>
    <w:rsid w:val="003B2326"/>
    <w:rsid w:val="003B376F"/>
    <w:rsid w:val="003B4D2B"/>
    <w:rsid w:val="003B6AE1"/>
    <w:rsid w:val="003B6B15"/>
    <w:rsid w:val="003B6FD4"/>
    <w:rsid w:val="003B7621"/>
    <w:rsid w:val="003C2472"/>
    <w:rsid w:val="003C2B08"/>
    <w:rsid w:val="003C3297"/>
    <w:rsid w:val="003C593E"/>
    <w:rsid w:val="003C6DC5"/>
    <w:rsid w:val="003D0460"/>
    <w:rsid w:val="003D0BC1"/>
    <w:rsid w:val="003D18C6"/>
    <w:rsid w:val="003D20C6"/>
    <w:rsid w:val="003D2E47"/>
    <w:rsid w:val="003D3F17"/>
    <w:rsid w:val="003D4718"/>
    <w:rsid w:val="003E013D"/>
    <w:rsid w:val="003E0515"/>
    <w:rsid w:val="003E1292"/>
    <w:rsid w:val="003E12D5"/>
    <w:rsid w:val="003E2901"/>
    <w:rsid w:val="003E5B32"/>
    <w:rsid w:val="003E620D"/>
    <w:rsid w:val="003E7069"/>
    <w:rsid w:val="003E74DB"/>
    <w:rsid w:val="003E7D02"/>
    <w:rsid w:val="003F0306"/>
    <w:rsid w:val="003F2B86"/>
    <w:rsid w:val="003F2C77"/>
    <w:rsid w:val="003F3465"/>
    <w:rsid w:val="003F35E9"/>
    <w:rsid w:val="003F5370"/>
    <w:rsid w:val="00401EF9"/>
    <w:rsid w:val="004031B6"/>
    <w:rsid w:val="0040368F"/>
    <w:rsid w:val="004036B5"/>
    <w:rsid w:val="00404D15"/>
    <w:rsid w:val="004054F2"/>
    <w:rsid w:val="00405A9A"/>
    <w:rsid w:val="00405F67"/>
    <w:rsid w:val="00406257"/>
    <w:rsid w:val="00407E46"/>
    <w:rsid w:val="0041028C"/>
    <w:rsid w:val="00414D99"/>
    <w:rsid w:val="004163AE"/>
    <w:rsid w:val="004170A2"/>
    <w:rsid w:val="00421968"/>
    <w:rsid w:val="00422026"/>
    <w:rsid w:val="0042295E"/>
    <w:rsid w:val="004236F9"/>
    <w:rsid w:val="00423F9D"/>
    <w:rsid w:val="00424031"/>
    <w:rsid w:val="00424847"/>
    <w:rsid w:val="00425149"/>
    <w:rsid w:val="00425C60"/>
    <w:rsid w:val="0042647F"/>
    <w:rsid w:val="00426F41"/>
    <w:rsid w:val="00432A56"/>
    <w:rsid w:val="00432D5F"/>
    <w:rsid w:val="00433151"/>
    <w:rsid w:val="00434216"/>
    <w:rsid w:val="00435E27"/>
    <w:rsid w:val="0044075A"/>
    <w:rsid w:val="0044096E"/>
    <w:rsid w:val="00440A9C"/>
    <w:rsid w:val="00441735"/>
    <w:rsid w:val="00442D20"/>
    <w:rsid w:val="00442F36"/>
    <w:rsid w:val="0044305B"/>
    <w:rsid w:val="00443ADF"/>
    <w:rsid w:val="00443E56"/>
    <w:rsid w:val="00445F12"/>
    <w:rsid w:val="00447A10"/>
    <w:rsid w:val="00447BB1"/>
    <w:rsid w:val="00451853"/>
    <w:rsid w:val="00453099"/>
    <w:rsid w:val="004579DC"/>
    <w:rsid w:val="004604BD"/>
    <w:rsid w:val="00464D53"/>
    <w:rsid w:val="00471AA7"/>
    <w:rsid w:val="004733FA"/>
    <w:rsid w:val="004753F4"/>
    <w:rsid w:val="004759EA"/>
    <w:rsid w:val="00481073"/>
    <w:rsid w:val="00482AAE"/>
    <w:rsid w:val="004857A9"/>
    <w:rsid w:val="004864F5"/>
    <w:rsid w:val="00491CCC"/>
    <w:rsid w:val="00491CEE"/>
    <w:rsid w:val="004920A6"/>
    <w:rsid w:val="004940FC"/>
    <w:rsid w:val="00495170"/>
    <w:rsid w:val="00495FE3"/>
    <w:rsid w:val="004975B0"/>
    <w:rsid w:val="0049775D"/>
    <w:rsid w:val="00497C4F"/>
    <w:rsid w:val="004A1042"/>
    <w:rsid w:val="004A3317"/>
    <w:rsid w:val="004A3D52"/>
    <w:rsid w:val="004A4BC3"/>
    <w:rsid w:val="004A5666"/>
    <w:rsid w:val="004A58DE"/>
    <w:rsid w:val="004A63B6"/>
    <w:rsid w:val="004A656E"/>
    <w:rsid w:val="004A6A8B"/>
    <w:rsid w:val="004A73C1"/>
    <w:rsid w:val="004A75E0"/>
    <w:rsid w:val="004A797D"/>
    <w:rsid w:val="004B0456"/>
    <w:rsid w:val="004B1ABB"/>
    <w:rsid w:val="004B1BCE"/>
    <w:rsid w:val="004B2152"/>
    <w:rsid w:val="004B3D72"/>
    <w:rsid w:val="004B3F54"/>
    <w:rsid w:val="004B4630"/>
    <w:rsid w:val="004B46A9"/>
    <w:rsid w:val="004B55B6"/>
    <w:rsid w:val="004B6163"/>
    <w:rsid w:val="004B6B42"/>
    <w:rsid w:val="004B7C80"/>
    <w:rsid w:val="004C04D3"/>
    <w:rsid w:val="004C1550"/>
    <w:rsid w:val="004C15DC"/>
    <w:rsid w:val="004C6421"/>
    <w:rsid w:val="004C6F29"/>
    <w:rsid w:val="004D18B0"/>
    <w:rsid w:val="004D5091"/>
    <w:rsid w:val="004D73F1"/>
    <w:rsid w:val="004E031D"/>
    <w:rsid w:val="004E0B8B"/>
    <w:rsid w:val="004E0C28"/>
    <w:rsid w:val="004E14DB"/>
    <w:rsid w:val="004E15CF"/>
    <w:rsid w:val="004E1B80"/>
    <w:rsid w:val="004E1C6E"/>
    <w:rsid w:val="004E71C1"/>
    <w:rsid w:val="004F05D6"/>
    <w:rsid w:val="004F0D8D"/>
    <w:rsid w:val="004F1846"/>
    <w:rsid w:val="004F1EAC"/>
    <w:rsid w:val="004F24BF"/>
    <w:rsid w:val="004F2A87"/>
    <w:rsid w:val="004F33EE"/>
    <w:rsid w:val="004F4095"/>
    <w:rsid w:val="004F4191"/>
    <w:rsid w:val="004F5300"/>
    <w:rsid w:val="004F5CD7"/>
    <w:rsid w:val="0050041C"/>
    <w:rsid w:val="00500B54"/>
    <w:rsid w:val="00505A2F"/>
    <w:rsid w:val="00505ADF"/>
    <w:rsid w:val="00505FE6"/>
    <w:rsid w:val="0050644B"/>
    <w:rsid w:val="00511406"/>
    <w:rsid w:val="005130D8"/>
    <w:rsid w:val="0051380D"/>
    <w:rsid w:val="005145C8"/>
    <w:rsid w:val="00515892"/>
    <w:rsid w:val="005163F0"/>
    <w:rsid w:val="00517AD7"/>
    <w:rsid w:val="00520CBB"/>
    <w:rsid w:val="00522174"/>
    <w:rsid w:val="00523469"/>
    <w:rsid w:val="005254A8"/>
    <w:rsid w:val="00525B44"/>
    <w:rsid w:val="0052671E"/>
    <w:rsid w:val="00532C9C"/>
    <w:rsid w:val="00534689"/>
    <w:rsid w:val="00535216"/>
    <w:rsid w:val="005352F1"/>
    <w:rsid w:val="0053561B"/>
    <w:rsid w:val="00535DBB"/>
    <w:rsid w:val="00536265"/>
    <w:rsid w:val="00537D32"/>
    <w:rsid w:val="00542867"/>
    <w:rsid w:val="00543594"/>
    <w:rsid w:val="00544A5E"/>
    <w:rsid w:val="0054796D"/>
    <w:rsid w:val="00551A76"/>
    <w:rsid w:val="005528DE"/>
    <w:rsid w:val="0055480C"/>
    <w:rsid w:val="0055520A"/>
    <w:rsid w:val="00555257"/>
    <w:rsid w:val="005560D8"/>
    <w:rsid w:val="00556386"/>
    <w:rsid w:val="00557A89"/>
    <w:rsid w:val="00560535"/>
    <w:rsid w:val="0056189A"/>
    <w:rsid w:val="00561900"/>
    <w:rsid w:val="00561962"/>
    <w:rsid w:val="00561DDB"/>
    <w:rsid w:val="00563130"/>
    <w:rsid w:val="00563896"/>
    <w:rsid w:val="00564711"/>
    <w:rsid w:val="00565914"/>
    <w:rsid w:val="00565A34"/>
    <w:rsid w:val="00565E74"/>
    <w:rsid w:val="00566202"/>
    <w:rsid w:val="005662E8"/>
    <w:rsid w:val="0057205C"/>
    <w:rsid w:val="00572706"/>
    <w:rsid w:val="0057294C"/>
    <w:rsid w:val="00572A49"/>
    <w:rsid w:val="00572ADA"/>
    <w:rsid w:val="00573FEB"/>
    <w:rsid w:val="00576277"/>
    <w:rsid w:val="00577B18"/>
    <w:rsid w:val="00577BDD"/>
    <w:rsid w:val="00582BC8"/>
    <w:rsid w:val="00582EA6"/>
    <w:rsid w:val="0058351E"/>
    <w:rsid w:val="005836D7"/>
    <w:rsid w:val="0058674E"/>
    <w:rsid w:val="00586DC0"/>
    <w:rsid w:val="00590F55"/>
    <w:rsid w:val="00592106"/>
    <w:rsid w:val="00593E61"/>
    <w:rsid w:val="00594CA1"/>
    <w:rsid w:val="00595831"/>
    <w:rsid w:val="00595A95"/>
    <w:rsid w:val="005A0BFF"/>
    <w:rsid w:val="005A3128"/>
    <w:rsid w:val="005A3BF6"/>
    <w:rsid w:val="005A5DEF"/>
    <w:rsid w:val="005A67FD"/>
    <w:rsid w:val="005A7336"/>
    <w:rsid w:val="005B2F80"/>
    <w:rsid w:val="005C4197"/>
    <w:rsid w:val="005C4B4D"/>
    <w:rsid w:val="005C647C"/>
    <w:rsid w:val="005D00EC"/>
    <w:rsid w:val="005D0180"/>
    <w:rsid w:val="005D0183"/>
    <w:rsid w:val="005D0D18"/>
    <w:rsid w:val="005D1CD2"/>
    <w:rsid w:val="005D38FF"/>
    <w:rsid w:val="005D46FE"/>
    <w:rsid w:val="005D6B13"/>
    <w:rsid w:val="005E39FE"/>
    <w:rsid w:val="005E3A8E"/>
    <w:rsid w:val="005E4A3E"/>
    <w:rsid w:val="005E4CC6"/>
    <w:rsid w:val="005E6293"/>
    <w:rsid w:val="005E659C"/>
    <w:rsid w:val="005F02C2"/>
    <w:rsid w:val="005F0640"/>
    <w:rsid w:val="005F0F6A"/>
    <w:rsid w:val="005F26C0"/>
    <w:rsid w:val="005F2BC8"/>
    <w:rsid w:val="005F4646"/>
    <w:rsid w:val="005F5B10"/>
    <w:rsid w:val="005F5EEC"/>
    <w:rsid w:val="005F7A0E"/>
    <w:rsid w:val="00601287"/>
    <w:rsid w:val="00601BD0"/>
    <w:rsid w:val="006026E6"/>
    <w:rsid w:val="00602936"/>
    <w:rsid w:val="00602CE5"/>
    <w:rsid w:val="006030B3"/>
    <w:rsid w:val="00605E58"/>
    <w:rsid w:val="0060632E"/>
    <w:rsid w:val="006064BE"/>
    <w:rsid w:val="00606D6B"/>
    <w:rsid w:val="0061165E"/>
    <w:rsid w:val="00612F54"/>
    <w:rsid w:val="00613DA0"/>
    <w:rsid w:val="00616105"/>
    <w:rsid w:val="00617790"/>
    <w:rsid w:val="006277D7"/>
    <w:rsid w:val="00632EC4"/>
    <w:rsid w:val="00634476"/>
    <w:rsid w:val="0063583D"/>
    <w:rsid w:val="006405E0"/>
    <w:rsid w:val="006418FB"/>
    <w:rsid w:val="0064385C"/>
    <w:rsid w:val="00647209"/>
    <w:rsid w:val="00647E5D"/>
    <w:rsid w:val="006522FA"/>
    <w:rsid w:val="0065391E"/>
    <w:rsid w:val="00653B1E"/>
    <w:rsid w:val="00653DAF"/>
    <w:rsid w:val="00654C18"/>
    <w:rsid w:val="006555C6"/>
    <w:rsid w:val="0065598F"/>
    <w:rsid w:val="00655FDC"/>
    <w:rsid w:val="00661801"/>
    <w:rsid w:val="0066300A"/>
    <w:rsid w:val="00663AD8"/>
    <w:rsid w:val="00664338"/>
    <w:rsid w:val="006647A9"/>
    <w:rsid w:val="006658BA"/>
    <w:rsid w:val="00665A6C"/>
    <w:rsid w:val="00665FBB"/>
    <w:rsid w:val="0066606B"/>
    <w:rsid w:val="0066724C"/>
    <w:rsid w:val="006717C7"/>
    <w:rsid w:val="0067230D"/>
    <w:rsid w:val="006730B0"/>
    <w:rsid w:val="00673840"/>
    <w:rsid w:val="00673FFF"/>
    <w:rsid w:val="0067567F"/>
    <w:rsid w:val="006759C0"/>
    <w:rsid w:val="00677702"/>
    <w:rsid w:val="00680272"/>
    <w:rsid w:val="0068091F"/>
    <w:rsid w:val="0068195A"/>
    <w:rsid w:val="00682C89"/>
    <w:rsid w:val="00682D29"/>
    <w:rsid w:val="00683126"/>
    <w:rsid w:val="0068352E"/>
    <w:rsid w:val="00683DDB"/>
    <w:rsid w:val="00684357"/>
    <w:rsid w:val="006848D9"/>
    <w:rsid w:val="0068609F"/>
    <w:rsid w:val="006864B9"/>
    <w:rsid w:val="00686F0A"/>
    <w:rsid w:val="00691079"/>
    <w:rsid w:val="00691F69"/>
    <w:rsid w:val="00692CF2"/>
    <w:rsid w:val="0069316D"/>
    <w:rsid w:val="00694426"/>
    <w:rsid w:val="006965E0"/>
    <w:rsid w:val="00696FF3"/>
    <w:rsid w:val="0069775A"/>
    <w:rsid w:val="00697CA4"/>
    <w:rsid w:val="006A06B5"/>
    <w:rsid w:val="006A0924"/>
    <w:rsid w:val="006A213B"/>
    <w:rsid w:val="006A29B6"/>
    <w:rsid w:val="006A2F31"/>
    <w:rsid w:val="006A3236"/>
    <w:rsid w:val="006A394B"/>
    <w:rsid w:val="006A4217"/>
    <w:rsid w:val="006A5AD1"/>
    <w:rsid w:val="006A6806"/>
    <w:rsid w:val="006B1BC0"/>
    <w:rsid w:val="006B34CF"/>
    <w:rsid w:val="006B3693"/>
    <w:rsid w:val="006B438F"/>
    <w:rsid w:val="006B530D"/>
    <w:rsid w:val="006B5558"/>
    <w:rsid w:val="006B6805"/>
    <w:rsid w:val="006B6909"/>
    <w:rsid w:val="006B6FA2"/>
    <w:rsid w:val="006B7080"/>
    <w:rsid w:val="006B73D9"/>
    <w:rsid w:val="006C08F1"/>
    <w:rsid w:val="006C2D87"/>
    <w:rsid w:val="006C34C9"/>
    <w:rsid w:val="006C713D"/>
    <w:rsid w:val="006D0997"/>
    <w:rsid w:val="006D31C4"/>
    <w:rsid w:val="006D3A93"/>
    <w:rsid w:val="006D698A"/>
    <w:rsid w:val="006E1A52"/>
    <w:rsid w:val="006E22A7"/>
    <w:rsid w:val="006E23BF"/>
    <w:rsid w:val="006E419A"/>
    <w:rsid w:val="006E4A28"/>
    <w:rsid w:val="006E6E5D"/>
    <w:rsid w:val="006E70D7"/>
    <w:rsid w:val="006F4E33"/>
    <w:rsid w:val="006F5CAC"/>
    <w:rsid w:val="006F6E45"/>
    <w:rsid w:val="00700154"/>
    <w:rsid w:val="007004B8"/>
    <w:rsid w:val="0070078F"/>
    <w:rsid w:val="00700946"/>
    <w:rsid w:val="007028EF"/>
    <w:rsid w:val="00702EB1"/>
    <w:rsid w:val="00705122"/>
    <w:rsid w:val="00705E99"/>
    <w:rsid w:val="00706DF6"/>
    <w:rsid w:val="00707DDE"/>
    <w:rsid w:val="007101DC"/>
    <w:rsid w:val="00712A8A"/>
    <w:rsid w:val="00714EEF"/>
    <w:rsid w:val="007211F9"/>
    <w:rsid w:val="00721784"/>
    <w:rsid w:val="00723373"/>
    <w:rsid w:val="00723671"/>
    <w:rsid w:val="00723791"/>
    <w:rsid w:val="00724764"/>
    <w:rsid w:val="00725156"/>
    <w:rsid w:val="00725645"/>
    <w:rsid w:val="00726EC8"/>
    <w:rsid w:val="00726FD9"/>
    <w:rsid w:val="00730093"/>
    <w:rsid w:val="00732D34"/>
    <w:rsid w:val="00734355"/>
    <w:rsid w:val="007343CF"/>
    <w:rsid w:val="00734513"/>
    <w:rsid w:val="007347E3"/>
    <w:rsid w:val="00734867"/>
    <w:rsid w:val="00740174"/>
    <w:rsid w:val="00743CA0"/>
    <w:rsid w:val="00747FE7"/>
    <w:rsid w:val="007509F9"/>
    <w:rsid w:val="007521B3"/>
    <w:rsid w:val="00753298"/>
    <w:rsid w:val="00753528"/>
    <w:rsid w:val="0075394E"/>
    <w:rsid w:val="00753D8A"/>
    <w:rsid w:val="00753F37"/>
    <w:rsid w:val="007551CE"/>
    <w:rsid w:val="00756FC9"/>
    <w:rsid w:val="007571F7"/>
    <w:rsid w:val="0076086D"/>
    <w:rsid w:val="00761BC1"/>
    <w:rsid w:val="00761E80"/>
    <w:rsid w:val="00763899"/>
    <w:rsid w:val="00763BBB"/>
    <w:rsid w:val="00764C9E"/>
    <w:rsid w:val="00765B7B"/>
    <w:rsid w:val="00770DAC"/>
    <w:rsid w:val="00770FDE"/>
    <w:rsid w:val="00771AD3"/>
    <w:rsid w:val="00771AF2"/>
    <w:rsid w:val="007728D3"/>
    <w:rsid w:val="00772BF2"/>
    <w:rsid w:val="007800FF"/>
    <w:rsid w:val="00780BA0"/>
    <w:rsid w:val="00781164"/>
    <w:rsid w:val="0078182F"/>
    <w:rsid w:val="00781C7C"/>
    <w:rsid w:val="007852FA"/>
    <w:rsid w:val="00785B24"/>
    <w:rsid w:val="007868EC"/>
    <w:rsid w:val="00786CB5"/>
    <w:rsid w:val="00786E94"/>
    <w:rsid w:val="00790E2B"/>
    <w:rsid w:val="00791A9D"/>
    <w:rsid w:val="007931B5"/>
    <w:rsid w:val="007936D8"/>
    <w:rsid w:val="00795DBD"/>
    <w:rsid w:val="007A12F8"/>
    <w:rsid w:val="007A21C9"/>
    <w:rsid w:val="007A2680"/>
    <w:rsid w:val="007A41D1"/>
    <w:rsid w:val="007A51AB"/>
    <w:rsid w:val="007A557C"/>
    <w:rsid w:val="007A59AD"/>
    <w:rsid w:val="007A5AC1"/>
    <w:rsid w:val="007A6902"/>
    <w:rsid w:val="007B1053"/>
    <w:rsid w:val="007B6A87"/>
    <w:rsid w:val="007B7405"/>
    <w:rsid w:val="007C26DE"/>
    <w:rsid w:val="007C33F8"/>
    <w:rsid w:val="007C349B"/>
    <w:rsid w:val="007C37F9"/>
    <w:rsid w:val="007D0580"/>
    <w:rsid w:val="007D0D89"/>
    <w:rsid w:val="007D215D"/>
    <w:rsid w:val="007D2C6E"/>
    <w:rsid w:val="007D3FA3"/>
    <w:rsid w:val="007D49A0"/>
    <w:rsid w:val="007D5600"/>
    <w:rsid w:val="007E277F"/>
    <w:rsid w:val="007E443B"/>
    <w:rsid w:val="007E580E"/>
    <w:rsid w:val="007F1AAF"/>
    <w:rsid w:val="007F3223"/>
    <w:rsid w:val="007F3373"/>
    <w:rsid w:val="007F76CB"/>
    <w:rsid w:val="007F7ECA"/>
    <w:rsid w:val="00800DF9"/>
    <w:rsid w:val="008018BC"/>
    <w:rsid w:val="00803292"/>
    <w:rsid w:val="008038AE"/>
    <w:rsid w:val="00803BDF"/>
    <w:rsid w:val="0080542E"/>
    <w:rsid w:val="00805B91"/>
    <w:rsid w:val="008066B6"/>
    <w:rsid w:val="008068BC"/>
    <w:rsid w:val="008116C5"/>
    <w:rsid w:val="008150BF"/>
    <w:rsid w:val="00815C05"/>
    <w:rsid w:val="00817360"/>
    <w:rsid w:val="008178FD"/>
    <w:rsid w:val="00817B45"/>
    <w:rsid w:val="00817DDF"/>
    <w:rsid w:val="008203D6"/>
    <w:rsid w:val="00821ED4"/>
    <w:rsid w:val="008231B1"/>
    <w:rsid w:val="00823656"/>
    <w:rsid w:val="00823B08"/>
    <w:rsid w:val="008256E9"/>
    <w:rsid w:val="00827340"/>
    <w:rsid w:val="00827710"/>
    <w:rsid w:val="00830B2A"/>
    <w:rsid w:val="0083131D"/>
    <w:rsid w:val="00831F49"/>
    <w:rsid w:val="0083353E"/>
    <w:rsid w:val="00833666"/>
    <w:rsid w:val="00833C04"/>
    <w:rsid w:val="00835F19"/>
    <w:rsid w:val="00836889"/>
    <w:rsid w:val="008405A1"/>
    <w:rsid w:val="008417B5"/>
    <w:rsid w:val="00841C69"/>
    <w:rsid w:val="00844578"/>
    <w:rsid w:val="0084458C"/>
    <w:rsid w:val="00844779"/>
    <w:rsid w:val="00846101"/>
    <w:rsid w:val="00846BC4"/>
    <w:rsid w:val="00850606"/>
    <w:rsid w:val="00851CFA"/>
    <w:rsid w:val="0085464A"/>
    <w:rsid w:val="0085564B"/>
    <w:rsid w:val="008571D1"/>
    <w:rsid w:val="008579D0"/>
    <w:rsid w:val="008601DA"/>
    <w:rsid w:val="00860686"/>
    <w:rsid w:val="008617F0"/>
    <w:rsid w:val="008625AF"/>
    <w:rsid w:val="00864EAB"/>
    <w:rsid w:val="0086697D"/>
    <w:rsid w:val="00867FDC"/>
    <w:rsid w:val="00872AB4"/>
    <w:rsid w:val="00872E94"/>
    <w:rsid w:val="00872ECE"/>
    <w:rsid w:val="00873099"/>
    <w:rsid w:val="0087496A"/>
    <w:rsid w:val="0087498A"/>
    <w:rsid w:val="00874BBD"/>
    <w:rsid w:val="00874C46"/>
    <w:rsid w:val="00875134"/>
    <w:rsid w:val="00880465"/>
    <w:rsid w:val="00881C1F"/>
    <w:rsid w:val="00882B2A"/>
    <w:rsid w:val="00884728"/>
    <w:rsid w:val="008850FE"/>
    <w:rsid w:val="00886A71"/>
    <w:rsid w:val="00887276"/>
    <w:rsid w:val="00887618"/>
    <w:rsid w:val="0089043A"/>
    <w:rsid w:val="00890528"/>
    <w:rsid w:val="00891843"/>
    <w:rsid w:val="008922D6"/>
    <w:rsid w:val="00893492"/>
    <w:rsid w:val="00893B15"/>
    <w:rsid w:val="00893D0B"/>
    <w:rsid w:val="00896E6F"/>
    <w:rsid w:val="0089707C"/>
    <w:rsid w:val="00897759"/>
    <w:rsid w:val="008A0566"/>
    <w:rsid w:val="008A10E4"/>
    <w:rsid w:val="008A1B24"/>
    <w:rsid w:val="008A3963"/>
    <w:rsid w:val="008A3B49"/>
    <w:rsid w:val="008A4421"/>
    <w:rsid w:val="008A782E"/>
    <w:rsid w:val="008B03CD"/>
    <w:rsid w:val="008B0CE4"/>
    <w:rsid w:val="008B3C5D"/>
    <w:rsid w:val="008B4665"/>
    <w:rsid w:val="008B4878"/>
    <w:rsid w:val="008B5FA8"/>
    <w:rsid w:val="008B680C"/>
    <w:rsid w:val="008B7D19"/>
    <w:rsid w:val="008C110E"/>
    <w:rsid w:val="008C16C5"/>
    <w:rsid w:val="008C1D60"/>
    <w:rsid w:val="008C2143"/>
    <w:rsid w:val="008C334B"/>
    <w:rsid w:val="008C3B2B"/>
    <w:rsid w:val="008C5BF9"/>
    <w:rsid w:val="008C6CA1"/>
    <w:rsid w:val="008D0DFC"/>
    <w:rsid w:val="008D15CE"/>
    <w:rsid w:val="008D363D"/>
    <w:rsid w:val="008D4730"/>
    <w:rsid w:val="008D5C30"/>
    <w:rsid w:val="008D6B9E"/>
    <w:rsid w:val="008E03CA"/>
    <w:rsid w:val="008E06AE"/>
    <w:rsid w:val="008E1479"/>
    <w:rsid w:val="008E153D"/>
    <w:rsid w:val="008E16C9"/>
    <w:rsid w:val="008E1C21"/>
    <w:rsid w:val="008E3E21"/>
    <w:rsid w:val="008E3EF6"/>
    <w:rsid w:val="008E4A1C"/>
    <w:rsid w:val="008E5348"/>
    <w:rsid w:val="008E54FE"/>
    <w:rsid w:val="008E7E06"/>
    <w:rsid w:val="008F04B8"/>
    <w:rsid w:val="008F2E6C"/>
    <w:rsid w:val="008F661E"/>
    <w:rsid w:val="008F6762"/>
    <w:rsid w:val="00902155"/>
    <w:rsid w:val="00903FEE"/>
    <w:rsid w:val="009045B3"/>
    <w:rsid w:val="009047C1"/>
    <w:rsid w:val="009049A6"/>
    <w:rsid w:val="00905BEE"/>
    <w:rsid w:val="0091038B"/>
    <w:rsid w:val="009107D1"/>
    <w:rsid w:val="00911DEE"/>
    <w:rsid w:val="0091223A"/>
    <w:rsid w:val="00912969"/>
    <w:rsid w:val="0091394D"/>
    <w:rsid w:val="00913AE9"/>
    <w:rsid w:val="00914080"/>
    <w:rsid w:val="009146C5"/>
    <w:rsid w:val="00916A57"/>
    <w:rsid w:val="00917F72"/>
    <w:rsid w:val="009208EA"/>
    <w:rsid w:val="00923D0C"/>
    <w:rsid w:val="00925F28"/>
    <w:rsid w:val="00927CEC"/>
    <w:rsid w:val="00933B32"/>
    <w:rsid w:val="00934E5C"/>
    <w:rsid w:val="00937BFF"/>
    <w:rsid w:val="00937F87"/>
    <w:rsid w:val="0094105B"/>
    <w:rsid w:val="00941CD5"/>
    <w:rsid w:val="00944EED"/>
    <w:rsid w:val="00945BBF"/>
    <w:rsid w:val="00947014"/>
    <w:rsid w:val="00950045"/>
    <w:rsid w:val="0095024B"/>
    <w:rsid w:val="00950C90"/>
    <w:rsid w:val="00951D19"/>
    <w:rsid w:val="00953E45"/>
    <w:rsid w:val="0095467B"/>
    <w:rsid w:val="00955E0C"/>
    <w:rsid w:val="00961EA2"/>
    <w:rsid w:val="0096412F"/>
    <w:rsid w:val="0096442F"/>
    <w:rsid w:val="0096743E"/>
    <w:rsid w:val="009728E3"/>
    <w:rsid w:val="0097420B"/>
    <w:rsid w:val="0097547D"/>
    <w:rsid w:val="009756E2"/>
    <w:rsid w:val="00976F6F"/>
    <w:rsid w:val="00982B16"/>
    <w:rsid w:val="0098308B"/>
    <w:rsid w:val="00983751"/>
    <w:rsid w:val="00983F46"/>
    <w:rsid w:val="009851DE"/>
    <w:rsid w:val="00985B3F"/>
    <w:rsid w:val="00985EC1"/>
    <w:rsid w:val="009929E9"/>
    <w:rsid w:val="00992F7C"/>
    <w:rsid w:val="00994F7B"/>
    <w:rsid w:val="009960B8"/>
    <w:rsid w:val="00997508"/>
    <w:rsid w:val="009A0E82"/>
    <w:rsid w:val="009A2025"/>
    <w:rsid w:val="009A27FF"/>
    <w:rsid w:val="009A4C1E"/>
    <w:rsid w:val="009A5979"/>
    <w:rsid w:val="009A5B0F"/>
    <w:rsid w:val="009A65F6"/>
    <w:rsid w:val="009B1231"/>
    <w:rsid w:val="009B34C0"/>
    <w:rsid w:val="009B74C0"/>
    <w:rsid w:val="009C1744"/>
    <w:rsid w:val="009C3C48"/>
    <w:rsid w:val="009C430B"/>
    <w:rsid w:val="009C47C6"/>
    <w:rsid w:val="009C4F44"/>
    <w:rsid w:val="009C51CB"/>
    <w:rsid w:val="009C5240"/>
    <w:rsid w:val="009C661F"/>
    <w:rsid w:val="009D1CAB"/>
    <w:rsid w:val="009D2416"/>
    <w:rsid w:val="009D3B7B"/>
    <w:rsid w:val="009D52D8"/>
    <w:rsid w:val="009E2A2B"/>
    <w:rsid w:val="009E2AF2"/>
    <w:rsid w:val="009E3240"/>
    <w:rsid w:val="009E5261"/>
    <w:rsid w:val="009E6241"/>
    <w:rsid w:val="009F125E"/>
    <w:rsid w:val="009F1945"/>
    <w:rsid w:val="009F2506"/>
    <w:rsid w:val="009F2777"/>
    <w:rsid w:val="009F4D75"/>
    <w:rsid w:val="009F4F90"/>
    <w:rsid w:val="009F5066"/>
    <w:rsid w:val="009F5769"/>
    <w:rsid w:val="009F68F6"/>
    <w:rsid w:val="00A005C0"/>
    <w:rsid w:val="00A04F55"/>
    <w:rsid w:val="00A055E3"/>
    <w:rsid w:val="00A0573E"/>
    <w:rsid w:val="00A058C0"/>
    <w:rsid w:val="00A061B0"/>
    <w:rsid w:val="00A1241F"/>
    <w:rsid w:val="00A12E20"/>
    <w:rsid w:val="00A12E9D"/>
    <w:rsid w:val="00A1483D"/>
    <w:rsid w:val="00A14E1E"/>
    <w:rsid w:val="00A15698"/>
    <w:rsid w:val="00A16730"/>
    <w:rsid w:val="00A20C8B"/>
    <w:rsid w:val="00A22C79"/>
    <w:rsid w:val="00A24697"/>
    <w:rsid w:val="00A26437"/>
    <w:rsid w:val="00A27AAE"/>
    <w:rsid w:val="00A27C96"/>
    <w:rsid w:val="00A30DEE"/>
    <w:rsid w:val="00A31010"/>
    <w:rsid w:val="00A3220C"/>
    <w:rsid w:val="00A325C3"/>
    <w:rsid w:val="00A341F8"/>
    <w:rsid w:val="00A3466F"/>
    <w:rsid w:val="00A368C2"/>
    <w:rsid w:val="00A36FD2"/>
    <w:rsid w:val="00A41687"/>
    <w:rsid w:val="00A41BE9"/>
    <w:rsid w:val="00A41EB1"/>
    <w:rsid w:val="00A434AE"/>
    <w:rsid w:val="00A447FB"/>
    <w:rsid w:val="00A450FE"/>
    <w:rsid w:val="00A45575"/>
    <w:rsid w:val="00A45735"/>
    <w:rsid w:val="00A46FFA"/>
    <w:rsid w:val="00A47571"/>
    <w:rsid w:val="00A522FC"/>
    <w:rsid w:val="00A542C6"/>
    <w:rsid w:val="00A5540F"/>
    <w:rsid w:val="00A56E43"/>
    <w:rsid w:val="00A60BFE"/>
    <w:rsid w:val="00A6495D"/>
    <w:rsid w:val="00A678D6"/>
    <w:rsid w:val="00A70234"/>
    <w:rsid w:val="00A70D4A"/>
    <w:rsid w:val="00A70DFA"/>
    <w:rsid w:val="00A70F87"/>
    <w:rsid w:val="00A721E9"/>
    <w:rsid w:val="00A723CB"/>
    <w:rsid w:val="00A73014"/>
    <w:rsid w:val="00A74AAE"/>
    <w:rsid w:val="00A7569E"/>
    <w:rsid w:val="00A760D3"/>
    <w:rsid w:val="00A81723"/>
    <w:rsid w:val="00A820D3"/>
    <w:rsid w:val="00A827F5"/>
    <w:rsid w:val="00A84002"/>
    <w:rsid w:val="00A8497F"/>
    <w:rsid w:val="00A8679A"/>
    <w:rsid w:val="00A87669"/>
    <w:rsid w:val="00A90306"/>
    <w:rsid w:val="00A9118D"/>
    <w:rsid w:val="00A91879"/>
    <w:rsid w:val="00A918A5"/>
    <w:rsid w:val="00A91E5C"/>
    <w:rsid w:val="00A92082"/>
    <w:rsid w:val="00A935D0"/>
    <w:rsid w:val="00A93F16"/>
    <w:rsid w:val="00A93FC9"/>
    <w:rsid w:val="00A9423D"/>
    <w:rsid w:val="00A9663D"/>
    <w:rsid w:val="00AA03E4"/>
    <w:rsid w:val="00AA1C1C"/>
    <w:rsid w:val="00AA3CAE"/>
    <w:rsid w:val="00AA5202"/>
    <w:rsid w:val="00AA5F89"/>
    <w:rsid w:val="00AB18A3"/>
    <w:rsid w:val="00AB436C"/>
    <w:rsid w:val="00AB5E0C"/>
    <w:rsid w:val="00AB63B7"/>
    <w:rsid w:val="00AB63E1"/>
    <w:rsid w:val="00AB7EA5"/>
    <w:rsid w:val="00AC3F4C"/>
    <w:rsid w:val="00AC640B"/>
    <w:rsid w:val="00AC6B70"/>
    <w:rsid w:val="00AC7A02"/>
    <w:rsid w:val="00AC7F05"/>
    <w:rsid w:val="00AD029E"/>
    <w:rsid w:val="00AD0B25"/>
    <w:rsid w:val="00AD2D3C"/>
    <w:rsid w:val="00AD547A"/>
    <w:rsid w:val="00AD60B4"/>
    <w:rsid w:val="00AD71EE"/>
    <w:rsid w:val="00AE14C8"/>
    <w:rsid w:val="00AE23DB"/>
    <w:rsid w:val="00AE2918"/>
    <w:rsid w:val="00AE5AA3"/>
    <w:rsid w:val="00AE5D7C"/>
    <w:rsid w:val="00AE6288"/>
    <w:rsid w:val="00AE6E52"/>
    <w:rsid w:val="00AE7397"/>
    <w:rsid w:val="00AE79A6"/>
    <w:rsid w:val="00AF001C"/>
    <w:rsid w:val="00AF05B9"/>
    <w:rsid w:val="00AF1648"/>
    <w:rsid w:val="00AF24A6"/>
    <w:rsid w:val="00AF43A5"/>
    <w:rsid w:val="00AF54C3"/>
    <w:rsid w:val="00AF6C53"/>
    <w:rsid w:val="00AF734D"/>
    <w:rsid w:val="00AF79B1"/>
    <w:rsid w:val="00B01D72"/>
    <w:rsid w:val="00B0334F"/>
    <w:rsid w:val="00B03A5B"/>
    <w:rsid w:val="00B03C6C"/>
    <w:rsid w:val="00B05296"/>
    <w:rsid w:val="00B0600D"/>
    <w:rsid w:val="00B1097F"/>
    <w:rsid w:val="00B109CF"/>
    <w:rsid w:val="00B1260C"/>
    <w:rsid w:val="00B12AEA"/>
    <w:rsid w:val="00B12C9B"/>
    <w:rsid w:val="00B13F21"/>
    <w:rsid w:val="00B144CE"/>
    <w:rsid w:val="00B156D8"/>
    <w:rsid w:val="00B16EF5"/>
    <w:rsid w:val="00B170CC"/>
    <w:rsid w:val="00B200D7"/>
    <w:rsid w:val="00B20643"/>
    <w:rsid w:val="00B22A92"/>
    <w:rsid w:val="00B25128"/>
    <w:rsid w:val="00B25E53"/>
    <w:rsid w:val="00B260DD"/>
    <w:rsid w:val="00B26DB7"/>
    <w:rsid w:val="00B3002E"/>
    <w:rsid w:val="00B30710"/>
    <w:rsid w:val="00B31360"/>
    <w:rsid w:val="00B324BB"/>
    <w:rsid w:val="00B32D4A"/>
    <w:rsid w:val="00B342D6"/>
    <w:rsid w:val="00B3518A"/>
    <w:rsid w:val="00B367D6"/>
    <w:rsid w:val="00B36E0B"/>
    <w:rsid w:val="00B41D40"/>
    <w:rsid w:val="00B429E2"/>
    <w:rsid w:val="00B4362B"/>
    <w:rsid w:val="00B44942"/>
    <w:rsid w:val="00B45CF5"/>
    <w:rsid w:val="00B46FC9"/>
    <w:rsid w:val="00B522DF"/>
    <w:rsid w:val="00B529CB"/>
    <w:rsid w:val="00B53214"/>
    <w:rsid w:val="00B53396"/>
    <w:rsid w:val="00B53497"/>
    <w:rsid w:val="00B551A4"/>
    <w:rsid w:val="00B556EF"/>
    <w:rsid w:val="00B56004"/>
    <w:rsid w:val="00B567F3"/>
    <w:rsid w:val="00B57789"/>
    <w:rsid w:val="00B60322"/>
    <w:rsid w:val="00B621DE"/>
    <w:rsid w:val="00B628D2"/>
    <w:rsid w:val="00B6337A"/>
    <w:rsid w:val="00B63F68"/>
    <w:rsid w:val="00B6554D"/>
    <w:rsid w:val="00B65814"/>
    <w:rsid w:val="00B66A37"/>
    <w:rsid w:val="00B6732D"/>
    <w:rsid w:val="00B67464"/>
    <w:rsid w:val="00B67E8F"/>
    <w:rsid w:val="00B70025"/>
    <w:rsid w:val="00B70268"/>
    <w:rsid w:val="00B70910"/>
    <w:rsid w:val="00B71E49"/>
    <w:rsid w:val="00B72230"/>
    <w:rsid w:val="00B74911"/>
    <w:rsid w:val="00B74A5D"/>
    <w:rsid w:val="00B750EC"/>
    <w:rsid w:val="00B76486"/>
    <w:rsid w:val="00B772B5"/>
    <w:rsid w:val="00B77CEB"/>
    <w:rsid w:val="00B81F09"/>
    <w:rsid w:val="00B83160"/>
    <w:rsid w:val="00B86A97"/>
    <w:rsid w:val="00B86CF2"/>
    <w:rsid w:val="00B8797D"/>
    <w:rsid w:val="00B87C86"/>
    <w:rsid w:val="00B91CB2"/>
    <w:rsid w:val="00B92983"/>
    <w:rsid w:val="00B97580"/>
    <w:rsid w:val="00BA1279"/>
    <w:rsid w:val="00BA4B5C"/>
    <w:rsid w:val="00BA4EBD"/>
    <w:rsid w:val="00BA714A"/>
    <w:rsid w:val="00BB247B"/>
    <w:rsid w:val="00BB40D9"/>
    <w:rsid w:val="00BB5479"/>
    <w:rsid w:val="00BB5DC8"/>
    <w:rsid w:val="00BB637E"/>
    <w:rsid w:val="00BC0556"/>
    <w:rsid w:val="00BC10AC"/>
    <w:rsid w:val="00BC38CE"/>
    <w:rsid w:val="00BC54FE"/>
    <w:rsid w:val="00BD115F"/>
    <w:rsid w:val="00BD23BE"/>
    <w:rsid w:val="00BD242B"/>
    <w:rsid w:val="00BD316D"/>
    <w:rsid w:val="00BD4185"/>
    <w:rsid w:val="00BD58FE"/>
    <w:rsid w:val="00BD6548"/>
    <w:rsid w:val="00BD6B03"/>
    <w:rsid w:val="00BD6C48"/>
    <w:rsid w:val="00BE0D73"/>
    <w:rsid w:val="00BE19F3"/>
    <w:rsid w:val="00BE24EA"/>
    <w:rsid w:val="00BE347F"/>
    <w:rsid w:val="00BE573B"/>
    <w:rsid w:val="00BE5883"/>
    <w:rsid w:val="00BF02E8"/>
    <w:rsid w:val="00BF0A8D"/>
    <w:rsid w:val="00BF308D"/>
    <w:rsid w:val="00BF3ACF"/>
    <w:rsid w:val="00BF5B9D"/>
    <w:rsid w:val="00BF69C0"/>
    <w:rsid w:val="00BF7CEA"/>
    <w:rsid w:val="00BF7E34"/>
    <w:rsid w:val="00C00F0C"/>
    <w:rsid w:val="00C02D85"/>
    <w:rsid w:val="00C03984"/>
    <w:rsid w:val="00C03CDF"/>
    <w:rsid w:val="00C0473E"/>
    <w:rsid w:val="00C10B6E"/>
    <w:rsid w:val="00C10DCC"/>
    <w:rsid w:val="00C10E06"/>
    <w:rsid w:val="00C1315B"/>
    <w:rsid w:val="00C143CE"/>
    <w:rsid w:val="00C159B4"/>
    <w:rsid w:val="00C16091"/>
    <w:rsid w:val="00C163B2"/>
    <w:rsid w:val="00C201B9"/>
    <w:rsid w:val="00C220E8"/>
    <w:rsid w:val="00C233FB"/>
    <w:rsid w:val="00C23AC7"/>
    <w:rsid w:val="00C24CAB"/>
    <w:rsid w:val="00C253B2"/>
    <w:rsid w:val="00C264AD"/>
    <w:rsid w:val="00C26698"/>
    <w:rsid w:val="00C26DC9"/>
    <w:rsid w:val="00C26EA3"/>
    <w:rsid w:val="00C27918"/>
    <w:rsid w:val="00C27B63"/>
    <w:rsid w:val="00C27F65"/>
    <w:rsid w:val="00C31050"/>
    <w:rsid w:val="00C33624"/>
    <w:rsid w:val="00C338CC"/>
    <w:rsid w:val="00C34E45"/>
    <w:rsid w:val="00C3584B"/>
    <w:rsid w:val="00C35F37"/>
    <w:rsid w:val="00C366F0"/>
    <w:rsid w:val="00C37351"/>
    <w:rsid w:val="00C433C3"/>
    <w:rsid w:val="00C457B5"/>
    <w:rsid w:val="00C45810"/>
    <w:rsid w:val="00C46A7E"/>
    <w:rsid w:val="00C47E32"/>
    <w:rsid w:val="00C5379D"/>
    <w:rsid w:val="00C54550"/>
    <w:rsid w:val="00C57CF0"/>
    <w:rsid w:val="00C60D10"/>
    <w:rsid w:val="00C6262D"/>
    <w:rsid w:val="00C62996"/>
    <w:rsid w:val="00C62DC2"/>
    <w:rsid w:val="00C631D9"/>
    <w:rsid w:val="00C638C1"/>
    <w:rsid w:val="00C654F6"/>
    <w:rsid w:val="00C7029E"/>
    <w:rsid w:val="00C70A61"/>
    <w:rsid w:val="00C71DE0"/>
    <w:rsid w:val="00C71E9B"/>
    <w:rsid w:val="00C7204E"/>
    <w:rsid w:val="00C72BCE"/>
    <w:rsid w:val="00C7747A"/>
    <w:rsid w:val="00C8019F"/>
    <w:rsid w:val="00C818C6"/>
    <w:rsid w:val="00C819E7"/>
    <w:rsid w:val="00C81B11"/>
    <w:rsid w:val="00C85F7B"/>
    <w:rsid w:val="00C872C6"/>
    <w:rsid w:val="00C915E7"/>
    <w:rsid w:val="00C93E91"/>
    <w:rsid w:val="00C96C92"/>
    <w:rsid w:val="00CA1307"/>
    <w:rsid w:val="00CA1686"/>
    <w:rsid w:val="00CA30E9"/>
    <w:rsid w:val="00CA36AA"/>
    <w:rsid w:val="00CA3C35"/>
    <w:rsid w:val="00CA5526"/>
    <w:rsid w:val="00CA6952"/>
    <w:rsid w:val="00CA7074"/>
    <w:rsid w:val="00CA713D"/>
    <w:rsid w:val="00CB0FED"/>
    <w:rsid w:val="00CB147E"/>
    <w:rsid w:val="00CB2EA4"/>
    <w:rsid w:val="00CB3C50"/>
    <w:rsid w:val="00CB446E"/>
    <w:rsid w:val="00CB74C8"/>
    <w:rsid w:val="00CB7A86"/>
    <w:rsid w:val="00CB7D8F"/>
    <w:rsid w:val="00CC1003"/>
    <w:rsid w:val="00CC1D94"/>
    <w:rsid w:val="00CC5B94"/>
    <w:rsid w:val="00CC69A2"/>
    <w:rsid w:val="00CC7B9D"/>
    <w:rsid w:val="00CD0316"/>
    <w:rsid w:val="00CD1002"/>
    <w:rsid w:val="00CD2EA2"/>
    <w:rsid w:val="00CD37B1"/>
    <w:rsid w:val="00CD48D6"/>
    <w:rsid w:val="00CD6273"/>
    <w:rsid w:val="00CD65EA"/>
    <w:rsid w:val="00CE0936"/>
    <w:rsid w:val="00CE1932"/>
    <w:rsid w:val="00CE20DE"/>
    <w:rsid w:val="00CE21F8"/>
    <w:rsid w:val="00CE4D92"/>
    <w:rsid w:val="00CE591B"/>
    <w:rsid w:val="00CE6381"/>
    <w:rsid w:val="00CF057C"/>
    <w:rsid w:val="00CF157E"/>
    <w:rsid w:val="00CF1DDB"/>
    <w:rsid w:val="00CF5BA0"/>
    <w:rsid w:val="00CF7ED3"/>
    <w:rsid w:val="00D01B56"/>
    <w:rsid w:val="00D02C2E"/>
    <w:rsid w:val="00D03BD2"/>
    <w:rsid w:val="00D04136"/>
    <w:rsid w:val="00D04158"/>
    <w:rsid w:val="00D05536"/>
    <w:rsid w:val="00D059DD"/>
    <w:rsid w:val="00D07F94"/>
    <w:rsid w:val="00D12674"/>
    <w:rsid w:val="00D12AEF"/>
    <w:rsid w:val="00D12DE0"/>
    <w:rsid w:val="00D131B8"/>
    <w:rsid w:val="00D13DE2"/>
    <w:rsid w:val="00D14F53"/>
    <w:rsid w:val="00D17786"/>
    <w:rsid w:val="00D20525"/>
    <w:rsid w:val="00D21BE6"/>
    <w:rsid w:val="00D21D08"/>
    <w:rsid w:val="00D23DDD"/>
    <w:rsid w:val="00D2436D"/>
    <w:rsid w:val="00D25286"/>
    <w:rsid w:val="00D27455"/>
    <w:rsid w:val="00D30817"/>
    <w:rsid w:val="00D34F7A"/>
    <w:rsid w:val="00D37136"/>
    <w:rsid w:val="00D40A2D"/>
    <w:rsid w:val="00D40C57"/>
    <w:rsid w:val="00D41124"/>
    <w:rsid w:val="00D4165F"/>
    <w:rsid w:val="00D43663"/>
    <w:rsid w:val="00D43EEE"/>
    <w:rsid w:val="00D46800"/>
    <w:rsid w:val="00D46D99"/>
    <w:rsid w:val="00D50C7A"/>
    <w:rsid w:val="00D544C3"/>
    <w:rsid w:val="00D55EAC"/>
    <w:rsid w:val="00D55F9C"/>
    <w:rsid w:val="00D5752D"/>
    <w:rsid w:val="00D638B5"/>
    <w:rsid w:val="00D66370"/>
    <w:rsid w:val="00D70A6B"/>
    <w:rsid w:val="00D70C9E"/>
    <w:rsid w:val="00D71701"/>
    <w:rsid w:val="00D717EF"/>
    <w:rsid w:val="00D71BFA"/>
    <w:rsid w:val="00D71C02"/>
    <w:rsid w:val="00D73E60"/>
    <w:rsid w:val="00D74FD8"/>
    <w:rsid w:val="00D755C4"/>
    <w:rsid w:val="00D80A95"/>
    <w:rsid w:val="00D8154C"/>
    <w:rsid w:val="00D83D29"/>
    <w:rsid w:val="00D875C3"/>
    <w:rsid w:val="00D90DD6"/>
    <w:rsid w:val="00D90E43"/>
    <w:rsid w:val="00D90EB9"/>
    <w:rsid w:val="00D911FE"/>
    <w:rsid w:val="00D948C3"/>
    <w:rsid w:val="00D961CF"/>
    <w:rsid w:val="00DA0216"/>
    <w:rsid w:val="00DA095E"/>
    <w:rsid w:val="00DA0B60"/>
    <w:rsid w:val="00DA1B70"/>
    <w:rsid w:val="00DA2020"/>
    <w:rsid w:val="00DA2B46"/>
    <w:rsid w:val="00DA2E9F"/>
    <w:rsid w:val="00DA4DBC"/>
    <w:rsid w:val="00DA551B"/>
    <w:rsid w:val="00DA57C8"/>
    <w:rsid w:val="00DA582B"/>
    <w:rsid w:val="00DA6662"/>
    <w:rsid w:val="00DA7F4D"/>
    <w:rsid w:val="00DB0476"/>
    <w:rsid w:val="00DB075C"/>
    <w:rsid w:val="00DB15CE"/>
    <w:rsid w:val="00DB1CEF"/>
    <w:rsid w:val="00DB1E8C"/>
    <w:rsid w:val="00DB1F6A"/>
    <w:rsid w:val="00DB3273"/>
    <w:rsid w:val="00DB492A"/>
    <w:rsid w:val="00DB7E2F"/>
    <w:rsid w:val="00DC41C0"/>
    <w:rsid w:val="00DC508A"/>
    <w:rsid w:val="00DD08AE"/>
    <w:rsid w:val="00DD2069"/>
    <w:rsid w:val="00DD2C59"/>
    <w:rsid w:val="00DD2D37"/>
    <w:rsid w:val="00DD37E9"/>
    <w:rsid w:val="00DD3B06"/>
    <w:rsid w:val="00DD48BD"/>
    <w:rsid w:val="00DD5A36"/>
    <w:rsid w:val="00DD696E"/>
    <w:rsid w:val="00DE1086"/>
    <w:rsid w:val="00DE1FE0"/>
    <w:rsid w:val="00DE55E9"/>
    <w:rsid w:val="00DE657D"/>
    <w:rsid w:val="00DF05EE"/>
    <w:rsid w:val="00DF081C"/>
    <w:rsid w:val="00DF4EF8"/>
    <w:rsid w:val="00DF5AFF"/>
    <w:rsid w:val="00DF62C4"/>
    <w:rsid w:val="00DF66BA"/>
    <w:rsid w:val="00DF6D9C"/>
    <w:rsid w:val="00E016CE"/>
    <w:rsid w:val="00E02355"/>
    <w:rsid w:val="00E04A95"/>
    <w:rsid w:val="00E05C1F"/>
    <w:rsid w:val="00E06D0F"/>
    <w:rsid w:val="00E11BE2"/>
    <w:rsid w:val="00E11C84"/>
    <w:rsid w:val="00E134A5"/>
    <w:rsid w:val="00E150ED"/>
    <w:rsid w:val="00E15112"/>
    <w:rsid w:val="00E16511"/>
    <w:rsid w:val="00E16F88"/>
    <w:rsid w:val="00E17162"/>
    <w:rsid w:val="00E173D6"/>
    <w:rsid w:val="00E20868"/>
    <w:rsid w:val="00E216C8"/>
    <w:rsid w:val="00E237F3"/>
    <w:rsid w:val="00E2412F"/>
    <w:rsid w:val="00E264E6"/>
    <w:rsid w:val="00E3031C"/>
    <w:rsid w:val="00E30CD4"/>
    <w:rsid w:val="00E3362D"/>
    <w:rsid w:val="00E338D8"/>
    <w:rsid w:val="00E3457D"/>
    <w:rsid w:val="00E36A2D"/>
    <w:rsid w:val="00E40284"/>
    <w:rsid w:val="00E40B49"/>
    <w:rsid w:val="00E41212"/>
    <w:rsid w:val="00E41298"/>
    <w:rsid w:val="00E41762"/>
    <w:rsid w:val="00E41C66"/>
    <w:rsid w:val="00E4285D"/>
    <w:rsid w:val="00E43299"/>
    <w:rsid w:val="00E4417B"/>
    <w:rsid w:val="00E44A96"/>
    <w:rsid w:val="00E45457"/>
    <w:rsid w:val="00E47641"/>
    <w:rsid w:val="00E5042F"/>
    <w:rsid w:val="00E52693"/>
    <w:rsid w:val="00E52DDE"/>
    <w:rsid w:val="00E53339"/>
    <w:rsid w:val="00E55A0A"/>
    <w:rsid w:val="00E55CB9"/>
    <w:rsid w:val="00E56282"/>
    <w:rsid w:val="00E57ADE"/>
    <w:rsid w:val="00E612F3"/>
    <w:rsid w:val="00E62488"/>
    <w:rsid w:val="00E63D32"/>
    <w:rsid w:val="00E654E0"/>
    <w:rsid w:val="00E66224"/>
    <w:rsid w:val="00E66721"/>
    <w:rsid w:val="00E6672E"/>
    <w:rsid w:val="00E669E2"/>
    <w:rsid w:val="00E66B02"/>
    <w:rsid w:val="00E66D99"/>
    <w:rsid w:val="00E66EE5"/>
    <w:rsid w:val="00E67609"/>
    <w:rsid w:val="00E67E90"/>
    <w:rsid w:val="00E70926"/>
    <w:rsid w:val="00E74558"/>
    <w:rsid w:val="00E77279"/>
    <w:rsid w:val="00E8179F"/>
    <w:rsid w:val="00E81832"/>
    <w:rsid w:val="00E82E7A"/>
    <w:rsid w:val="00E83473"/>
    <w:rsid w:val="00E84635"/>
    <w:rsid w:val="00E87535"/>
    <w:rsid w:val="00E87611"/>
    <w:rsid w:val="00E87A1F"/>
    <w:rsid w:val="00E911A8"/>
    <w:rsid w:val="00E92ED6"/>
    <w:rsid w:val="00E931CE"/>
    <w:rsid w:val="00E940BD"/>
    <w:rsid w:val="00E9727B"/>
    <w:rsid w:val="00E97A37"/>
    <w:rsid w:val="00E97B58"/>
    <w:rsid w:val="00EA04A5"/>
    <w:rsid w:val="00EA0AE6"/>
    <w:rsid w:val="00EA278F"/>
    <w:rsid w:val="00EA2BCF"/>
    <w:rsid w:val="00EA3404"/>
    <w:rsid w:val="00EA35A6"/>
    <w:rsid w:val="00EA3D23"/>
    <w:rsid w:val="00EA4404"/>
    <w:rsid w:val="00EA4BB5"/>
    <w:rsid w:val="00EA5FAC"/>
    <w:rsid w:val="00EA63F7"/>
    <w:rsid w:val="00EA6BC1"/>
    <w:rsid w:val="00EB3C26"/>
    <w:rsid w:val="00EB48DE"/>
    <w:rsid w:val="00EB53C9"/>
    <w:rsid w:val="00EB5CA4"/>
    <w:rsid w:val="00EB6038"/>
    <w:rsid w:val="00EB64D1"/>
    <w:rsid w:val="00EB6B6B"/>
    <w:rsid w:val="00EC14F0"/>
    <w:rsid w:val="00EC1C46"/>
    <w:rsid w:val="00EC227C"/>
    <w:rsid w:val="00EC2557"/>
    <w:rsid w:val="00EC2640"/>
    <w:rsid w:val="00EC2BD9"/>
    <w:rsid w:val="00EC2C9E"/>
    <w:rsid w:val="00EC53FB"/>
    <w:rsid w:val="00EC586D"/>
    <w:rsid w:val="00EC635E"/>
    <w:rsid w:val="00EC7FB9"/>
    <w:rsid w:val="00ED041A"/>
    <w:rsid w:val="00ED0E56"/>
    <w:rsid w:val="00ED2258"/>
    <w:rsid w:val="00ED3FD7"/>
    <w:rsid w:val="00ED4376"/>
    <w:rsid w:val="00ED5794"/>
    <w:rsid w:val="00ED6494"/>
    <w:rsid w:val="00ED7C4C"/>
    <w:rsid w:val="00EE068B"/>
    <w:rsid w:val="00EE1FA9"/>
    <w:rsid w:val="00EE22F2"/>
    <w:rsid w:val="00EE2CF7"/>
    <w:rsid w:val="00EE3C22"/>
    <w:rsid w:val="00EE487D"/>
    <w:rsid w:val="00EE5488"/>
    <w:rsid w:val="00EE569C"/>
    <w:rsid w:val="00EE59BC"/>
    <w:rsid w:val="00EE6A35"/>
    <w:rsid w:val="00EE6D18"/>
    <w:rsid w:val="00EE6EB9"/>
    <w:rsid w:val="00EE7407"/>
    <w:rsid w:val="00EE7498"/>
    <w:rsid w:val="00EF1BC9"/>
    <w:rsid w:val="00EF3516"/>
    <w:rsid w:val="00EF39A9"/>
    <w:rsid w:val="00EF6CB1"/>
    <w:rsid w:val="00EF71A3"/>
    <w:rsid w:val="00EF797D"/>
    <w:rsid w:val="00F011F1"/>
    <w:rsid w:val="00F01364"/>
    <w:rsid w:val="00F013AC"/>
    <w:rsid w:val="00F01FE7"/>
    <w:rsid w:val="00F02CA6"/>
    <w:rsid w:val="00F038F6"/>
    <w:rsid w:val="00F063B7"/>
    <w:rsid w:val="00F0789E"/>
    <w:rsid w:val="00F107C8"/>
    <w:rsid w:val="00F11C13"/>
    <w:rsid w:val="00F129E4"/>
    <w:rsid w:val="00F12DC0"/>
    <w:rsid w:val="00F1573B"/>
    <w:rsid w:val="00F20EFC"/>
    <w:rsid w:val="00F21474"/>
    <w:rsid w:val="00F2291A"/>
    <w:rsid w:val="00F300B1"/>
    <w:rsid w:val="00F31D29"/>
    <w:rsid w:val="00F32D62"/>
    <w:rsid w:val="00F330FB"/>
    <w:rsid w:val="00F3502D"/>
    <w:rsid w:val="00F3536F"/>
    <w:rsid w:val="00F371D0"/>
    <w:rsid w:val="00F4117B"/>
    <w:rsid w:val="00F4146D"/>
    <w:rsid w:val="00F43764"/>
    <w:rsid w:val="00F446CE"/>
    <w:rsid w:val="00F45C3C"/>
    <w:rsid w:val="00F46F5D"/>
    <w:rsid w:val="00F47F50"/>
    <w:rsid w:val="00F518E6"/>
    <w:rsid w:val="00F51A1C"/>
    <w:rsid w:val="00F52FDF"/>
    <w:rsid w:val="00F531A4"/>
    <w:rsid w:val="00F57C12"/>
    <w:rsid w:val="00F605D7"/>
    <w:rsid w:val="00F62BCB"/>
    <w:rsid w:val="00F63DB0"/>
    <w:rsid w:val="00F63EA6"/>
    <w:rsid w:val="00F65FC8"/>
    <w:rsid w:val="00F65FFC"/>
    <w:rsid w:val="00F6632C"/>
    <w:rsid w:val="00F66864"/>
    <w:rsid w:val="00F6695F"/>
    <w:rsid w:val="00F66E25"/>
    <w:rsid w:val="00F704AF"/>
    <w:rsid w:val="00F73D2B"/>
    <w:rsid w:val="00F7504B"/>
    <w:rsid w:val="00F807A4"/>
    <w:rsid w:val="00F82591"/>
    <w:rsid w:val="00F863E8"/>
    <w:rsid w:val="00F871D4"/>
    <w:rsid w:val="00F90313"/>
    <w:rsid w:val="00F907CB"/>
    <w:rsid w:val="00F90917"/>
    <w:rsid w:val="00F914E9"/>
    <w:rsid w:val="00F929E9"/>
    <w:rsid w:val="00F96B52"/>
    <w:rsid w:val="00FA0B57"/>
    <w:rsid w:val="00FA2866"/>
    <w:rsid w:val="00FA2B90"/>
    <w:rsid w:val="00FA407B"/>
    <w:rsid w:val="00FA6087"/>
    <w:rsid w:val="00FA7543"/>
    <w:rsid w:val="00FA7B09"/>
    <w:rsid w:val="00FB15FF"/>
    <w:rsid w:val="00FB1B58"/>
    <w:rsid w:val="00FB2EC1"/>
    <w:rsid w:val="00FB4FE7"/>
    <w:rsid w:val="00FB539A"/>
    <w:rsid w:val="00FB6C73"/>
    <w:rsid w:val="00FB7685"/>
    <w:rsid w:val="00FC10A2"/>
    <w:rsid w:val="00FC124C"/>
    <w:rsid w:val="00FC2F87"/>
    <w:rsid w:val="00FC35F0"/>
    <w:rsid w:val="00FC3EA0"/>
    <w:rsid w:val="00FC57F9"/>
    <w:rsid w:val="00FC5EC3"/>
    <w:rsid w:val="00FC7791"/>
    <w:rsid w:val="00FD064F"/>
    <w:rsid w:val="00FD1481"/>
    <w:rsid w:val="00FD14F6"/>
    <w:rsid w:val="00FD2AE2"/>
    <w:rsid w:val="00FD35E1"/>
    <w:rsid w:val="00FD434F"/>
    <w:rsid w:val="00FD4E26"/>
    <w:rsid w:val="00FD5A9E"/>
    <w:rsid w:val="00FD7F53"/>
    <w:rsid w:val="00FE18FE"/>
    <w:rsid w:val="00FE1A3F"/>
    <w:rsid w:val="00FE2917"/>
    <w:rsid w:val="00FE2C3B"/>
    <w:rsid w:val="00FE34AD"/>
    <w:rsid w:val="00FE3ED6"/>
    <w:rsid w:val="00FE6DB5"/>
    <w:rsid w:val="00FE7836"/>
    <w:rsid w:val="00FE7F52"/>
    <w:rsid w:val="00FF04D1"/>
    <w:rsid w:val="00FF1456"/>
    <w:rsid w:val="00FF1779"/>
    <w:rsid w:val="00FF258B"/>
    <w:rsid w:val="00FF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F8D686"/>
  <w15:chartTrackingRefBased/>
  <w15:docId w15:val="{4F31F38A-1068-4A2C-8B7D-1440BDE82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1259"/>
    <w:pPr>
      <w:tabs>
        <w:tab w:val="center" w:pos="4680"/>
        <w:tab w:val="right" w:pos="9360"/>
      </w:tabs>
    </w:pPr>
  </w:style>
  <w:style w:type="character" w:customStyle="1" w:styleId="HeaderChar">
    <w:name w:val="Header Char"/>
    <w:basedOn w:val="DefaultParagraphFont"/>
    <w:link w:val="Header"/>
    <w:uiPriority w:val="99"/>
    <w:rsid w:val="002B1259"/>
    <w:rPr>
      <w:sz w:val="24"/>
      <w:szCs w:val="24"/>
    </w:rPr>
  </w:style>
  <w:style w:type="paragraph" w:styleId="Footer">
    <w:name w:val="footer"/>
    <w:basedOn w:val="Normal"/>
    <w:link w:val="FooterChar"/>
    <w:uiPriority w:val="99"/>
    <w:rsid w:val="002B1259"/>
    <w:pPr>
      <w:tabs>
        <w:tab w:val="center" w:pos="4680"/>
        <w:tab w:val="right" w:pos="9360"/>
      </w:tabs>
    </w:pPr>
  </w:style>
  <w:style w:type="character" w:customStyle="1" w:styleId="FooterChar">
    <w:name w:val="Footer Char"/>
    <w:basedOn w:val="DefaultParagraphFont"/>
    <w:link w:val="Footer"/>
    <w:uiPriority w:val="99"/>
    <w:rsid w:val="002B1259"/>
    <w:rPr>
      <w:sz w:val="24"/>
      <w:szCs w:val="24"/>
    </w:rPr>
  </w:style>
  <w:style w:type="paragraph" w:styleId="ListParagraph">
    <w:name w:val="List Paragraph"/>
    <w:basedOn w:val="Normal"/>
    <w:uiPriority w:val="34"/>
    <w:qFormat/>
    <w:rsid w:val="00B200D7"/>
    <w:pPr>
      <w:ind w:left="720"/>
      <w:contextualSpacing/>
    </w:pPr>
  </w:style>
  <w:style w:type="character" w:styleId="PlaceholderText">
    <w:name w:val="Placeholder Text"/>
    <w:basedOn w:val="DefaultParagraphFont"/>
    <w:uiPriority w:val="99"/>
    <w:semiHidden/>
    <w:rsid w:val="003154E2"/>
    <w:rPr>
      <w:color w:val="808080"/>
    </w:rPr>
  </w:style>
  <w:style w:type="paragraph" w:styleId="BalloonText">
    <w:name w:val="Balloon Text"/>
    <w:basedOn w:val="Normal"/>
    <w:link w:val="BalloonTextChar"/>
    <w:rsid w:val="00DA582B"/>
    <w:rPr>
      <w:rFonts w:ascii="Segoe UI" w:hAnsi="Segoe UI" w:cs="Segoe UI"/>
      <w:sz w:val="18"/>
      <w:szCs w:val="18"/>
    </w:rPr>
  </w:style>
  <w:style w:type="character" w:customStyle="1" w:styleId="BalloonTextChar">
    <w:name w:val="Balloon Text Char"/>
    <w:basedOn w:val="DefaultParagraphFont"/>
    <w:link w:val="BalloonText"/>
    <w:rsid w:val="00DA582B"/>
    <w:rPr>
      <w:rFonts w:ascii="Segoe UI" w:hAnsi="Segoe UI" w:cs="Segoe UI"/>
      <w:sz w:val="18"/>
      <w:szCs w:val="18"/>
    </w:rPr>
  </w:style>
  <w:style w:type="character" w:styleId="CommentReference">
    <w:name w:val="annotation reference"/>
    <w:basedOn w:val="DefaultParagraphFont"/>
    <w:rsid w:val="003A2169"/>
    <w:rPr>
      <w:sz w:val="16"/>
      <w:szCs w:val="16"/>
    </w:rPr>
  </w:style>
  <w:style w:type="paragraph" w:styleId="CommentText">
    <w:name w:val="annotation text"/>
    <w:basedOn w:val="Normal"/>
    <w:link w:val="CommentTextChar"/>
    <w:rsid w:val="003A2169"/>
    <w:rPr>
      <w:sz w:val="20"/>
      <w:szCs w:val="20"/>
    </w:rPr>
  </w:style>
  <w:style w:type="character" w:customStyle="1" w:styleId="CommentTextChar">
    <w:name w:val="Comment Text Char"/>
    <w:basedOn w:val="DefaultParagraphFont"/>
    <w:link w:val="CommentText"/>
    <w:rsid w:val="003A2169"/>
  </w:style>
  <w:style w:type="paragraph" w:styleId="CommentSubject">
    <w:name w:val="annotation subject"/>
    <w:basedOn w:val="CommentText"/>
    <w:next w:val="CommentText"/>
    <w:link w:val="CommentSubjectChar"/>
    <w:rsid w:val="003A2169"/>
    <w:rPr>
      <w:b/>
      <w:bCs/>
    </w:rPr>
  </w:style>
  <w:style w:type="character" w:customStyle="1" w:styleId="CommentSubjectChar">
    <w:name w:val="Comment Subject Char"/>
    <w:basedOn w:val="CommentTextChar"/>
    <w:link w:val="CommentSubject"/>
    <w:rsid w:val="003A2169"/>
    <w:rPr>
      <w:b/>
      <w:bCs/>
    </w:rPr>
  </w:style>
  <w:style w:type="paragraph" w:styleId="FootnoteText">
    <w:name w:val="footnote text"/>
    <w:basedOn w:val="Normal"/>
    <w:link w:val="FootnoteTextChar"/>
    <w:rsid w:val="00E41C66"/>
    <w:rPr>
      <w:sz w:val="20"/>
      <w:szCs w:val="20"/>
    </w:rPr>
  </w:style>
  <w:style w:type="character" w:customStyle="1" w:styleId="FootnoteTextChar">
    <w:name w:val="Footnote Text Char"/>
    <w:basedOn w:val="DefaultParagraphFont"/>
    <w:link w:val="FootnoteText"/>
    <w:rsid w:val="00E41C66"/>
  </w:style>
  <w:style w:type="character" w:styleId="FootnoteReference">
    <w:name w:val="footnote reference"/>
    <w:basedOn w:val="DefaultParagraphFont"/>
    <w:rsid w:val="00E41C66"/>
    <w:rPr>
      <w:vertAlign w:val="superscript"/>
    </w:rPr>
  </w:style>
  <w:style w:type="character" w:styleId="Hyperlink">
    <w:name w:val="Hyperlink"/>
    <w:basedOn w:val="DefaultParagraphFont"/>
    <w:rsid w:val="00322B72"/>
    <w:rPr>
      <w:color w:val="0563C1" w:themeColor="hyperlink"/>
      <w:u w:val="single"/>
    </w:rPr>
  </w:style>
  <w:style w:type="character" w:styleId="FollowedHyperlink">
    <w:name w:val="FollowedHyperlink"/>
    <w:basedOn w:val="DefaultParagraphFont"/>
    <w:rsid w:val="00322B72"/>
    <w:rPr>
      <w:color w:val="954F72" w:themeColor="followedHyperlink"/>
      <w:u w:val="single"/>
    </w:rPr>
  </w:style>
  <w:style w:type="paragraph" w:styleId="EndnoteText">
    <w:name w:val="endnote text"/>
    <w:basedOn w:val="Normal"/>
    <w:link w:val="EndnoteTextChar"/>
    <w:rsid w:val="00322B72"/>
    <w:rPr>
      <w:sz w:val="20"/>
      <w:szCs w:val="20"/>
    </w:rPr>
  </w:style>
  <w:style w:type="character" w:customStyle="1" w:styleId="EndnoteTextChar">
    <w:name w:val="Endnote Text Char"/>
    <w:basedOn w:val="DefaultParagraphFont"/>
    <w:link w:val="EndnoteText"/>
    <w:rsid w:val="00322B72"/>
  </w:style>
  <w:style w:type="character" w:styleId="EndnoteReference">
    <w:name w:val="endnote reference"/>
    <w:basedOn w:val="DefaultParagraphFont"/>
    <w:rsid w:val="00322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5189">
      <w:bodyDiv w:val="1"/>
      <w:marLeft w:val="0"/>
      <w:marRight w:val="0"/>
      <w:marTop w:val="0"/>
      <w:marBottom w:val="0"/>
      <w:divBdr>
        <w:top w:val="none" w:sz="0" w:space="0" w:color="auto"/>
        <w:left w:val="none" w:sz="0" w:space="0" w:color="auto"/>
        <w:bottom w:val="none" w:sz="0" w:space="0" w:color="auto"/>
        <w:right w:val="none" w:sz="0" w:space="0" w:color="auto"/>
      </w:divBdr>
    </w:div>
    <w:div w:id="248123500">
      <w:bodyDiv w:val="1"/>
      <w:marLeft w:val="0"/>
      <w:marRight w:val="0"/>
      <w:marTop w:val="0"/>
      <w:marBottom w:val="0"/>
      <w:divBdr>
        <w:top w:val="none" w:sz="0" w:space="0" w:color="auto"/>
        <w:left w:val="none" w:sz="0" w:space="0" w:color="auto"/>
        <w:bottom w:val="none" w:sz="0" w:space="0" w:color="auto"/>
        <w:right w:val="none" w:sz="0" w:space="0" w:color="auto"/>
      </w:divBdr>
    </w:div>
    <w:div w:id="392850612">
      <w:bodyDiv w:val="1"/>
      <w:marLeft w:val="0"/>
      <w:marRight w:val="0"/>
      <w:marTop w:val="0"/>
      <w:marBottom w:val="0"/>
      <w:divBdr>
        <w:top w:val="none" w:sz="0" w:space="0" w:color="auto"/>
        <w:left w:val="none" w:sz="0" w:space="0" w:color="auto"/>
        <w:bottom w:val="none" w:sz="0" w:space="0" w:color="auto"/>
        <w:right w:val="none" w:sz="0" w:space="0" w:color="auto"/>
      </w:divBdr>
    </w:div>
    <w:div w:id="1136415097">
      <w:bodyDiv w:val="1"/>
      <w:marLeft w:val="0"/>
      <w:marRight w:val="0"/>
      <w:marTop w:val="0"/>
      <w:marBottom w:val="0"/>
      <w:divBdr>
        <w:top w:val="none" w:sz="0" w:space="0" w:color="auto"/>
        <w:left w:val="none" w:sz="0" w:space="0" w:color="auto"/>
        <w:bottom w:val="none" w:sz="0" w:space="0" w:color="auto"/>
        <w:right w:val="none" w:sz="0" w:space="0" w:color="auto"/>
      </w:divBdr>
    </w:div>
    <w:div w:id="1142694826">
      <w:bodyDiv w:val="1"/>
      <w:marLeft w:val="0"/>
      <w:marRight w:val="0"/>
      <w:marTop w:val="0"/>
      <w:marBottom w:val="0"/>
      <w:divBdr>
        <w:top w:val="none" w:sz="0" w:space="0" w:color="auto"/>
        <w:left w:val="none" w:sz="0" w:space="0" w:color="auto"/>
        <w:bottom w:val="none" w:sz="0" w:space="0" w:color="auto"/>
        <w:right w:val="none" w:sz="0" w:space="0" w:color="auto"/>
      </w:divBdr>
    </w:div>
    <w:div w:id="1292705377">
      <w:bodyDiv w:val="1"/>
      <w:marLeft w:val="0"/>
      <w:marRight w:val="0"/>
      <w:marTop w:val="0"/>
      <w:marBottom w:val="0"/>
      <w:divBdr>
        <w:top w:val="none" w:sz="0" w:space="0" w:color="auto"/>
        <w:left w:val="none" w:sz="0" w:space="0" w:color="auto"/>
        <w:bottom w:val="none" w:sz="0" w:space="0" w:color="auto"/>
        <w:right w:val="none" w:sz="0" w:space="0" w:color="auto"/>
      </w:divBdr>
      <w:divsChild>
        <w:div w:id="460463969">
          <w:marLeft w:val="446"/>
          <w:marRight w:val="0"/>
          <w:marTop w:val="194"/>
          <w:marBottom w:val="0"/>
          <w:divBdr>
            <w:top w:val="none" w:sz="0" w:space="0" w:color="auto"/>
            <w:left w:val="none" w:sz="0" w:space="0" w:color="auto"/>
            <w:bottom w:val="none" w:sz="0" w:space="0" w:color="auto"/>
            <w:right w:val="none" w:sz="0" w:space="0" w:color="auto"/>
          </w:divBdr>
        </w:div>
        <w:div w:id="1848134243">
          <w:marLeft w:val="1166"/>
          <w:marRight w:val="0"/>
          <w:marTop w:val="119"/>
          <w:marBottom w:val="0"/>
          <w:divBdr>
            <w:top w:val="none" w:sz="0" w:space="0" w:color="auto"/>
            <w:left w:val="none" w:sz="0" w:space="0" w:color="auto"/>
            <w:bottom w:val="none" w:sz="0" w:space="0" w:color="auto"/>
            <w:right w:val="none" w:sz="0" w:space="0" w:color="auto"/>
          </w:divBdr>
        </w:div>
        <w:div w:id="979504781">
          <w:marLeft w:val="1166"/>
          <w:marRight w:val="0"/>
          <w:marTop w:val="119"/>
          <w:marBottom w:val="0"/>
          <w:divBdr>
            <w:top w:val="none" w:sz="0" w:space="0" w:color="auto"/>
            <w:left w:val="none" w:sz="0" w:space="0" w:color="auto"/>
            <w:bottom w:val="none" w:sz="0" w:space="0" w:color="auto"/>
            <w:right w:val="none" w:sz="0" w:space="0" w:color="auto"/>
          </w:divBdr>
        </w:div>
        <w:div w:id="943269022">
          <w:marLeft w:val="446"/>
          <w:marRight w:val="0"/>
          <w:marTop w:val="194"/>
          <w:marBottom w:val="0"/>
          <w:divBdr>
            <w:top w:val="none" w:sz="0" w:space="0" w:color="auto"/>
            <w:left w:val="none" w:sz="0" w:space="0" w:color="auto"/>
            <w:bottom w:val="none" w:sz="0" w:space="0" w:color="auto"/>
            <w:right w:val="none" w:sz="0" w:space="0" w:color="auto"/>
          </w:divBdr>
        </w:div>
        <w:div w:id="376394361">
          <w:marLeft w:val="1166"/>
          <w:marRight w:val="0"/>
          <w:marTop w:val="119"/>
          <w:marBottom w:val="0"/>
          <w:divBdr>
            <w:top w:val="none" w:sz="0" w:space="0" w:color="auto"/>
            <w:left w:val="none" w:sz="0" w:space="0" w:color="auto"/>
            <w:bottom w:val="none" w:sz="0" w:space="0" w:color="auto"/>
            <w:right w:val="none" w:sz="0" w:space="0" w:color="auto"/>
          </w:divBdr>
        </w:div>
        <w:div w:id="1179271031">
          <w:marLeft w:val="1166"/>
          <w:marRight w:val="0"/>
          <w:marTop w:val="119"/>
          <w:marBottom w:val="0"/>
          <w:divBdr>
            <w:top w:val="none" w:sz="0" w:space="0" w:color="auto"/>
            <w:left w:val="none" w:sz="0" w:space="0" w:color="auto"/>
            <w:bottom w:val="none" w:sz="0" w:space="0" w:color="auto"/>
            <w:right w:val="none" w:sz="0" w:space="0" w:color="auto"/>
          </w:divBdr>
        </w:div>
        <w:div w:id="2133552553">
          <w:marLeft w:val="446"/>
          <w:marRight w:val="0"/>
          <w:marTop w:val="194"/>
          <w:marBottom w:val="0"/>
          <w:divBdr>
            <w:top w:val="none" w:sz="0" w:space="0" w:color="auto"/>
            <w:left w:val="none" w:sz="0" w:space="0" w:color="auto"/>
            <w:bottom w:val="none" w:sz="0" w:space="0" w:color="auto"/>
            <w:right w:val="none" w:sz="0" w:space="0" w:color="auto"/>
          </w:divBdr>
        </w:div>
        <w:div w:id="2141797340">
          <w:marLeft w:val="1166"/>
          <w:marRight w:val="0"/>
          <w:marTop w:val="119"/>
          <w:marBottom w:val="0"/>
          <w:divBdr>
            <w:top w:val="none" w:sz="0" w:space="0" w:color="auto"/>
            <w:left w:val="none" w:sz="0" w:space="0" w:color="auto"/>
            <w:bottom w:val="none" w:sz="0" w:space="0" w:color="auto"/>
            <w:right w:val="none" w:sz="0" w:space="0" w:color="auto"/>
          </w:divBdr>
        </w:div>
        <w:div w:id="753622261">
          <w:marLeft w:val="1166"/>
          <w:marRight w:val="0"/>
          <w:marTop w:val="119"/>
          <w:marBottom w:val="0"/>
          <w:divBdr>
            <w:top w:val="none" w:sz="0" w:space="0" w:color="auto"/>
            <w:left w:val="none" w:sz="0" w:space="0" w:color="auto"/>
            <w:bottom w:val="none" w:sz="0" w:space="0" w:color="auto"/>
            <w:right w:val="none" w:sz="0" w:space="0" w:color="auto"/>
          </w:divBdr>
        </w:div>
        <w:div w:id="1861973119">
          <w:marLeft w:val="446"/>
          <w:marRight w:val="0"/>
          <w:marTop w:val="194"/>
          <w:marBottom w:val="0"/>
          <w:divBdr>
            <w:top w:val="none" w:sz="0" w:space="0" w:color="auto"/>
            <w:left w:val="none" w:sz="0" w:space="0" w:color="auto"/>
            <w:bottom w:val="none" w:sz="0" w:space="0" w:color="auto"/>
            <w:right w:val="none" w:sz="0" w:space="0" w:color="auto"/>
          </w:divBdr>
        </w:div>
        <w:div w:id="1461917778">
          <w:marLeft w:val="1166"/>
          <w:marRight w:val="0"/>
          <w:marTop w:val="119"/>
          <w:marBottom w:val="0"/>
          <w:divBdr>
            <w:top w:val="none" w:sz="0" w:space="0" w:color="auto"/>
            <w:left w:val="none" w:sz="0" w:space="0" w:color="auto"/>
            <w:bottom w:val="none" w:sz="0" w:space="0" w:color="auto"/>
            <w:right w:val="none" w:sz="0" w:space="0" w:color="auto"/>
          </w:divBdr>
        </w:div>
        <w:div w:id="1527792773">
          <w:marLeft w:val="1166"/>
          <w:marRight w:val="0"/>
          <w:marTop w:val="119"/>
          <w:marBottom w:val="0"/>
          <w:divBdr>
            <w:top w:val="none" w:sz="0" w:space="0" w:color="auto"/>
            <w:left w:val="none" w:sz="0" w:space="0" w:color="auto"/>
            <w:bottom w:val="none" w:sz="0" w:space="0" w:color="auto"/>
            <w:right w:val="none" w:sz="0" w:space="0" w:color="auto"/>
          </w:divBdr>
        </w:div>
      </w:divsChild>
    </w:div>
    <w:div w:id="1839029950">
      <w:bodyDiv w:val="1"/>
      <w:marLeft w:val="0"/>
      <w:marRight w:val="0"/>
      <w:marTop w:val="0"/>
      <w:marBottom w:val="0"/>
      <w:divBdr>
        <w:top w:val="none" w:sz="0" w:space="0" w:color="auto"/>
        <w:left w:val="none" w:sz="0" w:space="0" w:color="auto"/>
        <w:bottom w:val="none" w:sz="0" w:space="0" w:color="auto"/>
        <w:right w:val="none" w:sz="0" w:space="0" w:color="auto"/>
      </w:divBdr>
    </w:div>
    <w:div w:id="1848326228">
      <w:bodyDiv w:val="1"/>
      <w:marLeft w:val="0"/>
      <w:marRight w:val="0"/>
      <w:marTop w:val="0"/>
      <w:marBottom w:val="0"/>
      <w:divBdr>
        <w:top w:val="none" w:sz="0" w:space="0" w:color="auto"/>
        <w:left w:val="none" w:sz="0" w:space="0" w:color="auto"/>
        <w:bottom w:val="none" w:sz="0" w:space="0" w:color="auto"/>
        <w:right w:val="none" w:sz="0" w:space="0" w:color="auto"/>
      </w:divBdr>
    </w:div>
    <w:div w:id="2025013942">
      <w:bodyDiv w:val="1"/>
      <w:marLeft w:val="0"/>
      <w:marRight w:val="0"/>
      <w:marTop w:val="0"/>
      <w:marBottom w:val="0"/>
      <w:divBdr>
        <w:top w:val="none" w:sz="0" w:space="0" w:color="auto"/>
        <w:left w:val="none" w:sz="0" w:space="0" w:color="auto"/>
        <w:bottom w:val="none" w:sz="0" w:space="0" w:color="auto"/>
        <w:right w:val="none" w:sz="0" w:space="0" w:color="auto"/>
      </w:divBdr>
    </w:div>
    <w:div w:id="213621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image" Target="media/image14.png"/><Relationship Id="rId39" Type="http://schemas.openxmlformats.org/officeDocument/2006/relationships/image" Target="media/image27.emf"/><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emf"/><Relationship Id="rId47" Type="http://schemas.openxmlformats.org/officeDocument/2006/relationships/image" Target="media/image35.png"/><Relationship Id="rId50" Type="http://schemas.openxmlformats.org/officeDocument/2006/relationships/image" Target="media/image38.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 Id="rId46" Type="http://schemas.openxmlformats.org/officeDocument/2006/relationships/image" Target="media/image3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emf"/><Relationship Id="rId40" Type="http://schemas.openxmlformats.org/officeDocument/2006/relationships/image" Target="media/image28.emf"/><Relationship Id="rId45" Type="http://schemas.openxmlformats.org/officeDocument/2006/relationships/image" Target="media/image33.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anniemae.com/content/guide_exhibit/foreclosure-timeframes-compensatory-fees-allowable-delays.pdf"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emf"/><Relationship Id="rId49" Type="http://schemas.openxmlformats.org/officeDocument/2006/relationships/image" Target="media/image37.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emf"/><Relationship Id="rId48" Type="http://schemas.openxmlformats.org/officeDocument/2006/relationships/image" Target="media/image36.png"/><Relationship Id="rId8" Type="http://schemas.openxmlformats.org/officeDocument/2006/relationships/webSettings" Target="webSettings.xml"/><Relationship Id="rId51"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fanniemae.com/content/guide_exhibit/foreclosure-timeframes-compensatory-fees-allowable-delay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d1ujas\AppData\Local\Microsoft\Windows\INetCache\Content.Outlook\KELJCBIX\Copy%20of%20MI%20Factor%20Expense%20Graph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Sheet3!$B$43</c:f>
              <c:strCache>
                <c:ptCount val="1"/>
                <c:pt idx="0">
                  <c:v>Fees</c:v>
                </c:pt>
              </c:strCache>
            </c:strRef>
          </c:tx>
          <c:spPr>
            <a:solidFill>
              <a:schemeClr val="tx1"/>
            </a:solidFill>
            <a:ln>
              <a:noFill/>
            </a:ln>
            <a:effectLst/>
          </c:spPr>
          <c:invertIfNegative val="0"/>
          <c:dLbls>
            <c:dLbl>
              <c:idx val="0"/>
              <c:layout>
                <c:manualLayout>
                  <c:x val="1.1953679491968622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Sheet3!$C$42:$E$42</c:f>
              <c:strCache>
                <c:ptCount val="3"/>
                <c:pt idx="0">
                  <c:v>Variable</c:v>
                </c:pt>
                <c:pt idx="1">
                  <c:v>Fixed</c:v>
                </c:pt>
                <c:pt idx="2">
                  <c:v>Overall</c:v>
                </c:pt>
              </c:strCache>
            </c:strRef>
          </c:cat>
          <c:val>
            <c:numRef>
              <c:f>Sheet3!$C$43:$E$43</c:f>
              <c:numCache>
                <c:formatCode>0.00%</c:formatCode>
                <c:ptCount val="3"/>
                <c:pt idx="0">
                  <c:v>2.5499031645765356E-2</c:v>
                </c:pt>
                <c:pt idx="1">
                  <c:v>0.46931461242060374</c:v>
                </c:pt>
                <c:pt idx="2">
                  <c:v>0.13761128064995443</c:v>
                </c:pt>
              </c:numCache>
            </c:numRef>
          </c:val>
        </c:ser>
        <c:ser>
          <c:idx val="3"/>
          <c:order val="1"/>
          <c:tx>
            <c:strRef>
              <c:f>Sheet3!$B$29</c:f>
              <c:strCache>
                <c:ptCount val="1"/>
                <c:pt idx="0">
                  <c:v>Notice</c:v>
                </c:pt>
              </c:strCache>
            </c:strRef>
          </c:tx>
          <c:spPr>
            <a:solidFill>
              <a:schemeClr val="accent4">
                <a:lumMod val="60000"/>
                <a:lumOff val="40000"/>
              </a:schemeClr>
            </a:solidFill>
            <a:ln>
              <a:noFill/>
            </a:ln>
            <a:effectLst/>
          </c:spPr>
          <c:invertIfNegative val="0"/>
          <c:dLbls>
            <c:dLbl>
              <c:idx val="0"/>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Sheet3!$C$42:$E$42</c:f>
              <c:strCache>
                <c:ptCount val="3"/>
                <c:pt idx="0">
                  <c:v>Variable</c:v>
                </c:pt>
                <c:pt idx="1">
                  <c:v>Fixed</c:v>
                </c:pt>
                <c:pt idx="2">
                  <c:v>Overall</c:v>
                </c:pt>
              </c:strCache>
            </c:strRef>
          </c:cat>
          <c:val>
            <c:numRef>
              <c:f>Sheet3!$C$44:$E$44</c:f>
              <c:numCache>
                <c:formatCode>0.00%</c:formatCode>
                <c:ptCount val="3"/>
                <c:pt idx="0">
                  <c:v>0</c:v>
                </c:pt>
                <c:pt idx="1">
                  <c:v>0.31684750239467518</c:v>
                </c:pt>
                <c:pt idx="2">
                  <c:v>8.0038844113606927E-2</c:v>
                </c:pt>
              </c:numCache>
            </c:numRef>
          </c:val>
        </c:ser>
        <c:ser>
          <c:idx val="4"/>
          <c:order val="2"/>
          <c:tx>
            <c:strRef>
              <c:f>Sheet3!$B$45</c:f>
              <c:strCache>
                <c:ptCount val="1"/>
                <c:pt idx="0">
                  <c:v>Insurance Premiums</c:v>
                </c:pt>
              </c:strCache>
            </c:strRef>
          </c:tx>
          <c:spPr>
            <a:solidFill>
              <a:schemeClr val="accent5"/>
            </a:solidFill>
            <a:ln>
              <a:noFill/>
            </a:ln>
            <a:effectLst/>
          </c:spPr>
          <c:invertIfNegative val="0"/>
          <c:dLbls>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Sheet3!$C$42:$E$42</c:f>
              <c:strCache>
                <c:ptCount val="3"/>
                <c:pt idx="0">
                  <c:v>Variable</c:v>
                </c:pt>
                <c:pt idx="1">
                  <c:v>Fixed</c:v>
                </c:pt>
                <c:pt idx="2">
                  <c:v>Overall</c:v>
                </c:pt>
              </c:strCache>
            </c:strRef>
          </c:cat>
          <c:val>
            <c:numRef>
              <c:f>Sheet3!$C$45:$E$45</c:f>
              <c:numCache>
                <c:formatCode>0.00%</c:formatCode>
                <c:ptCount val="3"/>
                <c:pt idx="0">
                  <c:v>0.34383192274756491</c:v>
                </c:pt>
                <c:pt idx="1">
                  <c:v>0</c:v>
                </c:pt>
                <c:pt idx="2">
                  <c:v>0.25697654450382412</c:v>
                </c:pt>
              </c:numCache>
            </c:numRef>
          </c:val>
        </c:ser>
        <c:ser>
          <c:idx val="6"/>
          <c:order val="3"/>
          <c:tx>
            <c:strRef>
              <c:f>Sheet3!$B$46</c:f>
              <c:strCache>
                <c:ptCount val="1"/>
                <c:pt idx="0">
                  <c:v>Taxes</c:v>
                </c:pt>
              </c:strCache>
            </c:strRef>
          </c:tx>
          <c:spPr>
            <a:solidFill>
              <a:schemeClr val="accent5">
                <a:lumMod val="40000"/>
                <a:lumOff val="60000"/>
              </a:schemeClr>
            </a:solidFill>
            <a:ln>
              <a:noFill/>
            </a:ln>
            <a:effectLst/>
          </c:spPr>
          <c:invertIfNegative val="0"/>
          <c:dLbls>
            <c:dLbl>
              <c:idx val="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Sheet3!$C$42:$E$42</c:f>
              <c:strCache>
                <c:ptCount val="3"/>
                <c:pt idx="0">
                  <c:v>Variable</c:v>
                </c:pt>
                <c:pt idx="1">
                  <c:v>Fixed</c:v>
                </c:pt>
                <c:pt idx="2">
                  <c:v>Overall</c:v>
                </c:pt>
              </c:strCache>
            </c:strRef>
          </c:cat>
          <c:val>
            <c:numRef>
              <c:f>Sheet3!$C$46:$E$46</c:f>
              <c:numCache>
                <c:formatCode>0.00%</c:formatCode>
                <c:ptCount val="3"/>
                <c:pt idx="0">
                  <c:v>0.56306653302782206</c:v>
                </c:pt>
                <c:pt idx="1">
                  <c:v>0</c:v>
                </c:pt>
                <c:pt idx="2">
                  <c:v>0.42083030227961238</c:v>
                </c:pt>
              </c:numCache>
            </c:numRef>
          </c:val>
        </c:ser>
        <c:ser>
          <c:idx val="7"/>
          <c:order val="4"/>
          <c:tx>
            <c:strRef>
              <c:f>Sheet3!$B$47</c:f>
              <c:strCache>
                <c:ptCount val="1"/>
                <c:pt idx="0">
                  <c:v>Other</c:v>
                </c:pt>
              </c:strCache>
            </c:strRef>
          </c:tx>
          <c:spPr>
            <a:solidFill>
              <a:schemeClr val="accent6">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Sheet3!$C$42:$E$42</c:f>
              <c:strCache>
                <c:ptCount val="3"/>
                <c:pt idx="0">
                  <c:v>Variable</c:v>
                </c:pt>
                <c:pt idx="1">
                  <c:v>Fixed</c:v>
                </c:pt>
                <c:pt idx="2">
                  <c:v>Overall</c:v>
                </c:pt>
              </c:strCache>
            </c:strRef>
          </c:cat>
          <c:val>
            <c:numRef>
              <c:f>Sheet3!$C$47:$E$47</c:f>
              <c:numCache>
                <c:formatCode>0.00%</c:formatCode>
                <c:ptCount val="3"/>
                <c:pt idx="0">
                  <c:v>6.7602512578847598E-2</c:v>
                </c:pt>
                <c:pt idx="1">
                  <c:v>0.21383788518472113</c:v>
                </c:pt>
                <c:pt idx="2">
                  <c:v>0.10454302845300222</c:v>
                </c:pt>
              </c:numCache>
            </c:numRef>
          </c:val>
        </c:ser>
        <c:dLbls>
          <c:showLegendKey val="0"/>
          <c:showVal val="0"/>
          <c:showCatName val="0"/>
          <c:showSerName val="0"/>
          <c:showPercent val="0"/>
          <c:showBubbleSize val="0"/>
        </c:dLbls>
        <c:gapWidth val="47"/>
        <c:overlap val="100"/>
        <c:axId val="461244072"/>
        <c:axId val="461244856"/>
      </c:barChart>
      <c:catAx>
        <c:axId val="46124407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461244856"/>
        <c:crosses val="autoZero"/>
        <c:auto val="1"/>
        <c:lblAlgn val="ctr"/>
        <c:lblOffset val="100"/>
        <c:noMultiLvlLbl val="0"/>
      </c:catAx>
      <c:valAx>
        <c:axId val="461244856"/>
        <c:scaling>
          <c:orientation val="minMax"/>
        </c:scaling>
        <c:delete val="0"/>
        <c:axPos val="b"/>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2440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94E2CEAD58F14E87A39DB052AE1CA0" ma:contentTypeVersion="0" ma:contentTypeDescription="Create a new document." ma:contentTypeScope="" ma:versionID="c766973350abbdbd93443a070873c83b">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A26C-32D7-458B-8DF7-22B42E1308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454A1E-0E0F-4B8B-AD9B-C31702E886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717594-96C4-4CB6-BE34-79CB06B95E77}">
  <ds:schemaRefs>
    <ds:schemaRef ds:uri="http://schemas.microsoft.com/sharepoint/v3/contenttype/forms"/>
  </ds:schemaRefs>
</ds:datastoreItem>
</file>

<file path=customXml/itemProps4.xml><?xml version="1.0" encoding="utf-8"?>
<ds:datastoreItem xmlns:ds="http://schemas.openxmlformats.org/officeDocument/2006/customXml" ds:itemID="{03BA24BE-A90B-440F-823E-8B7F8E86F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43</Pages>
  <Words>9883</Words>
  <Characters>56334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Sweeney, Jennifer K</dc:creator>
  <cp:keywords/>
  <dc:description/>
  <cp:lastModifiedBy>Schwartz, Stephen C</cp:lastModifiedBy>
  <cp:revision>6</cp:revision>
  <cp:lastPrinted>2016-07-07T23:56:00Z</cp:lastPrinted>
  <dcterms:created xsi:type="dcterms:W3CDTF">2016-07-10T18:08:00Z</dcterms:created>
  <dcterms:modified xsi:type="dcterms:W3CDTF">2016-07-10T18:23:00Z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0x0101000994E2CEAD58F14E87A39DB052AE1CA0</vt:lpwstr>
  </property>
</Properties>
</file>