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181C8">
      <w:pPr>
        <w:pStyle w:val="2"/>
        <w:spacing w:after="120"/>
        <w:jc w:val="center"/>
        <w:rPr>
          <w:b/>
          <w:bCs w:val="0"/>
          <w:sz w:val="52"/>
          <w:szCs w:val="52"/>
        </w:rPr>
      </w:pPr>
      <w:bookmarkStart w:id="0" w:name="直流电机转速闭环控制系统-技术报告"/>
      <w:r>
        <w:rPr>
          <w:rFonts w:hint="eastAsia" w:ascii="宋体" w:hAnsi="宋体" w:eastAsia="宋体"/>
          <w:b/>
          <w:bCs w:val="0"/>
          <w:color w:val="000000"/>
          <w:sz w:val="52"/>
          <w:szCs w:val="52"/>
        </w:rPr>
        <w:t>直流电机转速闭环控制系统</w:t>
      </w:r>
    </w:p>
    <w:p w14:paraId="45F219F7">
      <w:pPr>
        <w:pStyle w:val="13"/>
        <w:spacing w:after="120"/>
        <w:ind w:firstLine="420" w:firstLineChars="200"/>
        <w:jc w:val="center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宋体" w:hAnsi="宋体" w:eastAsia="宋体"/>
          <w:color w:val="000000"/>
          <w:sz w:val="21"/>
        </w:rPr>
        <w:t>基于</w:t>
      </w:r>
      <w:r>
        <w:rPr>
          <w:rFonts w:ascii="Times New Roman" w:hAnsi="Times New Roman"/>
          <w:color w:val="000000"/>
          <w:sz w:val="21"/>
        </w:rPr>
        <w:t xml:space="preserve"> STM32F103C8T6 + Rust Embassy </w:t>
      </w:r>
      <w:r>
        <w:rPr>
          <w:rFonts w:hint="eastAsia" w:ascii="Times New Roman" w:hAnsi="Times New Roman" w:eastAsia="宋体"/>
          <w:color w:val="000000"/>
          <w:sz w:val="21"/>
        </w:rPr>
        <w:t>框架的前馈-反馈复合控制</w:t>
      </w:r>
    </w:p>
    <w:p w14:paraId="13E5A0E8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5736ECAC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582DE730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589BD56C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7AF77DEB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vertAlign w:val="baseline"/>
          <w:lang w:val="en-US" w:eastAsia="zh-CN"/>
        </w:rPr>
        <w:t>校徽</w:t>
      </w:r>
    </w:p>
    <w:p w14:paraId="2AB34F0D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7144B88F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674330C3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p w14:paraId="31D12A7D">
      <w:pPr>
        <w:spacing w:after="120"/>
        <w:jc w:val="center"/>
        <w:rPr>
          <w:rFonts w:hint="eastAsia" w:ascii="宋体" w:hAnsi="宋体" w:eastAsia="宋体" w:cs="宋体"/>
          <w:vertAlign w:val="baseline"/>
          <w:lang w:val="en-US" w:eastAsia="zh-CN"/>
        </w:rPr>
      </w:pPr>
    </w:p>
    <w:tbl>
      <w:tblPr>
        <w:tblStyle w:val="19"/>
        <w:tblW w:w="89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8"/>
        <w:gridCol w:w="605"/>
        <w:gridCol w:w="4246"/>
      </w:tblGrid>
      <w:tr w14:paraId="0771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D00CCD">
            <w:pPr>
              <w:widowControl w:val="0"/>
              <w:spacing w:after="120"/>
              <w:jc w:val="right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课程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FF581D">
            <w:pPr>
              <w:widowControl w:val="0"/>
              <w:spacing w:after="12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AB0ED7">
            <w:pPr>
              <w:widowControl w:val="0"/>
              <w:spacing w:after="120"/>
              <w:jc w:val="left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1CAA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40FDF5">
            <w:pPr>
              <w:widowControl w:val="0"/>
              <w:spacing w:after="120"/>
              <w:jc w:val="right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班级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7AE7D8">
            <w:pPr>
              <w:widowControl w:val="0"/>
              <w:spacing w:after="12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6F7341">
            <w:pPr>
              <w:widowControl w:val="0"/>
              <w:spacing w:after="120"/>
              <w:jc w:val="left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4754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BA2759">
            <w:pPr>
              <w:widowControl w:val="0"/>
              <w:spacing w:after="120"/>
              <w:jc w:val="right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姓名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E3BE03">
            <w:pPr>
              <w:widowControl w:val="0"/>
              <w:spacing w:after="12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9B3C29">
            <w:pPr>
              <w:widowControl w:val="0"/>
              <w:spacing w:after="120"/>
              <w:jc w:val="left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66AD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B6C8D8">
            <w:pPr>
              <w:widowControl w:val="0"/>
              <w:spacing w:after="120"/>
              <w:jc w:val="right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学号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6F6D35">
            <w:pPr>
              <w:widowControl w:val="0"/>
              <w:spacing w:after="120"/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C61001">
            <w:pPr>
              <w:widowControl w:val="0"/>
              <w:spacing w:after="120"/>
              <w:jc w:val="left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</w:tr>
    </w:tbl>
    <w:p w14:paraId="058D22AB">
      <w:pPr>
        <w:pStyle w:val="4"/>
        <w:spacing w:after="120"/>
        <w:jc w:val="left"/>
        <w:rPr>
          <w:rFonts w:hint="eastAsia" w:ascii="宋体" w:hAnsi="宋体" w:eastAsia="宋体"/>
          <w:b/>
          <w:color w:val="000000"/>
          <w:sz w:val="24"/>
          <w:szCs w:val="24"/>
        </w:rPr>
      </w:pPr>
      <w:bookmarkStart w:id="1" w:name="摘要"/>
    </w:p>
    <w:p w14:paraId="0952D337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2F75A79C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389E3DB7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5E2643EE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0CE409DC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6318BC96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229AB9AF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18A5EDE4">
      <w:pPr>
        <w:pStyle w:val="3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5DABCAA0">
      <w:pPr>
        <w:pStyle w:val="4"/>
        <w:spacing w:after="120"/>
        <w:jc w:val="left"/>
        <w:rPr>
          <w:rFonts w:hint="eastAsia" w:ascii="宋体" w:hAnsi="宋体" w:eastAsia="宋体"/>
          <w:b/>
          <w:color w:val="000000"/>
          <w:sz w:val="30"/>
          <w:szCs w:val="30"/>
        </w:rPr>
      </w:pPr>
      <w:r>
        <w:rPr>
          <w:rFonts w:hint="eastAsia" w:ascii="宋体" w:hAnsi="宋体" w:eastAsia="宋体"/>
          <w:b/>
          <w:color w:val="000000"/>
          <w:sz w:val="30"/>
          <w:szCs w:val="30"/>
        </w:rPr>
        <w:t>摘要</w:t>
      </w:r>
    </w:p>
    <w:p w14:paraId="06730E6E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本项目设计并实现了一套基于</w:t>
      </w:r>
      <w:r>
        <w:rPr>
          <w:rFonts w:ascii="Times New Roman" w:hAnsi="Times New Roman"/>
          <w:color w:val="000000"/>
          <w:sz w:val="24"/>
          <w:szCs w:val="24"/>
        </w:rPr>
        <w:t xml:space="preserve"> STM32F103C8T6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微控制器的直流减速电机转速闭环控制系统。系统采用前馈-反馈复合控制架构：前馈控制器基于空载转速-电压逆模型提供基础占空比，反馈</w:t>
      </w:r>
      <w:r>
        <w:rPr>
          <w:rFonts w:ascii="Times New Roman" w:hAnsi="Times New Roman"/>
          <w:color w:val="000000"/>
          <w:sz w:val="24"/>
          <w:szCs w:val="24"/>
        </w:rPr>
        <w:t xml:space="preserve"> PI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控制器负责消除静差和抑制负载扰动。</w:t>
      </w:r>
    </w:p>
    <w:p w14:paraId="5816D7B0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通过空载阶跃响应实验辨识电机一阶模型参数（</w:t>
      </w:r>
      <m:oMath>
        <m:r>
          <m:rPr/>
          <w:rPr>
            <w:sz w:val="24"/>
            <w:szCs w:val="24"/>
          </w:rPr>
          <m:t>K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23.4 </m:t>
        </m:r>
        <m:r>
          <m:rPr>
            <m:nor/>
            <m:sty m:val="p"/>
          </m:rPr>
          <w:rPr>
            <w:b w:val="0"/>
            <w:i w:val="0"/>
            <w:sz w:val="24"/>
            <w:szCs w:val="24"/>
          </w:rPr>
          <m:t>rpm/V</m:t>
        </m:r>
      </m:oMath>
      <w:r>
        <w:rPr>
          <w:rFonts w:hint="eastAsia" w:ascii="Times New Roman" w:hAnsi="Times New Roman"/>
          <w:color w:val="000000"/>
          <w:sz w:val="24"/>
          <w:szCs w:val="24"/>
        </w:rPr>
        <w:t>，</w:t>
      </w:r>
      <m:oMath>
        <m:r>
          <m:rPr/>
          <w:rPr>
            <w:sz w:val="24"/>
            <w:szCs w:val="24"/>
          </w:rPr>
          <m:t>τ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17 </m:t>
        </m:r>
        <m:r>
          <m:rPr>
            <m:nor/>
            <m:sty m:val="p"/>
          </m:rPr>
          <w:rPr>
            <w:b w:val="0"/>
            <w:i w:val="0"/>
            <w:sz w:val="24"/>
            <w:szCs w:val="24"/>
          </w:rPr>
          <m:t>ms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），并采用</w:t>
      </w:r>
      <w:r>
        <w:rPr>
          <w:rFonts w:ascii="Times New Roman" w:hAnsi="Times New Roman"/>
          <w:color w:val="000000"/>
          <w:sz w:val="24"/>
          <w:szCs w:val="24"/>
        </w:rPr>
        <w:t xml:space="preserve"> IMC/Lambda </w:t>
      </w:r>
      <w:r>
        <w:rPr>
          <w:rFonts w:hint="eastAsia" w:ascii="宋体" w:hAnsi="宋体" w:eastAsia="宋体"/>
          <w:color w:val="000000"/>
          <w:sz w:val="24"/>
          <w:szCs w:val="24"/>
        </w:rPr>
        <w:t>方法完成</w:t>
      </w:r>
      <w:r>
        <w:rPr>
          <w:rFonts w:ascii="Times New Roman" w:hAnsi="Times New Roman"/>
          <w:color w:val="000000"/>
          <w:sz w:val="24"/>
          <w:szCs w:val="24"/>
        </w:rPr>
        <w:t xml:space="preserve"> PI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参数整定（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0.132</m:t>
        </m:r>
      </m:oMath>
      <w:r>
        <w:rPr>
          <w:rFonts w:hint="eastAsia" w:ascii="Times New Roman" w:hAnsi="Times New Roman"/>
          <w:color w:val="000000"/>
          <w:sz w:val="24"/>
          <w:szCs w:val="24"/>
        </w:rPr>
        <w:t>，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7.770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）。系统配备</w:t>
      </w:r>
      <w:r>
        <w:rPr>
          <w:rFonts w:ascii="Times New Roman" w:hAnsi="Times New Roman"/>
          <w:color w:val="000000"/>
          <w:sz w:val="24"/>
          <w:szCs w:val="24"/>
        </w:rPr>
        <w:t xml:space="preserve"> 1.3 </w:t>
      </w:r>
      <w:r>
        <w:rPr>
          <w:rFonts w:hint="eastAsia" w:ascii="宋体" w:hAnsi="宋体" w:eastAsia="宋体"/>
          <w:color w:val="000000"/>
          <w:sz w:val="24"/>
          <w:szCs w:val="24"/>
        </w:rPr>
        <w:t>寸</w:t>
      </w:r>
      <w:r>
        <w:rPr>
          <w:rFonts w:ascii="Times New Roman" w:hAnsi="Times New Roman"/>
          <w:color w:val="000000"/>
          <w:sz w:val="24"/>
          <w:szCs w:val="24"/>
        </w:rPr>
        <w:t xml:space="preserve"> OLED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实时显示、矩阵键盘在线调参、正交编码器</w:t>
      </w:r>
      <w:r>
        <w:rPr>
          <w:rFonts w:ascii="Times New Roman" w:hAnsi="Times New Roman"/>
          <w:color w:val="000000"/>
          <w:sz w:val="24"/>
          <w:szCs w:val="24"/>
        </w:rPr>
        <w:t xml:space="preserve"> M/T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法测速等完整功能。</w:t>
      </w:r>
    </w:p>
    <w:p w14:paraId="051D001C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前馈控制器基于精确逆模型在阶跃瞬间即提供约</w:t>
      </w:r>
      <w:r>
        <w:rPr>
          <w:rFonts w:ascii="Times New Roman" w:hAnsi="Times New Roman"/>
          <w:color w:val="000000"/>
          <w:sz w:val="24"/>
          <w:szCs w:val="24"/>
        </w:rPr>
        <w:t xml:space="preserve"> 80%~90%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的稳态控制量，显著改善了系统的动态响应性能；反馈</w:t>
      </w:r>
      <w:r>
        <w:rPr>
          <w:rFonts w:ascii="Times New Roman" w:hAnsi="Times New Roman"/>
          <w:color w:val="000000"/>
          <w:sz w:val="24"/>
          <w:szCs w:val="24"/>
        </w:rPr>
        <w:t xml:space="preserve"> PI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仅需补偿残余误差与外部扰动，大幅降低了反馈增益需求，实现了</w:t>
      </w:r>
      <w:r>
        <w:rPr>
          <w:rFonts w:ascii="Times New Roman" w:hAnsi="Times New Roman"/>
          <w:color w:val="000000"/>
          <w:sz w:val="24"/>
          <w:szCs w:val="24"/>
        </w:rPr>
        <w:t xml:space="preserve"> 30 ms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的快速上升时间与近零稳态误差。</w:t>
      </w:r>
    </w:p>
    <w:p w14:paraId="78C86DA6">
      <w:pPr>
        <w:spacing w:after="120"/>
        <w:ind w:firstLine="480" w:firstLineChars="200"/>
        <w:jc w:val="center"/>
      </w:pPr>
    </w:p>
    <w:bookmarkEnd w:id="1"/>
    <w:p w14:paraId="7DFBA01C">
      <w:pPr>
        <w:pStyle w:val="4"/>
        <w:spacing w:after="120"/>
        <w:jc w:val="left"/>
        <w:rPr>
          <w:sz w:val="30"/>
          <w:szCs w:val="30"/>
        </w:rPr>
      </w:pPr>
      <w:bookmarkStart w:id="2" w:name="系统概述"/>
      <w:r>
        <w:rPr>
          <w:rFonts w:ascii="Times New Roman" w:hAnsi="Times New Roman"/>
          <w:b/>
          <w:color w:val="000000"/>
          <w:sz w:val="30"/>
          <w:szCs w:val="30"/>
        </w:rPr>
        <w:t xml:space="preserve">1.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系统概述</w:t>
      </w:r>
    </w:p>
    <w:p w14:paraId="685A2BCF">
      <w:pPr>
        <w:pStyle w:val="5"/>
        <w:spacing w:after="120"/>
        <w:jc w:val="left"/>
        <w:rPr>
          <w:sz w:val="28"/>
          <w:szCs w:val="28"/>
        </w:rPr>
      </w:pPr>
      <w:bookmarkStart w:id="3" w:name="硬件平台"/>
      <w:r>
        <w:rPr>
          <w:rFonts w:ascii="Times New Roman" w:hAnsi="Times New Roman"/>
          <w:b/>
          <w:color w:val="000000"/>
          <w:sz w:val="28"/>
          <w:szCs w:val="28"/>
        </w:rPr>
        <w:t xml:space="preserve">1.1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硬件平台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6580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38DEBC6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组件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7D884B82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型号/规格</w:t>
            </w:r>
          </w:p>
        </w:tc>
      </w:tr>
      <w:tr w14:paraId="28574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A807A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微控制器</w:t>
            </w:r>
          </w:p>
        </w:tc>
        <w:tc>
          <w:p w14:paraId="60F1BD07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STM32F103C8T6，72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MHz，ARM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Cortex-M3</w:t>
            </w:r>
          </w:p>
        </w:tc>
      </w:tr>
      <w:tr w14:paraId="3B4AC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A7F93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电机驱动</w:t>
            </w:r>
          </w:p>
        </w:tc>
        <w:tc>
          <w:p w14:paraId="6167DB26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L298N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H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桥，12V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供电</w:t>
            </w:r>
          </w:p>
        </w:tc>
      </w:tr>
      <w:tr w14:paraId="101C2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5E739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直流电机</w:t>
            </w:r>
          </w:p>
        </w:tc>
        <w:tc>
          <w:p w14:paraId="0737F34B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12V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减速电机，减速比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21:1，空载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201 RPM</w:t>
            </w:r>
          </w:p>
        </w:tc>
      </w:tr>
      <w:tr w14:paraId="235E1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2208A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编码器</w:t>
            </w:r>
          </w:p>
        </w:tc>
        <w:tc>
          <w:p w14:paraId="56BADCAA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AB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双相增量式磁性霍尔编码器，11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PPR × 4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倍频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924 counts/rev</w:t>
            </w:r>
          </w:p>
        </w:tc>
      </w:tr>
      <w:tr w14:paraId="19E2C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28AD4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显示屏</w:t>
            </w:r>
          </w:p>
        </w:tc>
        <w:tc>
          <w:p w14:paraId="76662FF1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1.3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寸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OLED，SH1106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控制器，I2C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接口</w:t>
            </w:r>
          </w:p>
        </w:tc>
      </w:tr>
      <w:tr w14:paraId="27694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838B8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输入设备</w:t>
            </w:r>
          </w:p>
        </w:tc>
        <w:tc>
          <w:p w14:paraId="55BB5818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4×4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矩阵键盘（实际使用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键）</w:t>
            </w:r>
          </w:p>
        </w:tc>
      </w:tr>
      <w:tr w14:paraId="322D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31B277D9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调试接口</w:t>
            </w:r>
          </w:p>
        </w:tc>
        <w:tc>
          <w:tcPr>
            <w:tcBorders>
              <w:bottom w:val="single" w:color="000000" w:sz="12" w:space="0"/>
            </w:tcBorders>
          </w:tcPr>
          <w:p w14:paraId="32ADDA41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DAPLINK（SWD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+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串口）</w:t>
            </w:r>
          </w:p>
        </w:tc>
      </w:tr>
    </w:tbl>
    <w:p w14:paraId="21FCCC52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4462780"/>
            <wp:effectExtent l="0" t="0" r="0" b="0"/>
            <wp:docPr id="11" name="Picture" descr="实验装置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实验装置实物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6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2BC5E9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实验装置实物图</w:t>
      </w:r>
    </w:p>
    <w:p w14:paraId="54D570CB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上图展示了完整的实验装置。系统由</w:t>
      </w:r>
      <w:r>
        <w:rPr>
          <w:rFonts w:ascii="Times New Roman" w:hAnsi="Times New Roman"/>
          <w:color w:val="000000"/>
          <w:sz w:val="24"/>
          <w:szCs w:val="24"/>
        </w:rPr>
        <w:t xml:space="preserve"> STM32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最小系统板、L298N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电机驱动模块、直流减速电机、1.3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寸</w:t>
      </w:r>
      <w:r>
        <w:rPr>
          <w:rFonts w:ascii="Times New Roman" w:hAnsi="Times New Roman"/>
          <w:color w:val="000000"/>
          <w:sz w:val="24"/>
          <w:szCs w:val="24"/>
        </w:rPr>
        <w:t xml:space="preserve"> OLED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显示屏、4×4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矩阵键盘及</w:t>
      </w:r>
      <w:r>
        <w:rPr>
          <w:rFonts w:ascii="Times New Roman" w:hAnsi="Times New Roman"/>
          <w:color w:val="000000"/>
          <w:sz w:val="24"/>
          <w:szCs w:val="24"/>
        </w:rPr>
        <w:t xml:space="preserve"> DAPLINK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调试器组成。电机轴端集成</w:t>
      </w:r>
      <w:r>
        <w:rPr>
          <w:rFonts w:ascii="Times New Roman" w:hAnsi="Times New Roman"/>
          <w:color w:val="000000"/>
          <w:sz w:val="24"/>
          <w:szCs w:val="24"/>
        </w:rPr>
        <w:t xml:space="preserve"> AB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双相磁性霍尔编码器，编码信号直接接入</w:t>
      </w:r>
      <w:r>
        <w:rPr>
          <w:rFonts w:ascii="Times New Roman" w:hAnsi="Times New Roman"/>
          <w:color w:val="000000"/>
          <w:sz w:val="24"/>
          <w:szCs w:val="24"/>
        </w:rPr>
        <w:t xml:space="preserve"> STM32 </w:t>
      </w:r>
      <w:r>
        <w:rPr>
          <w:rFonts w:hint="eastAsia" w:ascii="宋体" w:hAnsi="宋体" w:eastAsia="宋体"/>
          <w:color w:val="000000"/>
          <w:sz w:val="24"/>
          <w:szCs w:val="24"/>
        </w:rPr>
        <w:t>的</w:t>
      </w:r>
      <w:r>
        <w:rPr>
          <w:rFonts w:ascii="Times New Roman" w:hAnsi="Times New Roman"/>
          <w:color w:val="000000"/>
          <w:sz w:val="24"/>
          <w:szCs w:val="24"/>
        </w:rPr>
        <w:t xml:space="preserve"> TIM1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正交编码输入通道。</w:t>
      </w:r>
    </w:p>
    <w:p w14:paraId="3914C6A1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535555"/>
            <wp:effectExtent l="0" t="0" r="0" b="0"/>
            <wp:docPr id="14" name="Picture" descr="系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系统原理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58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407A9F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系统原理图</w:t>
      </w:r>
    </w:p>
    <w:p w14:paraId="0BE81FA3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原理图展示了系统的电气连接关系：220V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市电经电源插头内的适配器转换为</w:t>
      </w:r>
      <w:r>
        <w:rPr>
          <w:rFonts w:ascii="Times New Roman" w:hAnsi="Times New Roman"/>
          <w:color w:val="000000"/>
          <w:sz w:val="24"/>
          <w:szCs w:val="24"/>
        </w:rPr>
        <w:t xml:space="preserve"> 12V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DC，输入</w:t>
      </w:r>
      <w:r>
        <w:rPr>
          <w:rFonts w:ascii="Times New Roman" w:hAnsi="Times New Roman"/>
          <w:color w:val="000000"/>
          <w:sz w:val="24"/>
          <w:szCs w:val="24"/>
        </w:rPr>
        <w:t xml:space="preserve"> L298N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电机驱动模块；L298N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内部集成</w:t>
      </w:r>
      <w:r>
        <w:rPr>
          <w:rFonts w:ascii="Times New Roman" w:hAnsi="Times New Roman"/>
          <w:color w:val="000000"/>
          <w:sz w:val="24"/>
          <w:szCs w:val="24"/>
        </w:rPr>
        <w:t xml:space="preserve"> DC-DC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降压电路，输出</w:t>
      </w:r>
      <w:r>
        <w:rPr>
          <w:rFonts w:ascii="Times New Roman" w:hAnsi="Times New Roman"/>
          <w:color w:val="000000"/>
          <w:sz w:val="24"/>
          <w:szCs w:val="24"/>
        </w:rPr>
        <w:t xml:space="preserve"> 5V </w:t>
      </w:r>
      <w:r>
        <w:rPr>
          <w:rFonts w:hint="eastAsia" w:ascii="宋体" w:hAnsi="宋体" w:eastAsia="宋体"/>
          <w:color w:val="000000"/>
          <w:sz w:val="24"/>
          <w:szCs w:val="24"/>
        </w:rPr>
        <w:t>为</w:t>
      </w:r>
      <w:r>
        <w:rPr>
          <w:rFonts w:ascii="Times New Roman" w:hAnsi="Times New Roman"/>
          <w:color w:val="000000"/>
          <w:sz w:val="24"/>
          <w:szCs w:val="24"/>
        </w:rPr>
        <w:t xml:space="preserve"> STM32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供电、3.3V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为</w:t>
      </w:r>
      <w:r>
        <w:rPr>
          <w:rFonts w:ascii="Times New Roman" w:hAnsi="Times New Roman"/>
          <w:color w:val="000000"/>
          <w:sz w:val="24"/>
          <w:szCs w:val="24"/>
        </w:rPr>
        <w:t xml:space="preserve"> OLED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供电；STM32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通过</w:t>
      </w:r>
      <w:r>
        <w:rPr>
          <w:rFonts w:ascii="Times New Roman" w:hAnsi="Times New Roman"/>
          <w:color w:val="000000"/>
          <w:sz w:val="24"/>
          <w:szCs w:val="24"/>
        </w:rPr>
        <w:t xml:space="preserve"> TIM2 </w:t>
      </w:r>
      <w:r>
        <w:rPr>
          <w:rFonts w:hint="eastAsia" w:ascii="宋体" w:hAnsi="宋体" w:eastAsia="宋体"/>
          <w:color w:val="000000"/>
          <w:sz w:val="24"/>
          <w:szCs w:val="24"/>
        </w:rPr>
        <w:t>输出两路</w:t>
      </w:r>
      <w:r>
        <w:rPr>
          <w:rFonts w:ascii="Times New Roman" w:hAnsi="Times New Roman"/>
          <w:color w:val="000000"/>
          <w:sz w:val="24"/>
          <w:szCs w:val="24"/>
        </w:rPr>
        <w:t xml:space="preserve"> 20 kHz PWM </w:t>
      </w:r>
      <w:r>
        <w:rPr>
          <w:rFonts w:hint="eastAsia" w:ascii="宋体" w:hAnsi="宋体" w:eastAsia="宋体"/>
          <w:color w:val="000000"/>
          <w:sz w:val="24"/>
          <w:szCs w:val="24"/>
        </w:rPr>
        <w:t>控制</w:t>
      </w:r>
      <w:r>
        <w:rPr>
          <w:rFonts w:ascii="Times New Roman" w:hAnsi="Times New Roman"/>
          <w:color w:val="000000"/>
          <w:sz w:val="24"/>
          <w:szCs w:val="24"/>
        </w:rPr>
        <w:t xml:space="preserve"> L298N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的转向与转速；编码器</w:t>
      </w:r>
      <w:r>
        <w:rPr>
          <w:rFonts w:ascii="Times New Roman" w:hAnsi="Times New Roman"/>
          <w:color w:val="000000"/>
          <w:sz w:val="24"/>
          <w:szCs w:val="24"/>
        </w:rPr>
        <w:t xml:space="preserve"> A/B </w:t>
      </w:r>
      <w:r>
        <w:rPr>
          <w:rFonts w:hint="eastAsia" w:ascii="宋体" w:hAnsi="宋体" w:eastAsia="宋体"/>
          <w:color w:val="000000"/>
          <w:sz w:val="24"/>
          <w:szCs w:val="24"/>
        </w:rPr>
        <w:t>相信号接入</w:t>
      </w:r>
      <w:r>
        <w:rPr>
          <w:rFonts w:ascii="Times New Roman" w:hAnsi="Times New Roman"/>
          <w:color w:val="000000"/>
          <w:sz w:val="24"/>
          <w:szCs w:val="24"/>
        </w:rPr>
        <w:t xml:space="preserve"> TIM1 </w:t>
      </w:r>
      <w:r>
        <w:rPr>
          <w:rFonts w:hint="eastAsia" w:ascii="宋体" w:hAnsi="宋体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/>
          <w:color w:val="000000"/>
          <w:sz w:val="24"/>
          <w:szCs w:val="24"/>
        </w:rPr>
        <w:t>CH1/CH2；OLED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通过硬件</w:t>
      </w:r>
      <w:r>
        <w:rPr>
          <w:rFonts w:ascii="Times New Roman" w:hAnsi="Times New Roman"/>
          <w:color w:val="000000"/>
          <w:sz w:val="24"/>
          <w:szCs w:val="24"/>
        </w:rPr>
        <w:t xml:space="preserve"> I2C1 </w:t>
      </w:r>
      <w:r>
        <w:rPr>
          <w:rFonts w:hint="eastAsia" w:ascii="宋体" w:hAnsi="宋体" w:eastAsia="宋体"/>
          <w:color w:val="000000"/>
          <w:sz w:val="24"/>
          <w:szCs w:val="24"/>
        </w:rPr>
        <w:t>与</w:t>
      </w:r>
      <w:r>
        <w:rPr>
          <w:rFonts w:ascii="Times New Roman" w:hAnsi="Times New Roman"/>
          <w:color w:val="000000"/>
          <w:sz w:val="24"/>
          <w:szCs w:val="24"/>
        </w:rPr>
        <w:t xml:space="preserve"> STM32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通信；矩阵键盘的行线接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3.3V，列线通过下拉电阻接入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GPIO，实现单向读取。</w:t>
      </w:r>
    </w:p>
    <w:bookmarkEnd w:id="3"/>
    <w:p w14:paraId="319A0D14">
      <w:pPr>
        <w:pStyle w:val="5"/>
        <w:spacing w:after="120"/>
        <w:jc w:val="left"/>
        <w:rPr>
          <w:sz w:val="28"/>
          <w:szCs w:val="28"/>
        </w:rPr>
      </w:pPr>
      <w:bookmarkStart w:id="4" w:name="软件架构"/>
      <w:r>
        <w:rPr>
          <w:rFonts w:ascii="Times New Roman" w:hAnsi="Times New Roman"/>
          <w:b/>
          <w:color w:val="000000"/>
          <w:sz w:val="28"/>
          <w:szCs w:val="28"/>
        </w:rPr>
        <w:t xml:space="preserve">1.2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软件架构</w:t>
      </w:r>
    </w:p>
    <w:p w14:paraId="45A7E2C4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本项目采用</w:t>
      </w:r>
      <w:r>
        <w:rPr>
          <w:rFonts w:ascii="Times New Roman" w:hAnsi="Times New Roman"/>
          <w:color w:val="000000"/>
          <w:sz w:val="24"/>
          <w:szCs w:val="24"/>
        </w:rPr>
        <w:t xml:space="preserve"> Rust Embassy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作为嵌入式开发框架，具体版本为</w:t>
      </w:r>
      <w:r>
        <w:rPr>
          <w:rFonts w:ascii="Times New Roman" w:hAnsi="Times New Roman"/>
          <w:color w:val="000000"/>
          <w:sz w:val="24"/>
          <w:szCs w:val="24"/>
        </w:rPr>
        <w:t xml:space="preserve"> embassy-stm32 0.6.0 </w:t>
      </w:r>
      <w:r>
        <w:rPr>
          <w:rFonts w:hint="eastAsia" w:ascii="宋体" w:hAnsi="宋体" w:eastAsia="宋体"/>
          <w:color w:val="000000"/>
          <w:sz w:val="24"/>
          <w:szCs w:val="24"/>
        </w:rPr>
        <w:t>与</w:t>
      </w:r>
      <w:r>
        <w:rPr>
          <w:rFonts w:ascii="Times New Roman" w:hAnsi="Times New Roman"/>
          <w:color w:val="000000"/>
          <w:sz w:val="24"/>
          <w:szCs w:val="24"/>
        </w:rPr>
        <w:t xml:space="preserve"> embassy-executor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0.7.0。控制周期设置为</w:t>
      </w:r>
      <w:r>
        <w:rPr>
          <w:rFonts w:ascii="Times New Roman" w:hAnsi="Times New Roman"/>
          <w:color w:val="000000"/>
          <w:sz w:val="24"/>
          <w:szCs w:val="24"/>
        </w:rPr>
        <w:t xml:space="preserve"> 50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ms，由</w:t>
      </w:r>
      <w:r>
        <w:rPr>
          <w:rFonts w:ascii="Times New Roman" w:hAnsi="Times New Roman"/>
          <w:color w:val="000000"/>
          <w:sz w:val="24"/>
          <w:szCs w:val="24"/>
        </w:rPr>
        <w:t xml:space="preserve"> TIM3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定时中断触发。PWM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输出使用</w:t>
      </w:r>
      <w:r>
        <w:rPr>
          <w:rFonts w:ascii="Times New Roman" w:hAnsi="Times New Roman"/>
          <w:color w:val="000000"/>
          <w:sz w:val="24"/>
          <w:szCs w:val="24"/>
        </w:rPr>
        <w:t xml:space="preserve"> TIM2 </w:t>
      </w:r>
      <w:r>
        <w:rPr>
          <w:rFonts w:hint="eastAsia" w:ascii="宋体" w:hAnsi="宋体" w:eastAsia="宋体"/>
          <w:color w:val="000000"/>
          <w:sz w:val="24"/>
          <w:szCs w:val="24"/>
        </w:rPr>
        <w:t>的</w:t>
      </w:r>
      <w:r>
        <w:rPr>
          <w:rFonts w:ascii="Times New Roman" w:hAnsi="Times New Roman"/>
          <w:color w:val="000000"/>
          <w:sz w:val="24"/>
          <w:szCs w:val="24"/>
        </w:rPr>
        <w:t xml:space="preserve"> CH3 </w:t>
      </w:r>
      <w:r>
        <w:rPr>
          <w:rFonts w:hint="eastAsia"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/>
          <w:color w:val="000000"/>
          <w:sz w:val="24"/>
          <w:szCs w:val="24"/>
        </w:rPr>
        <w:t xml:space="preserve"> CH4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通道，对应引脚</w:t>
      </w:r>
      <w:r>
        <w:rPr>
          <w:rFonts w:ascii="Times New Roman" w:hAnsi="Times New Roman"/>
          <w:color w:val="000000"/>
          <w:sz w:val="24"/>
          <w:szCs w:val="24"/>
        </w:rPr>
        <w:t xml:space="preserve"> PB10 </w:t>
      </w:r>
      <w:r>
        <w:rPr>
          <w:rFonts w:hint="eastAsia"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PB11，频率为</w:t>
      </w:r>
      <w:r>
        <w:rPr>
          <w:rFonts w:ascii="Times New Roman" w:hAnsi="Times New Roman"/>
          <w:color w:val="000000"/>
          <w:sz w:val="24"/>
          <w:szCs w:val="24"/>
        </w:rPr>
        <w:t xml:space="preserve"> 20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kHz。编码器接口采用</w:t>
      </w:r>
      <w:r>
        <w:rPr>
          <w:rFonts w:ascii="Times New Roman" w:hAnsi="Times New Roman"/>
          <w:color w:val="000000"/>
          <w:sz w:val="24"/>
          <w:szCs w:val="24"/>
        </w:rPr>
        <w:t xml:space="preserve"> TIM1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的正交编码输入模式，连接</w:t>
      </w:r>
      <w:r>
        <w:rPr>
          <w:rFonts w:ascii="Times New Roman" w:hAnsi="Times New Roman"/>
          <w:color w:val="000000"/>
          <w:sz w:val="24"/>
          <w:szCs w:val="24"/>
        </w:rPr>
        <w:t xml:space="preserve"> PA8 </w:t>
      </w:r>
      <w:r>
        <w:rPr>
          <w:rFonts w:hint="eastAsia"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/>
          <w:color w:val="000000"/>
          <w:sz w:val="24"/>
          <w:szCs w:val="24"/>
        </w:rPr>
        <w:t xml:space="preserve"> PA9。OLED </w:t>
      </w:r>
      <w:r>
        <w:rPr>
          <w:rFonts w:hint="eastAsia" w:ascii="宋体" w:hAnsi="宋体" w:eastAsia="宋体"/>
          <w:color w:val="000000"/>
          <w:sz w:val="24"/>
          <w:szCs w:val="24"/>
        </w:rPr>
        <w:t>显示屏通过硬件</w:t>
      </w:r>
      <w:r>
        <w:rPr>
          <w:rFonts w:ascii="Times New Roman" w:hAnsi="Times New Roman"/>
          <w:color w:val="000000"/>
          <w:sz w:val="24"/>
          <w:szCs w:val="24"/>
        </w:rPr>
        <w:t xml:space="preserve"> I2C1 </w:t>
      </w:r>
      <w:r>
        <w:rPr>
          <w:rFonts w:hint="eastAsia" w:ascii="宋体" w:hAnsi="宋体" w:eastAsia="宋体"/>
          <w:color w:val="000000"/>
          <w:sz w:val="24"/>
          <w:szCs w:val="24"/>
        </w:rPr>
        <w:t>与</w:t>
      </w:r>
      <w:r>
        <w:rPr>
          <w:rFonts w:ascii="Times New Roman" w:hAnsi="Times New Roman"/>
          <w:color w:val="000000"/>
          <w:sz w:val="24"/>
          <w:szCs w:val="24"/>
        </w:rPr>
        <w:t xml:space="preserve"> DMA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传输控制，SCL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/>
          <w:color w:val="000000"/>
          <w:sz w:val="24"/>
          <w:szCs w:val="24"/>
        </w:rPr>
        <w:t xml:space="preserve"> SDA </w:t>
      </w:r>
      <w:r>
        <w:rPr>
          <w:rFonts w:hint="eastAsia" w:ascii="宋体" w:hAnsi="宋体" w:eastAsia="宋体"/>
          <w:color w:val="000000"/>
          <w:sz w:val="24"/>
          <w:szCs w:val="24"/>
        </w:rPr>
        <w:t>分别接</w:t>
      </w:r>
      <w:r>
        <w:rPr>
          <w:rFonts w:ascii="Times New Roman" w:hAnsi="Times New Roman"/>
          <w:color w:val="000000"/>
          <w:sz w:val="24"/>
          <w:szCs w:val="24"/>
        </w:rPr>
        <w:t xml:space="preserve"> PB8 </w:t>
      </w:r>
      <w:r>
        <w:rPr>
          <w:rFonts w:hint="eastAsia"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/>
          <w:color w:val="000000"/>
          <w:sz w:val="24"/>
          <w:szCs w:val="24"/>
        </w:rPr>
        <w:t xml:space="preserve"> PB9。</w:t>
      </w:r>
    </w:p>
    <w:bookmarkEnd w:id="4"/>
    <w:p w14:paraId="5D586AFA">
      <w:pPr>
        <w:pStyle w:val="5"/>
        <w:spacing w:after="120"/>
        <w:jc w:val="left"/>
        <w:rPr>
          <w:sz w:val="28"/>
          <w:szCs w:val="28"/>
        </w:rPr>
      </w:pPr>
      <w:bookmarkStart w:id="5" w:name="控制器架构"/>
      <w:r>
        <w:rPr>
          <w:rFonts w:ascii="Times New Roman" w:hAnsi="Times New Roman"/>
          <w:b/>
          <w:color w:val="000000"/>
          <w:sz w:val="28"/>
          <w:szCs w:val="28"/>
        </w:rPr>
        <w:t xml:space="preserve">1.3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控制器架构</w:t>
      </w:r>
    </w:p>
    <w:p w14:paraId="745C606C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系统采用前馈-反馈复合控制，控制量由前馈项与反馈项叠加而成：</w:t>
      </w:r>
    </w:p>
    <w:p w14:paraId="75354717">
      <w:pPr>
        <w:pStyle w:val="3"/>
        <w:spacing w:after="120"/>
        <w:ind w:firstLine="480" w:firstLineChars="200"/>
        <w:rPr>
          <w:b w:val="0"/>
          <w:bCs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/>
              <w:sz w:val="24"/>
              <w:szCs w:val="24"/>
            </w:rPr>
            <m:t>ν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ν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  <w:sz w:val="24"/>
                  <w:szCs w:val="24"/>
                </w:rPr>
                <m:t>ff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ν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  <w:sz w:val="24"/>
                  <w:szCs w:val="24"/>
                </w:rPr>
                <m:t>fb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ub>
          </m:sSub>
        </m:oMath>
      </m:oMathPara>
    </w:p>
    <w:p w14:paraId="564A6158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前馈项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ν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ff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由空载逆模型根据目标转速直接计算基础占空比，承担稳态输出的主要部分。反馈项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ν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fb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由位置式</w:t>
      </w:r>
      <w:r>
        <w:rPr>
          <w:rFonts w:ascii="Times New Roman" w:hAnsi="Times New Roman"/>
          <w:color w:val="000000"/>
          <w:sz w:val="24"/>
          <w:szCs w:val="24"/>
        </w:rPr>
        <w:t xml:space="preserve"> PI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控制器产生，用于补偿实际误差与外部扰动。总输出经限幅后送入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L298N，限幅范围为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sz w:val="24"/>
            <w:szCs w:val="24"/>
          </w:rPr>
          <m:t>[−</m:t>
        </m:r>
        <m:r>
          <m:rPr/>
          <w:rPr>
            <w:sz w:val="24"/>
            <w:szCs w:val="24"/>
          </w:rPr>
          <m:t>100</m:t>
        </m:r>
        <m:r>
          <m:rPr>
            <m:sty m:val="p"/>
          </m:rPr>
          <w:rPr>
            <w:sz w:val="24"/>
            <w:szCs w:val="24"/>
          </w:rPr>
          <m:t>%,+</m:t>
        </m:r>
        <m:r>
          <m:rPr/>
          <w:rPr>
            <w:sz w:val="24"/>
            <w:szCs w:val="24"/>
          </w:rPr>
          <m:t>100</m:t>
        </m:r>
        <m:r>
          <m:rPr>
            <m:sty m:val="p"/>
          </m:rPr>
          <w:rPr>
            <w:sz w:val="24"/>
            <w:szCs w:val="24"/>
          </w:rPr>
          <m:t>%]</m:t>
        </m:r>
      </m:oMath>
      <w:r>
        <w:rPr>
          <w:rFonts w:ascii="Times New Roman" w:hAnsi="Times New Roman"/>
          <w:color w:val="000000"/>
          <w:sz w:val="24"/>
          <w:szCs w:val="24"/>
        </w:rPr>
        <w:t>。</w:t>
      </w:r>
    </w:p>
    <w:p w14:paraId="24E3972B">
      <w:pPr>
        <w:spacing w:after="120"/>
        <w:ind w:firstLine="480" w:firstLineChars="200"/>
        <w:jc w:val="center"/>
      </w:pPr>
    </w:p>
    <w:bookmarkEnd w:id="2"/>
    <w:bookmarkEnd w:id="5"/>
    <w:p w14:paraId="32396E04">
      <w:pPr>
        <w:pStyle w:val="4"/>
        <w:spacing w:after="120"/>
        <w:jc w:val="left"/>
        <w:rPr>
          <w:sz w:val="30"/>
          <w:szCs w:val="30"/>
        </w:rPr>
      </w:pPr>
      <w:bookmarkStart w:id="6" w:name="电机参数辨识"/>
      <w:r>
        <w:rPr>
          <w:rFonts w:ascii="Times New Roman" w:hAnsi="Times New Roman"/>
          <w:b/>
          <w:color w:val="000000"/>
          <w:sz w:val="30"/>
          <w:szCs w:val="30"/>
        </w:rPr>
        <w:t xml:space="preserve">2.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电机参数辨识</w:t>
      </w:r>
    </w:p>
    <w:p w14:paraId="09B540E9">
      <w:pPr>
        <w:pStyle w:val="5"/>
        <w:spacing w:after="120"/>
        <w:jc w:val="left"/>
        <w:rPr>
          <w:sz w:val="28"/>
          <w:szCs w:val="28"/>
        </w:rPr>
      </w:pPr>
      <w:bookmarkStart w:id="7" w:name="实验设计"/>
      <w:r>
        <w:rPr>
          <w:rFonts w:ascii="Times New Roman" w:hAnsi="Times New Roman"/>
          <w:b/>
          <w:color w:val="000000"/>
          <w:sz w:val="28"/>
          <w:szCs w:val="28"/>
        </w:rPr>
        <w:t xml:space="preserve">2.1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实验设计</w:t>
      </w:r>
    </w:p>
    <w:p w14:paraId="2BC4A7A5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通过空载阶跃响应实验辨识电机一阶模型参数。MCU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自动执行</w:t>
      </w:r>
      <w:r>
        <w:rPr>
          <w:rFonts w:ascii="Times New Roman" w:hAnsi="Times New Roman"/>
          <w:color w:val="000000"/>
          <w:sz w:val="24"/>
          <w:szCs w:val="24"/>
        </w:rPr>
        <w:t xml:space="preserve"> 20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次阶跃实验（4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个占空比水平</w:t>
      </w:r>
      <w:r>
        <w:rPr>
          <w:rFonts w:ascii="Times New Roman" w:hAnsi="Times New Roman"/>
          <w:color w:val="000000"/>
          <w:sz w:val="24"/>
          <w:szCs w:val="24"/>
        </w:rPr>
        <w:t xml:space="preserve"> × 5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次重复），上位机通过</w:t>
      </w:r>
      <w:r>
        <w:rPr>
          <w:rFonts w:ascii="Times New Roman" w:hAnsi="Times New Roman"/>
          <w:color w:val="000000"/>
          <w:sz w:val="24"/>
          <w:szCs w:val="24"/>
        </w:rPr>
        <w:t xml:space="preserve"> DAPLINK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串口采集数据。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2516"/>
        <w:gridCol w:w="4398"/>
      </w:tblGrid>
      <w:tr w14:paraId="4754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50EF7FB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参数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5DA636EF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取值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0B830AEE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说明</w:t>
            </w:r>
          </w:p>
        </w:tc>
      </w:tr>
      <w:tr w14:paraId="2B0D5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9AE15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采样周期</w:t>
            </w:r>
          </w:p>
        </w:tc>
        <w:tc>
          <w:p w14:paraId="1979D7D2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 ms</w:t>
            </w:r>
          </w:p>
        </w:tc>
        <w:tc>
          <w:p w14:paraId="52BEC670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τ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实测约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17 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ms，10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ms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才能分辨上升沿</w:t>
            </w:r>
          </w:p>
        </w:tc>
      </w:tr>
      <w:tr w14:paraId="338D8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7B445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阶跃前预稳态</w:t>
            </w:r>
          </w:p>
        </w:tc>
        <w:tc>
          <w:p w14:paraId="662D86CE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300 ms</w:t>
            </w:r>
          </w:p>
        </w:tc>
        <w:tc>
          <w:p w14:paraId="0063BA1E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确保电机完全静止</w:t>
            </w:r>
          </w:p>
        </w:tc>
      </w:tr>
      <w:tr w14:paraId="51FD7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A626F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阶跃后保持</w:t>
            </w:r>
          </w:p>
        </w:tc>
        <w:tc>
          <w:p w14:paraId="67653355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800 ms</w:t>
            </w:r>
          </w:p>
        </w:tc>
        <w:tc>
          <w:p w14:paraId="672B3054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约</w:t>
            </w: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47τ，足够进入稳态</w:t>
            </w:r>
          </w:p>
        </w:tc>
      </w:tr>
      <w:tr w14:paraId="3621D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90ABF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轮间停顿</w:t>
            </w:r>
          </w:p>
        </w:tc>
        <w:tc>
          <w:p w14:paraId="3BE34B66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1000 ms</w:t>
            </w:r>
          </w:p>
        </w:tc>
        <w:tc>
          <w:p w14:paraId="50916587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消除惯性、散热</w:t>
            </w:r>
          </w:p>
        </w:tc>
      </w:tr>
      <w:tr w14:paraId="128EB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E6175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占空比水平</w:t>
            </w:r>
          </w:p>
        </w:tc>
        <w:tc>
          <w:p w14:paraId="3B47A561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40%, 60%, 80%, 100%</w:t>
            </w:r>
          </w:p>
        </w:tc>
        <w:tc>
          <w:p w14:paraId="5F9F6775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0000"/>
                <w:sz w:val="24"/>
                <w:szCs w:val="24"/>
              </w:rPr>
              <w:t>覆盖典型工作区，均高于死区</w:t>
            </w:r>
          </w:p>
        </w:tc>
      </w:tr>
      <w:tr w14:paraId="5D3C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7F5C2B07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每水平重复次数</w:t>
            </w:r>
          </w:p>
        </w:tc>
        <w:tc>
          <w:tcPr>
            <w:tcBorders>
              <w:bottom w:val="single" w:color="000000" w:sz="12" w:space="0"/>
            </w:tcBorders>
          </w:tcPr>
          <w:p w14:paraId="353E5866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次</w:t>
            </w:r>
          </w:p>
        </w:tc>
        <w:tc>
          <w:tcPr>
            <w:tcBorders>
              <w:bottom w:val="single" w:color="000000" w:sz="12" w:space="0"/>
            </w:tcBorders>
          </w:tcPr>
          <w:p w14:paraId="54BD4629">
            <w:pPr>
              <w:pStyle w:val="25"/>
              <w:spacing w:before="0" w:after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用于统计分析和误差估计</w:t>
            </w:r>
          </w:p>
        </w:tc>
      </w:tr>
      <w:bookmarkEnd w:id="7"/>
    </w:tbl>
    <w:p w14:paraId="38414B41">
      <w:pPr>
        <w:pStyle w:val="5"/>
        <w:spacing w:after="120"/>
        <w:jc w:val="left"/>
        <w:rPr>
          <w:sz w:val="28"/>
          <w:szCs w:val="28"/>
        </w:rPr>
      </w:pPr>
      <w:bookmarkStart w:id="8" w:name="多次实验原始曲线"/>
      <w:r>
        <w:rPr>
          <w:rFonts w:ascii="Times New Roman" w:hAnsi="Times New Roman"/>
          <w:b/>
          <w:color w:val="000000"/>
          <w:sz w:val="28"/>
          <w:szCs w:val="28"/>
        </w:rPr>
        <w:t xml:space="preserve">2.2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多次实验原始曲线</w:t>
      </w:r>
    </w:p>
    <w:p w14:paraId="60388220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810000"/>
            <wp:effectExtent l="0" t="0" r="0" b="0"/>
            <wp:docPr id="22" name="Picture" descr="多次实验原始曲线叠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多次实验原始曲线叠加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17226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多次实验原始曲线叠加</w:t>
      </w:r>
    </w:p>
    <w:p w14:paraId="1BD320D1">
      <w:pPr>
        <w:pStyle w:val="3"/>
        <w:spacing w:after="120"/>
        <w:ind w:firstLine="480" w:firstLineChars="200"/>
        <w:jc w:val="center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上图展示了</w:t>
      </w:r>
      <w:r>
        <w:rPr>
          <w:rFonts w:ascii="Times New Roman" w:hAnsi="Times New Roman"/>
          <w:color w:val="000000"/>
          <w:sz w:val="24"/>
          <w:szCs w:val="24"/>
        </w:rPr>
        <w:t xml:space="preserve"> 20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次阶跃响应实验的原始转速曲线叠加。所有曲线在阶跃施加后（约</w:t>
      </w:r>
      <w:r>
        <w:rPr>
          <w:rFonts w:ascii="Times New Roman" w:hAnsi="Times New Roman"/>
          <w:color w:val="000000"/>
          <w:sz w:val="24"/>
          <w:szCs w:val="24"/>
        </w:rPr>
        <w:t xml:space="preserve"> 300 ms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处）迅速上升，由于电机时间常数极小（约</w:t>
      </w:r>
      <w:r>
        <w:rPr>
          <w:rFonts w:ascii="Times New Roman" w:hAnsi="Times New Roman"/>
          <w:color w:val="000000"/>
          <w:sz w:val="24"/>
          <w:szCs w:val="24"/>
        </w:rPr>
        <w:t xml:space="preserve"> 17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ms），上升沿在</w:t>
      </w:r>
      <w:r>
        <w:rPr>
          <w:rFonts w:ascii="Times New Roman" w:hAnsi="Times New Roman"/>
          <w:color w:val="000000"/>
          <w:sz w:val="24"/>
          <w:szCs w:val="24"/>
        </w:rPr>
        <w:t xml:space="preserve"> 10 ms </w:t>
      </w:r>
      <w:r>
        <w:rPr>
          <w:rFonts w:hint="eastAsia" w:ascii="宋体" w:hAnsi="宋体" w:eastAsia="宋体"/>
          <w:color w:val="000000"/>
          <w:sz w:val="24"/>
          <w:szCs w:val="24"/>
        </w:rPr>
        <w:t>采样分辨率下仅占据</w:t>
      </w:r>
      <w:r>
        <w:rPr>
          <w:rFonts w:ascii="Times New Roman" w:hAnsi="Times New Roman"/>
          <w:color w:val="000000"/>
          <w:sz w:val="24"/>
          <w:szCs w:val="24"/>
        </w:rPr>
        <w:t xml:space="preserve"> 2~3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个数据点。时间轴聚焦在</w:t>
      </w:r>
      <w:r>
        <w:rPr>
          <w:rFonts w:ascii="Times New Roman" w:hAnsi="Times New Roman"/>
          <w:color w:val="000000"/>
          <w:sz w:val="24"/>
          <w:szCs w:val="24"/>
        </w:rPr>
        <w:t xml:space="preserve"> 0~400 ms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动态区间内，可清晰观察到各次实验的高度一致性。</w:t>
      </w:r>
    </w:p>
    <w:bookmarkEnd w:id="8"/>
    <w:p w14:paraId="5A703C20">
      <w:pPr>
        <w:pStyle w:val="5"/>
        <w:spacing w:after="120"/>
        <w:jc w:val="left"/>
        <w:rPr>
          <w:sz w:val="28"/>
          <w:szCs w:val="28"/>
        </w:rPr>
      </w:pPr>
      <w:bookmarkStart w:id="9" w:name="均值与标准差"/>
      <w:r>
        <w:rPr>
          <w:rFonts w:ascii="Times New Roman" w:hAnsi="Times New Roman"/>
          <w:b/>
          <w:color w:val="000000"/>
          <w:sz w:val="28"/>
          <w:szCs w:val="28"/>
        </w:rPr>
        <w:t xml:space="preserve">2.3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均值与标准差</w:t>
      </w:r>
    </w:p>
    <w:p w14:paraId="182A4BA5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111500"/>
            <wp:effectExtent l="0" t="0" r="0" b="0"/>
            <wp:docPr id="26" name="Picture" descr="均值 ± 标准差置信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均值 ± 标准差置信带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0E1CD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均值</w:t>
      </w:r>
      <w:r>
        <w:rPr>
          <w:rFonts w:ascii="Times New Roman" w:hAnsi="Times New Roman"/>
          <w:color w:val="000000"/>
          <w:sz w:val="21"/>
        </w:rPr>
        <w:t xml:space="preserve"> ± </w:t>
      </w:r>
      <w:r>
        <w:rPr>
          <w:rFonts w:hint="eastAsia" w:ascii="宋体" w:hAnsi="宋体" w:eastAsia="宋体"/>
          <w:color w:val="000000"/>
          <w:sz w:val="21"/>
        </w:rPr>
        <w:t>标准差置信带</w:t>
      </w:r>
    </w:p>
    <w:p w14:paraId="337F2DD0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按占空比分组取平均后，各水平的均值曲线（实线）与</w:t>
      </w:r>
      <w:r>
        <w:rPr>
          <w:rFonts w:ascii="Times New Roman" w:hAnsi="Times New Roman"/>
          <w:color w:val="000000"/>
          <w:sz w:val="24"/>
          <w:szCs w:val="24"/>
        </w:rPr>
        <w:t xml:space="preserve"> ±1σ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置信带（阴影）显示：低占空比（40%）时噪声相对显著，因稳态转速较低；高占空比（100%）时曲线一致性最好，标准差最小。</w:t>
      </w:r>
    </w:p>
    <w:bookmarkEnd w:id="9"/>
    <w:p w14:paraId="7D49B5C3">
      <w:pPr>
        <w:pStyle w:val="5"/>
        <w:spacing w:after="120"/>
        <w:jc w:val="left"/>
        <w:rPr>
          <w:sz w:val="28"/>
          <w:szCs w:val="28"/>
        </w:rPr>
      </w:pPr>
      <w:bookmarkStart w:id="10" w:name="典型曲线与一阶拟合"/>
      <w:r>
        <w:rPr>
          <w:rFonts w:ascii="Times New Roman" w:hAnsi="Times New Roman"/>
          <w:b/>
          <w:color w:val="000000"/>
          <w:sz w:val="28"/>
          <w:szCs w:val="28"/>
        </w:rPr>
        <w:t xml:space="preserve">2.4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典型曲线与一阶拟合</w:t>
      </w:r>
    </w:p>
    <w:p w14:paraId="2254FD5C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810000"/>
            <wp:effectExtent l="0" t="0" r="0" b="0"/>
            <wp:docPr id="30" name="Picture" descr="典型曲线与一阶模型拟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典型曲线与一阶模型拟合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82E07">
      <w:pPr>
        <w:pStyle w:val="46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典型曲线与一阶模型拟合</w:t>
      </w:r>
    </w:p>
    <w:p w14:paraId="414E5865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对典型实验曲线进行一阶指数模型拟合：</w:t>
      </w:r>
    </w:p>
    <w:p w14:paraId="7F19B7C9">
      <w:pPr>
        <w:pStyle w:val="3"/>
        <w:spacing w:after="120"/>
        <w:ind w:firstLine="480" w:firstLineChars="200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ω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ω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ss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−(</m:t>
                  </m:r>
                  <m:r>
                    <m:rPr/>
                    <w:rPr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)/</m:t>
                  </m:r>
                  <m:r>
                    <m:rPr/>
                    <w:rPr>
                      <w:sz w:val="24"/>
                      <w:szCs w:val="24"/>
                    </w:rPr>
                    <m:t>τ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33F7DAF0">
      <w:pPr>
        <w:pStyle w:val="24"/>
        <w:spacing w:after="12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各占空比水平的拟合决定系数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&gt;</m:t>
        </m:r>
        <m:r>
          <m:rPr/>
          <w:rPr>
            <w:sz w:val="24"/>
            <w:szCs w:val="24"/>
          </w:rPr>
          <m:t>0.94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，证实一阶模型能很好地描述电机动态。</w:t>
      </w:r>
    </w:p>
    <w:bookmarkEnd w:id="10"/>
    <w:p w14:paraId="795D79C2">
      <w:pPr>
        <w:pStyle w:val="5"/>
        <w:spacing w:after="120"/>
        <w:jc w:val="left"/>
        <w:rPr>
          <w:sz w:val="28"/>
          <w:szCs w:val="28"/>
        </w:rPr>
      </w:pPr>
      <w:bookmarkStart w:id="11" w:name="参数估计结果"/>
      <w:r>
        <w:rPr>
          <w:rFonts w:ascii="Times New Roman" w:hAnsi="Times New Roman"/>
          <w:b/>
          <w:color w:val="000000"/>
          <w:sz w:val="28"/>
          <w:szCs w:val="28"/>
        </w:rPr>
        <w:t xml:space="preserve">2.5 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参数估计结果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923"/>
        <w:gridCol w:w="894"/>
        <w:gridCol w:w="971"/>
        <w:gridCol w:w="1517"/>
        <w:gridCol w:w="1138"/>
        <w:gridCol w:w="970"/>
        <w:gridCol w:w="837"/>
        <w:gridCol w:w="711"/>
      </w:tblGrid>
      <w:tr w14:paraId="72ABC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5" w:type="pct"/>
            <w:tcBorders>
              <w:top w:val="single" w:color="000000" w:sz="12" w:space="0"/>
              <w:bottom w:val="single" w:color="000000" w:sz="6" w:space="0"/>
            </w:tcBorders>
          </w:tcPr>
          <w:p w14:paraId="2E1C25B8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占空比</w:t>
            </w:r>
          </w:p>
        </w:tc>
        <w:tc>
          <w:tcPr>
            <w:tcW w:w="521" w:type="pct"/>
            <w:tcBorders>
              <w:top w:val="single" w:color="000000" w:sz="12" w:space="0"/>
              <w:bottom w:val="single" w:color="000000" w:sz="6" w:space="0"/>
            </w:tcBorders>
          </w:tcPr>
          <w:p w14:paraId="363A4ED3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电压</w:t>
            </w:r>
          </w:p>
        </w:tc>
        <w:tc>
          <w:tcPr>
            <w:tcW w:w="504" w:type="pct"/>
            <w:tcBorders>
              <w:top w:val="single" w:color="000000" w:sz="12" w:space="0"/>
              <w:bottom w:val="single" w:color="000000" w:sz="6" w:space="0"/>
            </w:tcBorders>
          </w:tcPr>
          <w:p w14:paraId="45AD5479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548" w:type="pct"/>
            <w:tcBorders>
              <w:top w:val="single" w:color="000000" w:sz="12" w:space="0"/>
              <w:bottom w:val="single" w:color="000000" w:sz="6" w:space="0"/>
            </w:tcBorders>
          </w:tcPr>
          <w:p w14:paraId="66E22E4C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ω</m:t>
                    </m:r>
                  </m:e>
                  <m:sub>
                    <m:r>
                      <m:rPr/>
                      <m:t>ss</m:t>
                    </m:r>
                  </m:sub>
                </m:sSub>
              </m:oMath>
            </m:oMathPara>
          </w:p>
        </w:tc>
        <w:tc>
          <w:tcPr>
            <w:tcW w:w="856" w:type="pct"/>
            <w:tcBorders>
              <w:top w:val="single" w:color="000000" w:sz="12" w:space="0"/>
              <w:bottom w:val="single" w:color="000000" w:sz="6" w:space="0"/>
            </w:tcBorders>
          </w:tcPr>
          <w:p w14:paraId="29E213E7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rise</m:t>
                    </m:r>
                  </m:sub>
                </m:sSub>
              </m:oMath>
            </m:oMathPara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7A72050B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/>
                      <m:t>63.2</m:t>
                    </m:r>
                  </m:sub>
                </m:sSub>
              </m:oMath>
            </m:oMathPara>
          </w:p>
        </w:tc>
        <w:tc>
          <w:tcPr>
            <w:tcW w:w="547" w:type="pct"/>
            <w:tcBorders>
              <w:top w:val="single" w:color="000000" w:sz="12" w:space="0"/>
              <w:bottom w:val="single" w:color="000000" w:sz="6" w:space="0"/>
            </w:tcBorders>
          </w:tcPr>
          <w:p w14:paraId="000A22DE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fit</m:t>
                    </m:r>
                  </m:sub>
                </m:sSub>
              </m:oMath>
            </m:oMathPara>
          </w:p>
        </w:tc>
        <w:tc>
          <w:tcPr>
            <w:tcW w:w="472" w:type="pct"/>
            <w:tcBorders>
              <w:top w:val="single" w:color="000000" w:sz="12" w:space="0"/>
              <w:bottom w:val="single" w:color="000000" w:sz="6" w:space="0"/>
            </w:tcBorders>
          </w:tcPr>
          <w:p w14:paraId="5D7B8C89">
            <w:pPr>
              <w:pStyle w:val="25"/>
              <w:spacing w:before="0" w:after="0"/>
            </w:pPr>
            <m:oMathPara>
              <m:oMath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tcW w:w="401" w:type="pct"/>
            <w:tcBorders>
              <w:top w:val="single" w:color="000000" w:sz="12" w:space="0"/>
              <w:bottom w:val="single" w:color="000000" w:sz="6" w:space="0"/>
            </w:tcBorders>
          </w:tcPr>
          <w:p w14:paraId="046E3119">
            <w:pPr>
              <w:pStyle w:val="25"/>
              <w:spacing w:before="0" w:after="0"/>
            </w:pPr>
            <m:oMathPara>
              <m:oMath>
                <m:r>
                  <m:rPr/>
                  <m:t>K</m:t>
                </m:r>
              </m:oMath>
            </m:oMathPara>
          </w:p>
        </w:tc>
      </w:tr>
      <w:tr w14:paraId="3075F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pct"/>
          </w:tcPr>
          <w:p w14:paraId="3E84F8D2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40%</w:t>
            </w:r>
          </w:p>
        </w:tc>
        <w:tc>
          <w:tcPr>
            <w:tcW w:w="521" w:type="pct"/>
          </w:tcPr>
          <w:p w14:paraId="0D218D9D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4.40 V</w:t>
            </w:r>
          </w:p>
        </w:tc>
        <w:tc>
          <w:tcPr>
            <w:tcW w:w="504" w:type="pct"/>
          </w:tcPr>
          <w:p w14:paraId="4B07458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2.20 V</w:t>
            </w:r>
          </w:p>
        </w:tc>
        <w:tc>
          <w:tcPr>
            <w:tcW w:w="548" w:type="pct"/>
          </w:tcPr>
          <w:p w14:paraId="5464A276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60.4 RPM</w:t>
            </w:r>
          </w:p>
        </w:tc>
        <w:tc>
          <w:tcPr>
            <w:tcW w:w="856" w:type="pct"/>
          </w:tcPr>
          <w:p w14:paraId="6E1C509A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40 ms</w:t>
            </w:r>
          </w:p>
        </w:tc>
        <w:tc>
          <w:p w14:paraId="0FC416BC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20 ms</w:t>
            </w:r>
          </w:p>
        </w:tc>
        <w:tc>
          <w:tcPr>
            <w:tcW w:w="547" w:type="pct"/>
          </w:tcPr>
          <w:p w14:paraId="7504CE0A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20 ms</w:t>
            </w:r>
          </w:p>
        </w:tc>
        <w:tc>
          <w:tcPr>
            <w:tcW w:w="472" w:type="pct"/>
          </w:tcPr>
          <w:p w14:paraId="4E27789E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0.965</w:t>
            </w:r>
          </w:p>
        </w:tc>
        <w:tc>
          <w:tcPr>
            <w:tcW w:w="401" w:type="pct"/>
          </w:tcPr>
          <w:p w14:paraId="72C57CE3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27.5</w:t>
            </w:r>
          </w:p>
        </w:tc>
      </w:tr>
      <w:tr w14:paraId="07C39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pct"/>
          </w:tcPr>
          <w:p w14:paraId="302E198F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60%</w:t>
            </w:r>
          </w:p>
        </w:tc>
        <w:tc>
          <w:tcPr>
            <w:tcW w:w="521" w:type="pct"/>
          </w:tcPr>
          <w:p w14:paraId="48C905F7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6.60 V</w:t>
            </w:r>
          </w:p>
        </w:tc>
        <w:tc>
          <w:tcPr>
            <w:tcW w:w="504" w:type="pct"/>
          </w:tcPr>
          <w:p w14:paraId="1226A5A6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4.40 V</w:t>
            </w:r>
          </w:p>
        </w:tc>
        <w:tc>
          <w:tcPr>
            <w:tcW w:w="548" w:type="pct"/>
          </w:tcPr>
          <w:p w14:paraId="22A63794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102.1 RPM</w:t>
            </w:r>
          </w:p>
        </w:tc>
        <w:tc>
          <w:tcPr>
            <w:tcW w:w="856" w:type="pct"/>
          </w:tcPr>
          <w:p w14:paraId="68027E2E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50 ms</w:t>
            </w:r>
          </w:p>
        </w:tc>
        <w:tc>
          <w:p w14:paraId="3475A0D5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20 ms</w:t>
            </w:r>
          </w:p>
        </w:tc>
        <w:tc>
          <w:tcPr>
            <w:tcW w:w="547" w:type="pct"/>
          </w:tcPr>
          <w:p w14:paraId="46989D8F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17 ms</w:t>
            </w:r>
          </w:p>
        </w:tc>
        <w:tc>
          <w:tcPr>
            <w:tcW w:w="472" w:type="pct"/>
          </w:tcPr>
          <w:p w14:paraId="2303EBFF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0.948</w:t>
            </w:r>
          </w:p>
        </w:tc>
        <w:tc>
          <w:tcPr>
            <w:tcW w:w="401" w:type="pct"/>
          </w:tcPr>
          <w:p w14:paraId="4969E802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23.2</w:t>
            </w:r>
          </w:p>
        </w:tc>
      </w:tr>
      <w:tr w14:paraId="03465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05" w:type="pct"/>
          </w:tcPr>
          <w:p w14:paraId="60349D56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80%</w:t>
            </w:r>
          </w:p>
        </w:tc>
        <w:tc>
          <w:tcPr>
            <w:tcW w:w="521" w:type="pct"/>
          </w:tcPr>
          <w:p w14:paraId="00CFB549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8.80 V</w:t>
            </w:r>
          </w:p>
        </w:tc>
        <w:tc>
          <w:tcPr>
            <w:tcW w:w="504" w:type="pct"/>
          </w:tcPr>
          <w:p w14:paraId="19130D75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6.60 V</w:t>
            </w:r>
          </w:p>
        </w:tc>
        <w:tc>
          <w:tcPr>
            <w:tcW w:w="548" w:type="pct"/>
          </w:tcPr>
          <w:p w14:paraId="02F4ACED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144.1 RPM</w:t>
            </w:r>
          </w:p>
        </w:tc>
        <w:tc>
          <w:tcPr>
            <w:tcW w:w="856" w:type="pct"/>
          </w:tcPr>
          <w:p w14:paraId="324BDA16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50 ms</w:t>
            </w:r>
          </w:p>
        </w:tc>
        <w:tc>
          <w:p w14:paraId="549C33BF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20 ms</w:t>
            </w:r>
          </w:p>
        </w:tc>
        <w:tc>
          <w:tcPr>
            <w:tcW w:w="547" w:type="pct"/>
          </w:tcPr>
          <w:p w14:paraId="27D4066A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16 ms</w:t>
            </w:r>
          </w:p>
        </w:tc>
        <w:tc>
          <w:tcPr>
            <w:tcW w:w="472" w:type="pct"/>
          </w:tcPr>
          <w:p w14:paraId="09C6DF66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0.962</w:t>
            </w:r>
          </w:p>
        </w:tc>
        <w:tc>
          <w:tcPr>
            <w:tcW w:w="401" w:type="pct"/>
          </w:tcPr>
          <w:p w14:paraId="3481B683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21.8</w:t>
            </w:r>
          </w:p>
        </w:tc>
      </w:tr>
      <w:tr w14:paraId="13280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pct"/>
            <w:tcBorders>
              <w:bottom w:val="single" w:color="000000" w:sz="12" w:space="0"/>
            </w:tcBorders>
          </w:tcPr>
          <w:p w14:paraId="1C4F4F10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100%</w:t>
            </w:r>
          </w:p>
        </w:tc>
        <w:tc>
          <w:tcPr>
            <w:tcW w:w="521" w:type="pct"/>
            <w:tcBorders>
              <w:bottom w:val="single" w:color="000000" w:sz="12" w:space="0"/>
            </w:tcBorders>
          </w:tcPr>
          <w:p w14:paraId="5C419CB9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11.00 V</w:t>
            </w:r>
          </w:p>
        </w:tc>
        <w:tc>
          <w:tcPr>
            <w:tcW w:w="504" w:type="pct"/>
            <w:tcBorders>
              <w:bottom w:val="single" w:color="000000" w:sz="12" w:space="0"/>
            </w:tcBorders>
          </w:tcPr>
          <w:p w14:paraId="1FA1F2B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8.80 V</w:t>
            </w:r>
          </w:p>
        </w:tc>
        <w:tc>
          <w:tcPr>
            <w:tcW w:w="548" w:type="pct"/>
            <w:tcBorders>
              <w:bottom w:val="single" w:color="000000" w:sz="12" w:space="0"/>
            </w:tcBorders>
          </w:tcPr>
          <w:p w14:paraId="546344F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185.2 RPM</w:t>
            </w:r>
          </w:p>
        </w:tc>
        <w:tc>
          <w:tcPr>
            <w:tcW w:w="856" w:type="pct"/>
            <w:tcBorders>
              <w:bottom w:val="single" w:color="000000" w:sz="12" w:space="0"/>
            </w:tcBorders>
          </w:tcPr>
          <w:p w14:paraId="3C8BE2F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40 ms</w:t>
            </w:r>
          </w:p>
        </w:tc>
        <w:tc>
          <w:tcPr>
            <w:tcBorders>
              <w:bottom w:val="single" w:color="000000" w:sz="12" w:space="0"/>
            </w:tcBorders>
          </w:tcPr>
          <w:p w14:paraId="0ED45808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20 ms</w:t>
            </w:r>
          </w:p>
        </w:tc>
        <w:tc>
          <w:tcPr>
            <w:tcW w:w="547" w:type="pct"/>
            <w:tcBorders>
              <w:bottom w:val="single" w:color="000000" w:sz="12" w:space="0"/>
            </w:tcBorders>
          </w:tcPr>
          <w:p w14:paraId="2FC914D2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15 ms</w:t>
            </w:r>
          </w:p>
        </w:tc>
        <w:tc>
          <w:tcPr>
            <w:tcW w:w="472" w:type="pct"/>
            <w:tcBorders>
              <w:bottom w:val="single" w:color="000000" w:sz="12" w:space="0"/>
            </w:tcBorders>
          </w:tcPr>
          <w:p w14:paraId="5E320B1E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0.960</w:t>
            </w:r>
          </w:p>
        </w:tc>
        <w:tc>
          <w:tcPr>
            <w:tcW w:w="401" w:type="pct"/>
            <w:tcBorders>
              <w:bottom w:val="single" w:color="000000" w:sz="12" w:space="0"/>
            </w:tcBorders>
          </w:tcPr>
          <w:p w14:paraId="5AB7C064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21.1</w:t>
            </w:r>
          </w:p>
        </w:tc>
      </w:tr>
    </w:tbl>
    <w:p w14:paraId="4A5975E6">
      <w:pPr>
        <w:pStyle w:val="3"/>
        <w:spacing w:after="120"/>
        <w:ind w:firstLine="482" w:firstLineChars="200"/>
        <w:jc w:val="center"/>
        <w:rPr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00"/>
          <w:sz w:val="24"/>
          <w:szCs w:val="24"/>
        </w:rPr>
        <w:t>跨水平统计结果</w:t>
      </w:r>
      <w:r>
        <w:rPr>
          <w:rFonts w:hint="eastAsia" w:ascii="Times New Roman" w:hAnsi="Times New Roman"/>
          <w:color w:val="000000"/>
          <w:sz w:val="24"/>
          <w:szCs w:val="24"/>
        </w:rPr>
        <w:t>：</w:t>
      </w:r>
    </w:p>
    <w:p w14:paraId="20DE17CB">
      <w:pPr>
        <w:pStyle w:val="3"/>
        <w:spacing w:after="120"/>
        <w:ind w:firstLine="480" w:firstLineChars="200"/>
        <w:rPr>
          <w:sz w:val="24"/>
          <w:szCs w:val="24"/>
        </w:rPr>
      </w:pPr>
      <m:oMathPara>
        <m:oMathParaPr>
          <m:jc m:val="center"/>
        </m:oMathParaPr>
        <m:oMath>
          <m:eqArr>
            <m:eqArrPr>
              <m:ctrlPr>
                <w:rPr>
                  <w:sz w:val="24"/>
                  <w:szCs w:val="24"/>
                </w:rPr>
              </m:ctrlPr>
            </m:eqArrPr>
            <m:e>
              <m:r>
                <m:rPr/>
                <w:rPr>
                  <w:sz w:val="24"/>
                  <w:szCs w:val="24"/>
                </w:rPr>
                <m:t>K&amp;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23.4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±</m:t>
              </m:r>
              <m:r>
                <m:rPr/>
                <w:rPr>
                  <w:sz w:val="24"/>
                  <w:szCs w:val="24"/>
                </w:rPr>
                <m:t>2.5 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rpm/V</m:t>
              </m:r>
              <m:r>
                <m:rPr/>
                <w:rPr>
                  <w:sz w:val="24"/>
                  <w:szCs w:val="24"/>
                </w:rPr>
                <m:t> 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(CV=</m:t>
              </m:r>
              <m:r>
                <m:rPr/>
                <w:rPr>
                  <w:sz w:val="24"/>
                  <w:szCs w:val="24"/>
                </w:rPr>
                <m:t>10.6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%)</m:t>
              </m:r>
              <m:ctrlPr>
                <w:rPr>
                  <w:sz w:val="24"/>
                  <w:szCs w:val="24"/>
                </w:rPr>
              </m:ctrlPr>
            </m:e>
            <m:e>
              <m:r>
                <m:rPr/>
                <w:rPr>
                  <w:sz w:val="24"/>
                  <w:szCs w:val="24"/>
                </w:rPr>
                <m:t>τ&amp;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17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±</m:t>
              </m:r>
              <m:r>
                <m:rPr/>
                <w:rPr>
                  <w:sz w:val="24"/>
                  <w:szCs w:val="24"/>
                </w:rPr>
                <m:t>2 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ms</m:t>
              </m:r>
              <m:r>
                <m:rPr/>
                <w:rPr>
                  <w:sz w:val="24"/>
                  <w:szCs w:val="24"/>
                </w:rPr>
                <m:t>     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(CV=</m:t>
              </m:r>
              <m:r>
                <m:rPr/>
                <w:rPr>
                  <w:sz w:val="24"/>
                  <w:szCs w:val="24"/>
                </w:rPr>
                <m:t>9.3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%)</m:t>
              </m:r>
              <m:ctrlPr>
                <w:rPr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rise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45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±</m:t>
              </m:r>
              <m:r>
                <m:rPr/>
                <w:rPr>
                  <w:sz w:val="24"/>
                  <w:szCs w:val="24"/>
                </w:rPr>
                <m:t>5 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ms</m:t>
              </m:r>
              <m:r>
                <m:rPr/>
                <w:rPr>
                  <w:sz w:val="24"/>
                  <w:szCs w:val="24"/>
                </w:rPr>
                <m:t>    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(CV=</m:t>
              </m:r>
              <m:r>
                <m:rPr/>
                <w:rPr>
                  <w:sz w:val="24"/>
                  <w:szCs w:val="24"/>
                </w:rPr>
                <m:t>11.1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%)</m:t>
              </m:r>
              <m:ctrlPr>
                <w:rPr>
                  <w:sz w:val="24"/>
                  <w:szCs w:val="24"/>
                </w:rPr>
              </m:ctrlPr>
            </m:e>
          </m:eqArr>
        </m:oMath>
      </m:oMathPara>
    </w:p>
    <w:p w14:paraId="1FD54ADB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222500"/>
            <wp:effectExtent l="0" t="0" r="0" b="0"/>
            <wp:docPr id="34" name="Picture" descr="K 与 τ 随电压变化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K 与 τ 随电压变化汇总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42EA57">
      <w:pPr>
        <w:pStyle w:val="46"/>
        <w:spacing w:after="120"/>
        <w:ind w:firstLine="420" w:firstLineChars="200"/>
        <w:jc w:val="center"/>
      </w:pPr>
      <w:r>
        <w:rPr>
          <w:rFonts w:ascii="Times New Roman" w:hAnsi="Times New Roman"/>
          <w:color w:val="000000"/>
          <w:sz w:val="21"/>
        </w:rPr>
        <w:t xml:space="preserve">K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Times New Roman" w:hAnsi="Times New Roman"/>
          <w:color w:val="000000"/>
          <w:sz w:val="21"/>
        </w:rPr>
        <w:t xml:space="preserve"> τ </w:t>
      </w:r>
      <w:r>
        <w:rPr>
          <w:rFonts w:hint="eastAsia" w:ascii="宋体" w:hAnsi="宋体" w:eastAsia="宋体"/>
          <w:color w:val="000000"/>
          <w:sz w:val="21"/>
        </w:rPr>
        <w:t>随电压变化汇总</w:t>
      </w:r>
    </w:p>
    <w:p w14:paraId="6915659A">
      <w:pPr>
        <w:pStyle w:val="3"/>
        <w:spacing w:after="120"/>
        <w:ind w:firstLine="480" w:firstLineChars="200"/>
        <w:jc w:val="left"/>
        <w:rPr>
          <w:sz w:val="24"/>
          <w:szCs w:val="24"/>
        </w:rPr>
      </w:pPr>
      <m:oMath>
        <m:r>
          <m:rPr/>
          <w:rPr>
            <w:sz w:val="24"/>
            <w:szCs w:val="24"/>
          </w:rPr>
          <m:t>K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000000"/>
          <w:sz w:val="24"/>
          <w:szCs w:val="24"/>
        </w:rPr>
        <w:t>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V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eff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增大而略微下降，反映了电机轻微的非线性特性（高速时反电动势和摩擦增加）。时间常数</w:t>
      </w:r>
      <w:r>
        <w:rPr>
          <w:rFonts w:ascii="Times New Roman" w:hAnsi="Times New Roman"/>
          <w:color w:val="000000"/>
          <w:sz w:val="24"/>
          <w:szCs w:val="24"/>
        </w:rPr>
        <w:t xml:space="preserve"> τ </w:t>
      </w:r>
      <w:r>
        <w:rPr>
          <w:rFonts w:hint="eastAsia" w:ascii="宋体" w:hAnsi="宋体" w:eastAsia="宋体"/>
          <w:color w:val="000000"/>
          <w:sz w:val="24"/>
          <w:szCs w:val="24"/>
        </w:rPr>
        <w:t>基本稳定在</w:t>
      </w:r>
      <w:r>
        <w:rPr>
          <w:rFonts w:ascii="Times New Roman" w:hAnsi="Times New Roman"/>
          <w:color w:val="000000"/>
          <w:sz w:val="24"/>
          <w:szCs w:val="24"/>
        </w:rPr>
        <w:t xml:space="preserve"> 15~20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ms，验证了电机动态的一致性。</w:t>
      </w:r>
    </w:p>
    <w:bookmarkEnd w:id="11"/>
    <w:p w14:paraId="73ED91AD">
      <w:pPr>
        <w:pStyle w:val="5"/>
        <w:spacing w:after="120"/>
        <w:jc w:val="left"/>
        <w:rPr>
          <w:rFonts w:hint="eastAsia" w:ascii="宋体" w:hAnsi="宋体" w:eastAsia="宋体" w:cs="宋体"/>
          <w:b/>
          <w:color w:val="000000"/>
          <w:sz w:val="28"/>
          <w:szCs w:val="28"/>
        </w:rPr>
      </w:pPr>
      <w:bookmarkStart w:id="12" w:name="一阶电机模型"/>
      <w:r>
        <w:rPr>
          <w:rFonts w:hint="eastAsia" w:ascii="Times New Roman" w:hAnsi="Times New Roman"/>
          <w:b/>
          <w:color w:val="000000"/>
          <w:sz w:val="28"/>
          <w:szCs w:val="28"/>
        </w:rPr>
        <w:t xml:space="preserve">2.6 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一阶电机模型</w:t>
      </w:r>
    </w:p>
    <w:p w14:paraId="2ACFB4DD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扣除死区后的空载一阶模型：</w:t>
      </w:r>
    </w:p>
    <w:p w14:paraId="78440D7C">
      <w:pPr>
        <w:pStyle w:val="3"/>
        <w:spacing w:after="120"/>
        <w:ind w:firstLine="480" w:firstLineChars="200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Ω(s)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Times New Roman" w:hAnsi="Times New Roman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Times New Roman" w:hAnsi="Times New Roman" w:eastAsia="宋体" w:cstheme="minorBidi"/>
                      <w:b w:val="0"/>
                      <w:i w:val="0"/>
                      <w:color w:val="000000"/>
                      <w:sz w:val="24"/>
                      <w:szCs w:val="24"/>
                      <w:lang w:val="en-US" w:eastAsia="zh-CN" w:bidi="ar-SA"/>
                    </w:rPr>
                    <m:t>eff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(s)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23.4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0.017 s+1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2F9AA6BE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换算为占空比输入（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100%→11 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）：</w:t>
      </w:r>
    </w:p>
    <w:p w14:paraId="594BF7B8">
      <w:pPr>
        <w:pStyle w:val="3"/>
        <w:spacing w:after="120"/>
        <w:ind w:firstLine="480" w:firstLineChars="200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G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(s)=</m:t>
          </m:r>
          <m:f>
            <m:f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2.574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0.017 s+1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 [</m:t>
          </m:r>
          <m:r>
            <m:rPr>
              <m:nor/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rpm</m:t>
          </m:r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/%]</m:t>
          </m:r>
        </m:oMath>
      </m:oMathPara>
    </w:p>
    <w:p w14:paraId="39850869">
      <w:pPr>
        <w:pStyle w:val="84"/>
        <w:bidi w:val="0"/>
      </w:pP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τ=17 </m:t>
        </m:r>
        <m:r>
          <m:rPr>
            <m:nor/>
            <m:sty m:val="p"/>
          </m:rPr>
          <w:rPr>
            <w:rFonts w:hint="eastAsia" w:ascii="Cambria Math" w:hAnsi="Cambria Math"/>
            <w:lang w:val="en-US" w:eastAsia="zh-CN"/>
          </w:rPr>
          <m:t>ms</m:t>
        </m:r>
      </m:oMath>
      <w:r>
        <w:rPr>
          <w:rFonts w:hint="eastAsia"/>
          <w:lang w:val="en-US" w:eastAsia="zh-CN"/>
        </w:rPr>
        <w:t xml:space="preserve"> 远小于控制周期 </w:t>
      </w: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=50 </m:t>
        </m:r>
        <m:r>
          <m:rPr>
            <m:nor/>
            <m:sty m:val="p"/>
          </m:rPr>
          <w:rPr>
            <w:rFonts w:hint="eastAsia" w:ascii="Cambria Math" w:hAnsi="Cambria Math"/>
            <w:lang w:val="en-US" w:eastAsia="zh-CN"/>
          </w:rPr>
          <m:t>ms</m:t>
        </m:r>
      </m:oMath>
      <w:r>
        <w:rPr>
          <w:rFonts w:hint="eastAsia"/>
          <w:lang w:val="en-US" w:eastAsia="zh-CN"/>
        </w:rPr>
        <w:t>，电机在一个控制周期内就能达到稳态。换句话说，前馈只要给出正确的稳态占空比，转速几乎立刻跟上，不需要靠反馈慢慢积分</w:t>
      </w:r>
    </w:p>
    <w:bookmarkEnd w:id="6"/>
    <w:bookmarkEnd w:id="12"/>
    <w:p w14:paraId="3AE00C45">
      <w:pPr>
        <w:pStyle w:val="4"/>
        <w:spacing w:after="120"/>
        <w:jc w:val="left"/>
        <w:rPr>
          <w:sz w:val="30"/>
          <w:szCs w:val="30"/>
        </w:rPr>
      </w:pPr>
      <w:bookmarkStart w:id="13" w:name="空载转速-电压特性与前馈逆模型"/>
      <w:r>
        <w:rPr>
          <w:rFonts w:ascii="Times New Roman" w:hAnsi="Times New Roman"/>
          <w:b/>
          <w:color w:val="000000"/>
          <w:sz w:val="30"/>
          <w:szCs w:val="30"/>
        </w:rPr>
        <w:t xml:space="preserve">3. </w:t>
      </w:r>
      <w:r>
        <w:rPr>
          <w:rFonts w:hint="eastAsia" w:ascii="Times New Roman" w:hAnsi="Times New Roman" w:eastAsia="宋体"/>
          <w:b/>
          <w:color w:val="000000"/>
          <w:sz w:val="30"/>
          <w:szCs w:val="30"/>
        </w:rPr>
        <w:t>空载转速-电压特性与前馈逆模型</w:t>
      </w:r>
    </w:p>
    <w:p w14:paraId="54661984">
      <w:pPr>
        <w:pStyle w:val="5"/>
        <w:spacing w:after="120"/>
        <w:jc w:val="left"/>
        <w:rPr>
          <w:rFonts w:hint="eastAsia" w:ascii="宋体" w:hAnsi="宋体" w:eastAsia="宋体" w:cs="宋体"/>
          <w:b/>
          <w:color w:val="000000"/>
          <w:sz w:val="28"/>
          <w:szCs w:val="28"/>
        </w:rPr>
      </w:pPr>
      <w:bookmarkStart w:id="14" w:name="测量方法"/>
      <w:r>
        <w:rPr>
          <w:rFonts w:hint="eastAsia" w:ascii="Times New Roman" w:hAnsi="Times New Roman"/>
          <w:b/>
          <w:color w:val="000000"/>
          <w:sz w:val="28"/>
          <w:szCs w:val="28"/>
        </w:rPr>
        <w:t xml:space="preserve">3.1 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测量方法</w:t>
      </w:r>
    </w:p>
    <w:p w14:paraId="383D0D2A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通过配套测试固件自动扫描占空比并采集稳态转速。MCU 从 0% 到 100% 以 5% 步长递增占空比，每点稳定 2 s 后采集 5 次转速平均。正向扫描（0→100%）后立即反向扫描（100→0%），共进行 3 轮，以消除迟滞。电压折算关系为：</w:t>
      </w:r>
    </w:p>
    <w:p w14:paraId="59B48A49">
      <w:pPr>
        <w:pStyle w:val="24"/>
        <w:spacing w:after="120"/>
        <w:ind w:firstLine="480" w:firstLineChars="200"/>
        <w:jc w:val="center"/>
        <w:rPr>
          <w:rFonts w:hint="default" w:ascii="Cambria Math" w:hAnsi="Cambria Math" w:eastAsia="宋体" w:cs="Times New Roman"/>
          <w:color w:val="000000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eastAsia="宋体" w:cs="Times New Roman"/>
              <w:b w:val="0"/>
              <w:i w:val="0"/>
              <w:color w:val="000000"/>
              <w:sz w:val="24"/>
              <w:szCs w:val="24"/>
              <w:lang w:val="en-US" w:eastAsia="zh-CN" w:bidi="ar-SA"/>
            </w:rPr>
            <m:t>V=duty×11/100</m:t>
          </m:r>
        </m:oMath>
      </m:oMathPara>
    </w:p>
    <w:bookmarkEnd w:id="14"/>
    <w:p w14:paraId="743A22CA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15" w:name="测量结果"/>
      <w:r>
        <w:rPr>
          <w:rFonts w:ascii="Times New Roman" w:hAnsi="Times New Roman"/>
          <w:b/>
          <w:color w:val="000000"/>
          <w:sz w:val="28"/>
          <w:szCs w:val="28"/>
        </w:rPr>
        <w:t xml:space="preserve">3.2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测量结果</w:t>
      </w:r>
    </w:p>
    <w:p w14:paraId="6C5EBA68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200400"/>
            <wp:effectExtent l="0" t="0" r="0" b="0"/>
            <wp:docPr id="41" name="Picture" descr="空载转速-电压实测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空载转速-电压实测曲线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7C00F">
      <w:pPr>
        <w:pStyle w:val="46"/>
        <w:spacing w:after="120"/>
        <w:ind w:firstLine="420" w:firstLineChars="20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>空载转速-电压实测曲线</w:t>
      </w:r>
    </w:p>
    <w:p w14:paraId="4016363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曲线呈现明显的三段特征。死区段（0 ~ 1.87 V）内电机不转动。段 2（1.87 ~ 3.30 V）中转速随电压近似线性上升，斜率较大。段 3（3.30 ~ 11 V）中斜率略降，反映高速时摩擦和反电动势增加。</w:t>
      </w:r>
    </w:p>
    <w:bookmarkEnd w:id="15"/>
    <w:p w14:paraId="625C4048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16" w:name="分段线性拟合与前馈逆模型"/>
      <w:r>
        <w:rPr>
          <w:rFonts w:ascii="Times New Roman" w:hAnsi="Times New Roman"/>
          <w:b/>
          <w:color w:val="000000"/>
          <w:sz w:val="28"/>
          <w:szCs w:val="28"/>
        </w:rPr>
        <w:t xml:space="preserve">3.3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分段线性拟合与前馈逆模型</w:t>
      </w:r>
    </w:p>
    <w:p w14:paraId="4FCAD45A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使用带约束的分段线性拟合：段 1（死区）斜率强制为 0，段 2 和段 3 之间强制连续，优化目标为最小化 MSE。</w:t>
      </w:r>
    </w:p>
    <w:p w14:paraId="279B47C9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200400"/>
            <wp:effectExtent l="0" t="0" r="0" b="0"/>
            <wp:docPr id="45" name="Picture" descr="分段线性拟合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分段线性拟合结果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53E9B3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分段线性拟合结果</w:t>
      </w:r>
    </w:p>
    <w:p w14:paraId="1113CB86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拟合参数为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=1.872 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=3.300 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=27.0322 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rpm/V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=19.1062 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rpm/V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，整体 MSE = 0.14，</w:t>
      </w:r>
      <m:oMath>
        <m:sSup>
          <m:sSup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=1.0000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。</w:t>
      </w:r>
    </w:p>
    <w:p w14:paraId="2F44611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逆模型为：</w:t>
      </w:r>
    </w:p>
    <w:p w14:paraId="21E3EE99">
      <w:pPr>
        <w:pStyle w:val="3"/>
        <w:spacing w:after="120"/>
        <w:ind w:firstLine="480" w:firstLineChars="200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ff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ω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)=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sSup>
                      <m:sSupPr/>
                      <m:e>
                        <m:r>
                          <m:rPr/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  <m:r>
                      <m:rPr>
                        <m:sty m:val="p"/>
                      </m:rPr>
                      <m:t>|≤</m:t>
                    </m:r>
                    <m:r>
                      <m:rPr/>
                      <m:t>0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sSupPr/>
                          <m:e>
                            <m:r>
                              <m:rPr/>
                              <m:t>ω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∗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</m:t>
                        </m:r>
                      </m:num>
                      <m:den>
                        <m:sSub>
                          <m:sSubPr/>
                          <m:e>
                            <m:r>
                              <m:rPr/>
                              <m:t>K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&lt;|</m:t>
                    </m:r>
                    <m:sSup>
                      <m:sSupPr/>
                      <m:e>
                        <m:r>
                          <m:rPr/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  <m:r>
                      <m:rPr>
                        <m:sty m:val="p"/>
                      </m:rPr>
                      <m:t>|≤</m:t>
                    </m:r>
                    <m:r>
                      <m:rPr/>
                      <m:t>38.61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sSupPr/>
                          <m:e>
                            <m:r>
                              <m:rPr/>
                              <m:t>ω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∗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|−</m:t>
                        </m:r>
                        <m:r>
                          <m:rPr/>
                          <m:t>38.61</m:t>
                        </m:r>
                      </m:num>
                      <m:den>
                        <m:sSub>
                          <m:sSubPr/>
                          <m:e>
                            <m:r>
                              <m:rPr/>
                              <m:t>K</m:t>
                            </m:r>
                          </m:e>
                          <m:sub>
                            <m:r>
                              <m:rPr/>
                              <m:t>3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sSup>
                      <m:sSupPr/>
                      <m:e>
                        <m:r>
                          <m:rPr/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  <m:r>
                      <m:rPr>
                        <m:sty m:val="p"/>
                      </m:rPr>
                      <m:t>|&gt;</m:t>
                    </m:r>
                    <m:r>
                      <m:rPr/>
                      <m:t>38.61</m:t>
                    </m:r>
                  </m:e>
                </m:mr>
              </m:m>
            </m:e>
          </m:d>
        </m:oMath>
      </m:oMathPara>
    </w:p>
    <w:p w14:paraId="05737B2F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前馈占空比为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ν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ff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ff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/11×100%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。该逆模型本身已包含死区效应，前馈不再额外叠加固定死区补偿。精确的前馈逆模型是改善动态响应的基础，它使得系统在接收到转速设定值的瞬间，即可输出接近稳态所需的控制量，而无需依赖反馈回路的逐步积分累积。</w:t>
      </w:r>
    </w:p>
    <w:p w14:paraId="3F824E3C">
      <w:pPr>
        <w:spacing w:after="120"/>
        <w:ind w:firstLine="480" w:firstLineChars="200"/>
        <w:jc w:val="center"/>
      </w:pPr>
    </w:p>
    <w:bookmarkEnd w:id="13"/>
    <w:bookmarkEnd w:id="16"/>
    <w:p w14:paraId="649EFB5F">
      <w:pPr>
        <w:pStyle w:val="4"/>
        <w:spacing w:after="120"/>
        <w:jc w:val="left"/>
        <w:rPr>
          <w:sz w:val="30"/>
          <w:szCs w:val="30"/>
        </w:rPr>
      </w:pPr>
      <w:bookmarkStart w:id="17" w:name="系统框图与控制策略"/>
      <w:r>
        <w:rPr>
          <w:rFonts w:ascii="Times New Roman" w:hAnsi="Times New Roman"/>
          <w:b/>
          <w:color w:val="000000"/>
          <w:sz w:val="30"/>
          <w:szCs w:val="30"/>
        </w:rPr>
        <w:t xml:space="preserve">4.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系统框图与控制策略</w:t>
      </w:r>
    </w:p>
    <w:p w14:paraId="219C3DA4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571115"/>
            <wp:effectExtent l="0" t="0" r="0" b="0"/>
            <wp:docPr id="50" name="Picture" descr="直流拖动系统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直流拖动系统框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1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37492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直流拖动系统框图</w:t>
      </w:r>
    </w:p>
    <w:p w14:paraId="071250DE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系统控制框图如上图所示，采用前馈-反馈复合控制结构。前馈通道中，设定值 </w:t>
      </w:r>
      <m:oMath>
        <m:sSup>
          <m:sSup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ω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 经逆模型 </w:t>
      </w:r>
      <m:oMath>
        <m:sSubSup>
          <m:sSubSup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G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ff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 直接转换为电压指令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ff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，再折算为占空比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ν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ff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。前馈不依赖反馈信号，在设定值改变瞬间即提供稳态控制量。反馈通道中，编码器测得实际转速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ω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 与设定值比较得到误差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e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，经 PI 控制器产生修正量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ν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sz w:val="24"/>
                <w:szCs w:val="24"/>
                <w:lang w:val="en-US" w:eastAsia="zh-CN" w:bidi="ar-SA"/>
              </w:rPr>
              <m:t>fb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。反馈仅补偿前馈建模误差和外部扰动。被控对象为直流电机经 L298N 驱动，输入为占空比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ν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，输出为转速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ω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。等效负载转矩扰动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d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 作用于电机，由反馈回路抑制。</w:t>
      </w:r>
    </w:p>
    <w:p w14:paraId="1B7688A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控制策略的核心思想是前馈负责粗调，利用已知的系统逆模型在动态初期快速逼近目标；反馈负责细调，利用闭环信息消除残余误差。两者分工明确，共同实现快速、无静差的转速控制。</w:t>
      </w:r>
    </w:p>
    <w:p w14:paraId="01A3CE1B">
      <w:pPr>
        <w:spacing w:after="120"/>
        <w:ind w:firstLine="480" w:firstLineChars="200"/>
        <w:jc w:val="center"/>
      </w:pPr>
    </w:p>
    <w:bookmarkEnd w:id="17"/>
    <w:p w14:paraId="472F4ABB">
      <w:pPr>
        <w:pStyle w:val="4"/>
        <w:spacing w:after="120"/>
        <w:jc w:val="left"/>
        <w:rPr>
          <w:sz w:val="30"/>
          <w:szCs w:val="30"/>
        </w:rPr>
      </w:pPr>
      <w:bookmarkStart w:id="18" w:name="pi-控制器参数整定"/>
      <w:r>
        <w:rPr>
          <w:rFonts w:ascii="Times New Roman" w:hAnsi="Times New Roman"/>
          <w:b/>
          <w:color w:val="000000"/>
          <w:sz w:val="30"/>
          <w:szCs w:val="30"/>
        </w:rPr>
        <w:t xml:space="preserve">5. PI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控制器参数整定</w:t>
      </w:r>
    </w:p>
    <w:p w14:paraId="386758BD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19" w:name="整定方法"/>
      <w:r>
        <w:rPr>
          <w:rFonts w:ascii="Times New Roman" w:hAnsi="Times New Roman"/>
          <w:b/>
          <w:color w:val="000000"/>
          <w:sz w:val="28"/>
          <w:szCs w:val="28"/>
        </w:rPr>
        <w:t xml:space="preserve">5.1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整定方法</w:t>
      </w:r>
    </w:p>
    <w:p w14:paraId="62054ED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采用 IMC/Lambda 整定法。对于一阶被控对象与 PI 控制器，IMC 解析解为：</w:t>
      </w:r>
    </w:p>
    <w:p w14:paraId="12DB07C4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τ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Times New Roman" w:hAnsi="Times New Roman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Times New Roman" w:hAnsi="Times New Roman" w:eastAsia="宋体" w:cstheme="minorBidi"/>
                      <w:b w:val="0"/>
                      <w:i w:val="0"/>
                      <w:color w:val="000000"/>
                      <w:sz w:val="24"/>
                      <w:szCs w:val="24"/>
                      <w:lang w:val="en-US" w:eastAsia="zh-CN" w:bidi="ar-SA"/>
                    </w:rPr>
                    <m:t>plant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⋅λ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, </m:t>
          </m:r>
          <m:sSub>
            <m:sSub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Times New Roman" w:hAnsi="Times New Roman" w:eastAsia="宋体" w:cstheme="minorBidi"/>
              <w:color w:val="000000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Times New Roman" w:hAnsi="Times New Roman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Times New Roman" w:hAnsi="Times New Roman" w:eastAsia="宋体" w:cstheme="minorBidi"/>
                      <w:b w:val="0"/>
                      <w:i w:val="0"/>
                      <w:color w:val="000000"/>
                      <w:sz w:val="24"/>
                      <w:szCs w:val="24"/>
                      <w:lang w:val="en-US" w:eastAsia="zh-CN" w:bidi="ar-SA"/>
                    </w:rPr>
                    <m:t>plant</m:t>
                  </m:r>
                  <m:ctrlPr>
                    <w:rPr>
                      <w:rFonts w:hint="eastAsia" w:ascii="Cambria Math" w:hAnsi="Cambria Math" w:eastAsia="宋体" w:cstheme="minorBidi"/>
                      <w:color w:val="000000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Times New Roman" w:hAnsi="Times New Roman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  <m:t>⋅λ</m:t>
              </m:r>
              <m:ctrlPr>
                <w:rPr>
                  <w:rFonts w:hint="eastAsia" w:ascii="Cambria Math" w:hAnsi="Cambria Math" w:eastAsia="宋体" w:cstheme="minorBidi"/>
                  <w:color w:val="000000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774B610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取闭环时间常数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λ=</m:t>
        </m:r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=0.050 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s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，兼顾响应速度与数字稳定性。</w:t>
      </w:r>
    </w:p>
    <w:bookmarkEnd w:id="19"/>
    <w:p w14:paraId="4414862A">
      <w:pPr>
        <w:pStyle w:val="5"/>
        <w:spacing w:after="120"/>
        <w:ind w:firstLine="420" w:firstLineChars="200"/>
        <w:jc w:val="center"/>
      </w:pPr>
      <w:bookmarkStart w:id="20" w:name="整定结果"/>
      <w:r>
        <w:rPr>
          <w:rFonts w:ascii="Times New Roman" w:hAnsi="Times New Roman"/>
          <w:b/>
          <w:color w:val="000000"/>
          <w:sz w:val="21"/>
        </w:rPr>
        <w:t xml:space="preserve">5.2 </w:t>
      </w:r>
      <w:r>
        <w:rPr>
          <w:rFonts w:hint="eastAsia" w:ascii="宋体" w:hAnsi="宋体" w:eastAsia="宋体"/>
          <w:b/>
          <w:color w:val="000000"/>
          <w:sz w:val="21"/>
        </w:rPr>
        <w:t>整定结果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925"/>
        <w:gridCol w:w="925"/>
        <w:gridCol w:w="1896"/>
        <w:gridCol w:w="3108"/>
      </w:tblGrid>
      <w:tr w14:paraId="3B40D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4276DEE2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方案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017AE146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E628605">
            <w:pPr>
              <w:pStyle w:val="25"/>
              <w:spacing w:before="0" w:after="0"/>
            </w:pPr>
            <m:oMathPara>
              <m:oMath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351070B0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相位裕度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PM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46D4FA9F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0B3BF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43EDB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旧参数</w:t>
            </w:r>
          </w:p>
        </w:tc>
        <w:tc>
          <w:p w14:paraId="37F6031D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0.300</w:t>
            </w:r>
          </w:p>
        </w:tc>
        <w:tc>
          <w:p w14:paraId="25C34FBA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0.150</w:t>
            </w:r>
          </w:p>
        </w:tc>
        <w:tc>
          <w:p w14:paraId="5A23CCA4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140°</w:t>
            </w:r>
          </w:p>
        </w:tc>
        <w:tc>
          <w:p w14:paraId="3A4E7284">
            <w:pPr>
              <w:pStyle w:val="25"/>
              <w:spacing w:before="0" w:after="0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过于保守，响应极慢</w:t>
            </w:r>
          </w:p>
        </w:tc>
      </w:tr>
      <w:tr w14:paraId="4AC45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27CB7430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IMC λ=0.050 s</w:t>
            </w:r>
          </w:p>
        </w:tc>
        <w:tc>
          <w:tcPr>
            <w:tcBorders>
              <w:bottom w:val="single" w:color="000000" w:sz="12" w:space="0"/>
            </w:tcBorders>
          </w:tcPr>
          <w:p w14:paraId="38A5E948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0.132</w:t>
            </w:r>
          </w:p>
        </w:tc>
        <w:tc>
          <w:tcPr>
            <w:tcBorders>
              <w:bottom w:val="single" w:color="000000" w:sz="12" w:space="0"/>
            </w:tcBorders>
          </w:tcPr>
          <w:p w14:paraId="0E85990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7.770</w:t>
            </w:r>
          </w:p>
        </w:tc>
        <w:tc>
          <w:tcPr>
            <w:tcBorders>
              <w:bottom w:val="single" w:color="000000" w:sz="12" w:space="0"/>
            </w:tcBorders>
          </w:tcPr>
          <w:p w14:paraId="62986605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90°</w:t>
            </w:r>
          </w:p>
        </w:tc>
        <w:tc>
          <w:tcPr>
            <w:tcBorders>
              <w:bottom w:val="single" w:color="000000" w:sz="12" w:space="0"/>
            </w:tcBorders>
          </w:tcPr>
          <w:p w14:paraId="01D00409">
            <w:pPr>
              <w:pStyle w:val="25"/>
              <w:spacing w:before="0" w:after="0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推荐，兼顾响应与鲁棒</w:t>
            </w:r>
          </w:p>
        </w:tc>
      </w:tr>
      <w:bookmarkEnd w:id="20"/>
    </w:tbl>
    <w:p w14:paraId="198BE53D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1" w:name="前馈对-pi-整定的影响"/>
      <w:r>
        <w:rPr>
          <w:rFonts w:ascii="Times New Roman" w:hAnsi="Times New Roman"/>
          <w:b/>
          <w:color w:val="000000"/>
          <w:sz w:val="28"/>
          <w:szCs w:val="28"/>
        </w:rPr>
        <w:t xml:space="preserve">5.3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前馈对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PI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整定的影响</w:t>
      </w:r>
    </w:p>
    <w:p w14:paraId="2E6F2055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前馈的存在彻底改变了 PI 控制器的角色。无前馈时，PI 控制器需从零开始积分建立输出，承担全部稳态和动态调节任务，导致响应缓慢或需要极高的积分增益。有前馈时，前馈已承担绝大部分稳态输出（如 60 rpm 时前馈约 40%，100 rpm 时约 59%，140 rpm 时约 78%），反馈 PI 仅需补偿建模误差和外部扰动。结果是反馈增益可以大幅降低，系统对参数失配和扰动的鲁棒性增强，同时动态响应显著加快。</w:t>
      </w:r>
    </w:p>
    <w:p w14:paraId="00AB9D41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018665"/>
            <wp:effectExtent l="0" t="0" r="0" b="0"/>
            <wp:docPr id="56" name="Picture" descr="阶跃响应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阶跃响应对比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187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7F1BAB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阶跃响应对比</w:t>
      </w:r>
    </w:p>
    <w:p w14:paraId="4669A8F2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仿真对比显示：旧参数（蓝线）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=0.30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 比例增益过高，在 50 ms 控制周期下产生严重振荡；推荐参数（橙线）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=0.132,</m:t>
        </m:r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=7.770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，约 3 个周期（150 ms）收敛到稳态，超调极小。前馈的加入使反馈无需从零积分，是响应速度提升的根本原因。</w:t>
      </w:r>
    </w:p>
    <w:bookmarkEnd w:id="21"/>
    <w:p w14:paraId="1525F30D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2" w:name="开环频率响应"/>
      <w:r>
        <w:rPr>
          <w:rFonts w:ascii="Times New Roman" w:hAnsi="Times New Roman"/>
          <w:b/>
          <w:color w:val="000000"/>
          <w:sz w:val="28"/>
          <w:szCs w:val="28"/>
        </w:rPr>
        <w:t xml:space="preserve">5.4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开环频率响应</w:t>
      </w:r>
    </w:p>
    <w:p w14:paraId="4CC33F2C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413760"/>
            <wp:effectExtent l="0" t="0" r="0" b="0"/>
            <wp:docPr id="60" name="Picture" descr="开环 Bode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开环 Bode 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39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3E1AF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开环</w:t>
      </w:r>
      <w:r>
        <w:rPr>
          <w:rFonts w:ascii="Times New Roman" w:hAnsi="Times New Roman"/>
          <w:color w:val="000000"/>
          <w:sz w:val="21"/>
        </w:rPr>
        <w:t xml:space="preserve"> Bode </w:t>
      </w:r>
      <w:r>
        <w:rPr>
          <w:rFonts w:hint="eastAsia" w:ascii="宋体" w:hAnsi="宋体" w:eastAsia="宋体"/>
          <w:color w:val="000000"/>
          <w:sz w:val="21"/>
        </w:rPr>
        <w:t>图</w:t>
      </w:r>
    </w:p>
    <w:p w14:paraId="70D1F6B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旧参数增益穿越频率极低（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ω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g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≈0.61</m:t>
        </m:r>
        <m:r>
          <m:rPr>
            <m:sty m:val="p"/>
          </m:rPr>
          <w:rPr>
            <w:rFonts w:hint="default" w:ascii="Cambria Math" w:hAnsi="Cambria Math" w:eastAsia="宋体" w:cstheme="minorBidi"/>
            <w:color w:val="000000"/>
            <w:sz w:val="24"/>
            <w:szCs w:val="24"/>
            <w:lang w:val="en-US" w:eastAsia="zh-CN" w:bidi="ar-SA"/>
          </w:rPr>
          <m:t xml:space="preserve"> 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b w:val="0"/>
            <w:i w:val="0"/>
            <w:color w:val="000000"/>
            <w:sz w:val="24"/>
            <w:szCs w:val="24"/>
            <w:lang w:val="en-US" w:eastAsia="zh-CN" w:bidi="ar-SA"/>
          </w:rPr>
          <m:t>rad/s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），带宽过窄。推荐参数增益穿越频率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ω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g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≈20</m:t>
        </m:r>
        <m:r>
          <m:rPr>
            <m:sty m:val="p"/>
          </m:rPr>
          <w:rPr>
            <w:rFonts w:hint="default" w:ascii="Cambria Math" w:hAnsi="Cambria Math" w:eastAsia="宋体" w:cstheme="minorBidi"/>
            <w:color w:val="000000"/>
            <w:sz w:val="24"/>
            <w:szCs w:val="24"/>
            <w:lang w:val="en-US" w:eastAsia="zh-CN" w:bidi="ar-SA"/>
          </w:rPr>
          <m:t xml:space="preserve"> 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b w:val="0"/>
            <w:i w:val="0"/>
            <w:color w:val="000000"/>
            <w:sz w:val="24"/>
            <w:szCs w:val="24"/>
            <w:lang w:val="en-US" w:eastAsia="zh-CN" w:bidi="ar-SA"/>
          </w:rPr>
          <m:t>rad/s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，带宽显著提升。所有 IMC 方案相位裕度均为 90°，幅值裕度无穷大。</w:t>
      </w:r>
    </w:p>
    <w:bookmarkEnd w:id="22"/>
    <w:p w14:paraId="531A2C18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3" w:name="闭环频率响应"/>
      <w:r>
        <w:rPr>
          <w:rFonts w:ascii="Times New Roman" w:hAnsi="Times New Roman"/>
          <w:b/>
          <w:color w:val="000000"/>
          <w:sz w:val="28"/>
          <w:szCs w:val="28"/>
        </w:rPr>
        <w:t xml:space="preserve">5.5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闭环频率响应</w:t>
      </w:r>
    </w:p>
    <w:p w14:paraId="7D2CFB52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012950"/>
            <wp:effectExtent l="0" t="0" r="0" b="0"/>
            <wp:docPr id="64" name="Picture" descr="闭环频率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闭环频率响应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1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E2102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闭环频率响应</w:t>
      </w:r>
    </w:p>
    <w:p w14:paraId="45BDA6B7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推荐参数 λ= </w:t>
      </w:r>
      <w:bookmarkStart w:id="36" w:name="_GoBack"/>
      <w:bookmarkEnd w:id="36"/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0.050 s 的闭环带宽约 20 rad/s，在保持 90° 相位裕度的同时提供了足够的响应速度。</w:t>
      </w:r>
    </w:p>
    <w:bookmarkEnd w:id="23"/>
    <w:p w14:paraId="112DC801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4" w:name="抗扰动性能"/>
      <w:r>
        <w:rPr>
          <w:rFonts w:ascii="Times New Roman" w:hAnsi="Times New Roman"/>
          <w:b/>
          <w:color w:val="000000"/>
          <w:sz w:val="28"/>
          <w:szCs w:val="28"/>
        </w:rPr>
        <w:t xml:space="preserve">5.6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抗扰动性能</w:t>
      </w:r>
    </w:p>
    <w:p w14:paraId="5F4C061D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2358390"/>
            <wp:effectExtent l="0" t="0" r="0" b="0"/>
            <wp:docPr id="68" name="Picture" descr="抗扰动性能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抗扰动性能对比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584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7AA02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抗扰动性能对比</w:t>
      </w:r>
    </w:p>
    <w:p w14:paraId="5DB3AF17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在 2 s 时施加等效 -77 rpm 负载扰动（持续 1 s）：旧参数扰动期间转速跌落至接近 0，恢复极慢，5 个周期后仍有残余误差；推荐参数转速跌落约 60 rpm，扰动结束后 2~3 个周期恢复。积分作用越强（Ki 越大），扰动抑制越快，静差消除越迅速。</w:t>
      </w:r>
    </w:p>
    <w:p w14:paraId="6616C37A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</w:p>
    <w:bookmarkEnd w:id="18"/>
    <w:bookmarkEnd w:id="24"/>
    <w:p w14:paraId="07F6165A">
      <w:pPr>
        <w:pStyle w:val="4"/>
        <w:spacing w:after="120"/>
        <w:jc w:val="left"/>
        <w:rPr>
          <w:sz w:val="30"/>
          <w:szCs w:val="30"/>
        </w:rPr>
      </w:pPr>
      <w:bookmarkStart w:id="25" w:name="闭环实验与前馈性能分析"/>
      <w:r>
        <w:rPr>
          <w:rFonts w:ascii="Times New Roman" w:hAnsi="Times New Roman"/>
          <w:b/>
          <w:color w:val="000000"/>
          <w:sz w:val="30"/>
          <w:szCs w:val="30"/>
        </w:rPr>
        <w:t xml:space="preserve">6.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闭环实验与前馈性能分析</w:t>
      </w:r>
    </w:p>
    <w:p w14:paraId="2CA30903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6" w:name="阶跃跟踪性能"/>
      <w:r>
        <w:rPr>
          <w:rFonts w:ascii="Times New Roman" w:hAnsi="Times New Roman"/>
          <w:b/>
          <w:color w:val="000000"/>
          <w:sz w:val="28"/>
          <w:szCs w:val="28"/>
        </w:rPr>
        <w:t xml:space="preserve">6.1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阶跃跟踪性能</w:t>
      </w:r>
    </w:p>
    <w:p w14:paraId="7C1A54C0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为验证前馈-反馈复合控制器的实际性能，在空载条件下进行闭环阶跃响应实验。设定值分别为 60、100、140 rpm（均高于死区），每点重复 5 次。</w:t>
      </w:r>
    </w:p>
    <w:p w14:paraId="01EC0E82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663315"/>
            <wp:effectExtent l="0" t="0" r="0" b="0"/>
            <wp:docPr id="73" name="Picture" descr="闭环阶跃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闭环阶跃响应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34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90634B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闭环阶跃响应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2138"/>
        <w:gridCol w:w="1934"/>
        <w:gridCol w:w="1323"/>
        <w:gridCol w:w="2138"/>
      </w:tblGrid>
      <w:tr w14:paraId="22FB9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9DE6685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设定值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(rpm)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6495219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上升时间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rise</m:t>
                  </m:r>
                </m:sub>
              </m:sSub>
            </m:oMath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1"/>
              </w:rPr>
              <w:t>(ms)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4ED5871D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调节时间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</m:oMath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1"/>
              </w:rPr>
              <w:t>(ms)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6C352100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超调量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m:oMath>
              <m:r>
                <m:rPr/>
                <m:t>σ</m:t>
              </m:r>
            </m:oMath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1"/>
              </w:rPr>
              <w:t>(%)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2CCC97D2">
            <w:pPr>
              <w:pStyle w:val="25"/>
              <w:spacing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稳态误差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ss</m:t>
                  </m:r>
                </m:sub>
              </m:sSub>
            </m:oMath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1"/>
              </w:rPr>
              <w:t>(rpm)</w:t>
            </w:r>
          </w:p>
        </w:tc>
      </w:tr>
      <w:tr w14:paraId="7F223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C2D1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60</w:t>
            </w:r>
          </w:p>
        </w:tc>
        <w:tc>
          <w:p w14:paraId="0473D379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30</w:t>
            </w:r>
          </w:p>
        </w:tc>
        <w:tc>
          <w:p w14:paraId="38739A0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460</w:t>
            </w:r>
          </w:p>
        </w:tc>
        <w:tc>
          <w:p w14:paraId="5F9D602E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11.7</w:t>
            </w:r>
          </w:p>
        </w:tc>
        <w:tc>
          <w:p w14:paraId="3F1604CD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-0.6</w:t>
            </w:r>
          </w:p>
        </w:tc>
      </w:tr>
      <w:tr w14:paraId="408C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13A2C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100</w:t>
            </w:r>
          </w:p>
        </w:tc>
        <w:tc>
          <w:p w14:paraId="461350A4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30</w:t>
            </w:r>
          </w:p>
        </w:tc>
        <w:tc>
          <w:p w14:paraId="0FDDE441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460</w:t>
            </w:r>
          </w:p>
        </w:tc>
        <w:tc>
          <w:p w14:paraId="5A97D16E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12.6</w:t>
            </w:r>
          </w:p>
        </w:tc>
        <w:tc>
          <w:p w14:paraId="61482423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-0.8</w:t>
            </w:r>
          </w:p>
        </w:tc>
      </w:tr>
      <w:tr w14:paraId="36A74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2A34D59D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140</w:t>
            </w:r>
          </w:p>
        </w:tc>
        <w:tc>
          <w:tcPr>
            <w:tcBorders>
              <w:bottom w:val="single" w:color="000000" w:sz="12" w:space="0"/>
            </w:tcBorders>
          </w:tcPr>
          <w:p w14:paraId="40896160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30</w:t>
            </w:r>
          </w:p>
        </w:tc>
        <w:tc>
          <w:tcPr>
            <w:tcBorders>
              <w:bottom w:val="single" w:color="000000" w:sz="12" w:space="0"/>
            </w:tcBorders>
          </w:tcPr>
          <w:p w14:paraId="0EA3FE43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470</w:t>
            </w:r>
          </w:p>
        </w:tc>
        <w:tc>
          <w:tcPr>
            <w:tcBorders>
              <w:bottom w:val="single" w:color="000000" w:sz="12" w:space="0"/>
            </w:tcBorders>
          </w:tcPr>
          <w:p w14:paraId="69FBDB20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15.7</w:t>
            </w:r>
          </w:p>
        </w:tc>
        <w:tc>
          <w:tcPr>
            <w:tcBorders>
              <w:bottom w:val="single" w:color="000000" w:sz="12" w:space="0"/>
            </w:tcBorders>
          </w:tcPr>
          <w:p w14:paraId="573523B5">
            <w:pPr>
              <w:pStyle w:val="25"/>
              <w:spacing w:before="0" w:after="0"/>
            </w:pPr>
            <w:r>
              <w:rPr>
                <w:rFonts w:ascii="Times New Roman" w:hAnsi="Times New Roman"/>
                <w:color w:val="000000"/>
                <w:sz w:val="21"/>
              </w:rPr>
              <w:t>-0.7</w:t>
            </w:r>
          </w:p>
        </w:tc>
      </w:tr>
    </w:tbl>
    <w:p w14:paraId="06172C00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从实验结果来看：上升时间只有 30 ms，跟开环一阶模型的理论值（约 37 ms）差不多，说明前馈让闭环系统的启动速度几乎达到了电机本身的极限；超调在 12%~16%，主要是前馈阶跃和比例项的初始冲击造成的；稳态误差基本为零，积分项把残余偏差消除了。</w:t>
      </w:r>
    </w:p>
    <w:bookmarkEnd w:id="26"/>
    <w:p w14:paraId="52C8EBE8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7" w:name="控制量分解前馈的主导作用"/>
      <w:r>
        <w:rPr>
          <w:rFonts w:ascii="Times New Roman" w:hAnsi="Times New Roman"/>
          <w:b/>
          <w:color w:val="000000"/>
          <w:sz w:val="28"/>
          <w:szCs w:val="28"/>
        </w:rPr>
        <w:t xml:space="preserve">6.2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控制量分解：前馈的主导作用</w:t>
      </w:r>
    </w:p>
    <w:p w14:paraId="2A5EF715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1716405"/>
            <wp:effectExtent l="0" t="0" r="0" b="0"/>
            <wp:docPr id="77" name="Picture" descr="控制量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控制量分解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67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F5482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控制量分解</w:t>
      </w:r>
    </w:p>
    <w:p w14:paraId="0C8CA0CC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上图清晰展示了前馈-反馈复合控制中各分量的作用。前馈（绿色虚线）在阶跃瞬间立即跃升至稳态值（SP=60 时约 40%，SP=100 时约 59%，SP=140 时约 78%），并在整个过程中保持恒定。反馈（红色虚线）仅在阶跃初期产生一个短暂的补偿脉冲（峰值约 8%~18%），随后迅速衰减至接近零。总输出（蓝色实线）由前馈提供主体，反馈负责动态修正。</w:t>
      </w:r>
    </w:p>
    <w:p w14:paraId="7DBBDDBA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这一分解直接证明了前馈对动态响应的改善机理。首先，前馈不依赖误差积累，在设定值改变瞬间即输出接近稳态的控制量，使电机电压立即达到工作点。其次，由于前馈已承担大部分稳态输出，反馈控制器的任务从零开始建立输出降级为微调误差，大幅降低了反馈的动态负担。最后，电机在阶跃后第一个控制周期（50 ms）内即获得有效驱动电压，转速迅速爬升，实测上升时间 30 ms 接近电机机械时间常数的理论极限。</w:t>
      </w:r>
    </w:p>
    <w:bookmarkEnd w:id="27"/>
    <w:p w14:paraId="0524BA07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8" w:name="扰动抑制反馈的补偿作用"/>
      <w:r>
        <w:rPr>
          <w:rFonts w:ascii="Times New Roman" w:hAnsi="Times New Roman"/>
          <w:b/>
          <w:color w:val="000000"/>
          <w:sz w:val="28"/>
          <w:szCs w:val="28"/>
        </w:rPr>
        <w:t xml:space="preserve">6.3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扰动抑制：反馈的补偿作用</w:t>
      </w:r>
    </w:p>
    <w:p w14:paraId="252F7AF9">
      <w:pPr>
        <w:pStyle w:val="48"/>
        <w:spacing w:after="120"/>
        <w:ind w:firstLine="480" w:firstLineChars="200"/>
        <w:jc w:val="center"/>
      </w:pPr>
      <w:r>
        <w:rPr>
          <w:color w:val="000000"/>
          <w:sz w:val="24"/>
        </w:rPr>
        <w:drawing>
          <wp:inline distT="0" distB="0" distL="114300" distR="114300">
            <wp:extent cx="5334000" cy="3427095"/>
            <wp:effectExtent l="0" t="0" r="0" b="0"/>
            <wp:docPr id="81" name="Picture" descr="扰动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扰动响应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7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F3028">
      <w:pPr>
        <w:pStyle w:val="46"/>
        <w:spacing w:after="120"/>
        <w:ind w:firstLine="420" w:firstLineChars="200"/>
        <w:jc w:val="center"/>
      </w:pPr>
      <w:r>
        <w:rPr>
          <w:rFonts w:hint="eastAsia" w:ascii="宋体" w:hAnsi="宋体" w:eastAsia="宋体"/>
          <w:color w:val="000000"/>
          <w:sz w:val="21"/>
        </w:rPr>
        <w:t>扰动响应</w:t>
      </w:r>
    </w:p>
    <w:p w14:paraId="771EDAA7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在电机稳定运行于 100 rpm 时，于 PWM 输出上叠加 +8% 占空比阶跃扰动（等效负载突变），持续 500 ms 后撤销：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5"/>
        <w:gridCol w:w="3301"/>
      </w:tblGrid>
      <w:tr w14:paraId="08D1B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62D57B1D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58714FAB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数值</w:t>
            </w:r>
          </w:p>
        </w:tc>
      </w:tr>
      <w:tr w14:paraId="35AC5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CCD86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扰动前稳态转速</w:t>
            </w:r>
          </w:p>
        </w:tc>
        <w:tc>
          <w:p w14:paraId="5C73ECC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104.1 rpm</w:t>
            </w:r>
          </w:p>
        </w:tc>
      </w:tr>
      <w:tr w14:paraId="5EED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D3C2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最大转速偏差</w:t>
            </w:r>
          </w:p>
        </w:tc>
        <w:tc>
          <w:p w14:paraId="3F668FC0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16.3 rpm</w:t>
            </w:r>
          </w:p>
        </w:tc>
      </w:tr>
      <w:tr w14:paraId="3C947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44CBEF75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最大偏差出现时刻</w:t>
            </w:r>
          </w:p>
        </w:tc>
        <w:tc>
          <w:p w14:paraId="6471AA3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扰动后 360 ms</w:t>
            </w:r>
          </w:p>
        </w:tc>
      </w:tr>
      <w:tr w14:paraId="2573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04318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恢复时间（扰动撤销后）</w:t>
            </w:r>
          </w:p>
        </w:tc>
        <w:tc>
          <w:p w14:paraId="7E12D639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940 ms</w:t>
            </w:r>
          </w:p>
        </w:tc>
      </w:tr>
      <w:tr w14:paraId="30464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5EA0B655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反馈补偿峰值</w:t>
            </w:r>
          </w:p>
        </w:tc>
        <w:tc>
          <w:tcPr>
            <w:tcBorders>
              <w:bottom w:val="single" w:color="000000" w:sz="12" w:space="0"/>
            </w:tcBorders>
          </w:tcPr>
          <w:p w14:paraId="58B67B6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8.6 %</w:t>
            </w:r>
          </w:p>
        </w:tc>
      </w:tr>
    </w:tbl>
    <w:p w14:paraId="3D1CC60F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从控制量分解的下图可以观察到：扰动期间前馈保持不变（约 59%），因为它仅取决于设定值，与扰动无关；反馈产生负向补偿（最低约 -8.6%），主动抵消等效负载增加；扰动撤销后反馈回到零，系统恢复稳态。这验证了前馈-反馈架构的分工：前馈负责设定值跟踪的动态性能，反馈负责扰动抑制和静差消除。</w:t>
      </w:r>
    </w:p>
    <w:bookmarkEnd w:id="28"/>
    <w:p w14:paraId="47A175D6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29" w:name="前馈改善动态响应的定量分析"/>
      <w:r>
        <w:rPr>
          <w:rFonts w:ascii="Times New Roman" w:hAnsi="Times New Roman"/>
          <w:b/>
          <w:color w:val="000000"/>
          <w:sz w:val="28"/>
          <w:szCs w:val="28"/>
        </w:rPr>
        <w:t xml:space="preserve">6.4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前馈改善动态响应的定量分析</w:t>
      </w:r>
    </w:p>
    <w:p w14:paraId="41E55CE6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对比纯反馈（无前馈）与前馈-反馈复合控制的仿真与实验结果，前馈对动态响应的改善可量化为：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4"/>
        <w:gridCol w:w="2079"/>
        <w:gridCol w:w="2276"/>
        <w:gridCol w:w="1877"/>
      </w:tblGrid>
      <w:tr w14:paraId="123C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1C991AE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性能指标</w:t>
            </w:r>
          </w:p>
        </w:tc>
        <w:tc>
          <w:tcPr>
            <w:tcW w:w="1174" w:type="pct"/>
            <w:tcBorders>
              <w:top w:val="single" w:color="000000" w:sz="12" w:space="0"/>
              <w:bottom w:val="single" w:color="000000" w:sz="6" w:space="0"/>
            </w:tcBorders>
          </w:tcPr>
          <w:p w14:paraId="2D23D4CC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纯反馈（仿真）</w:t>
            </w:r>
          </w:p>
        </w:tc>
        <w:tc>
          <w:tcPr>
            <w:tcW w:w="1285" w:type="pct"/>
            <w:tcBorders>
              <w:top w:val="single" w:color="000000" w:sz="12" w:space="0"/>
              <w:bottom w:val="single" w:color="000000" w:sz="6" w:space="0"/>
            </w:tcBorders>
          </w:tcPr>
          <w:p w14:paraId="06F78C45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前馈-反馈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094B51F3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改善幅度</w:t>
            </w:r>
          </w:p>
        </w:tc>
      </w:tr>
      <w:tr w14:paraId="7AFE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190AD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上升时间</w:t>
            </w:r>
          </w:p>
        </w:tc>
        <w:tc>
          <w:tcPr>
            <w:tcW w:w="1174" w:type="pct"/>
          </w:tcPr>
          <w:p w14:paraId="6AB83539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~150 ms</w:t>
            </w:r>
          </w:p>
        </w:tc>
        <w:tc>
          <w:tcPr>
            <w:tcW w:w="1285" w:type="pct"/>
          </w:tcPr>
          <w:p w14:paraId="435A0AC6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30 ms</w:t>
            </w:r>
          </w:p>
        </w:tc>
        <w:tc>
          <w:p w14:paraId="5C07239C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提升 5 倍</w:t>
            </w:r>
          </w:p>
        </w:tc>
      </w:tr>
      <w:tr w14:paraId="47475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0E96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调节时间</w:t>
            </w:r>
          </w:p>
        </w:tc>
        <w:tc>
          <w:tcPr>
            <w:tcW w:w="1174" w:type="pct"/>
          </w:tcPr>
          <w:p w14:paraId="704CED0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~800 ms</w:t>
            </w:r>
          </w:p>
        </w:tc>
        <w:tc>
          <w:tcPr>
            <w:tcW w:w="1285" w:type="pct"/>
          </w:tcPr>
          <w:p w14:paraId="2DC3D04F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~460 ms</w:t>
            </w:r>
          </w:p>
        </w:tc>
        <w:tc>
          <w:p w14:paraId="4D2AF10D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提升 1.7 倍</w:t>
            </w:r>
          </w:p>
        </w:tc>
      </w:tr>
      <w:tr w14:paraId="26F3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p w14:paraId="7CD38A6B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初始控制量建立</w:t>
            </w:r>
          </w:p>
        </w:tc>
        <w:tc>
          <w:tcPr>
            <w:tcW w:w="1174" w:type="pct"/>
          </w:tcPr>
          <w:p w14:paraId="054C5961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从零积分</w:t>
            </w:r>
          </w:p>
        </w:tc>
        <w:tc>
          <w:tcPr>
            <w:tcW w:w="1285" w:type="pct"/>
          </w:tcPr>
          <w:p w14:paraId="6BBAA25D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即时跃升</w:t>
            </w:r>
          </w:p>
        </w:tc>
        <w:tc>
          <w:p w14:paraId="0C8BE8B8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本质改善</w:t>
            </w:r>
          </w:p>
        </w:tc>
      </w:tr>
      <w:tr w14:paraId="012CC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000000" w:sz="12" w:space="0"/>
            </w:tcBorders>
          </w:tcPr>
          <w:p w14:paraId="3601CA62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稳态反馈占比</w:t>
            </w:r>
          </w:p>
        </w:tc>
        <w:tc>
          <w:tcPr>
            <w:tcW w:w="1174" w:type="pct"/>
            <w:tcBorders>
              <w:bottom w:val="single" w:color="000000" w:sz="12" w:space="0"/>
            </w:tcBorders>
          </w:tcPr>
          <w:p w14:paraId="0CDDF299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1285" w:type="pct"/>
            <w:tcBorders>
              <w:bottom w:val="single" w:color="000000" w:sz="12" w:space="0"/>
            </w:tcBorders>
          </w:tcPr>
          <w:p w14:paraId="36610650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0%~5%</w:t>
            </w:r>
          </w:p>
        </w:tc>
        <w:tc>
          <w:tcPr>
            <w:tcBorders>
              <w:bottom w:val="single" w:color="000000" w:sz="12" w:space="0"/>
            </w:tcBorders>
          </w:tcPr>
          <w:p w14:paraId="049AE112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动态解耦</w:t>
            </w:r>
          </w:p>
        </w:tc>
      </w:tr>
    </w:tbl>
    <w:p w14:paraId="7F91373D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前馈控制器通过基于精确逆模型的预判作用，在设定值阶跃瞬间即提供正确的稳态控制量，是系统动态响应性能大幅提升的核心原因。反馈 PI 仅需在此基础上进行小范围修正，既保证了响应速度，又维持了闭环稳定性与抗扰动能力。</w:t>
      </w:r>
    </w:p>
    <w:p w14:paraId="63C36955">
      <w:pPr>
        <w:spacing w:after="120"/>
        <w:ind w:firstLine="480" w:firstLineChars="200"/>
        <w:jc w:val="center"/>
      </w:pPr>
    </w:p>
    <w:bookmarkEnd w:id="25"/>
    <w:bookmarkEnd w:id="29"/>
    <w:p w14:paraId="20D3475C">
      <w:pPr>
        <w:pStyle w:val="4"/>
        <w:spacing w:after="120"/>
        <w:jc w:val="left"/>
        <w:rPr>
          <w:sz w:val="30"/>
          <w:szCs w:val="30"/>
        </w:rPr>
      </w:pPr>
      <w:bookmarkStart w:id="30" w:name="控制器实现"/>
      <w:r>
        <w:rPr>
          <w:rFonts w:ascii="Times New Roman" w:hAnsi="Times New Roman"/>
          <w:b/>
          <w:color w:val="000000"/>
          <w:sz w:val="30"/>
          <w:szCs w:val="30"/>
        </w:rPr>
        <w:t xml:space="preserve">7.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控制器实现</w:t>
      </w:r>
    </w:p>
    <w:p w14:paraId="2F06A24C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前馈控制器基于分段线性逆模型实现。输入为目标转速 rpm，输出为前馈电压。实现时先取转速绝对值，判断所在分段：若小于等于 0 则输出 0；若在 0 ~ 38.61 rpm 之间则按第一段斜率计算；若大于 38.61 rpm 则按第二段斜率计算。最后根据转速正负号恢复方向。</w:t>
      </w:r>
    </w:p>
    <w:p w14:paraId="6EC972B9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反馈 PI 控制器采用位置式实现，包含三项抗饱和机制。积分项单独限制在 [-30, +30]（占空比 %）范围内，防止积分饱和。当误差绝对值大于 20 rpm 时冻结积分，抑制大阶跃超调。当输出饱和且误差同向时同样冻结积分，防止饱和漂移。</w:t>
      </w:r>
    </w:p>
    <w:p w14:paraId="5BFFC1D2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复合输出时，先计算前馈占空比，再叠加反馈 PI 输出，最后经限幅后输出到 L298N。限幅范围为 [-100%, +100%]。</w:t>
      </w:r>
    </w:p>
    <w:p w14:paraId="791E202E">
      <w:pPr>
        <w:spacing w:after="120"/>
        <w:ind w:firstLine="480" w:firstLineChars="200"/>
        <w:jc w:val="center"/>
      </w:pPr>
    </w:p>
    <w:bookmarkEnd w:id="30"/>
    <w:p w14:paraId="6B5FA51C">
      <w:pPr>
        <w:pStyle w:val="4"/>
        <w:spacing w:after="120"/>
        <w:jc w:val="left"/>
        <w:rPr>
          <w:sz w:val="30"/>
          <w:szCs w:val="30"/>
        </w:rPr>
      </w:pPr>
      <w:bookmarkStart w:id="31" w:name="软件工程rust-embassy-与-c-freertos-的对比"/>
      <w:r>
        <w:rPr>
          <w:rFonts w:ascii="Times New Roman" w:hAnsi="Times New Roman"/>
          <w:b/>
          <w:color w:val="000000"/>
          <w:sz w:val="30"/>
          <w:szCs w:val="30"/>
        </w:rPr>
        <w:t xml:space="preserve">8. </w:t>
      </w:r>
      <w:r>
        <w:rPr>
          <w:rFonts w:hint="eastAsia" w:ascii="Times New Roman" w:hAnsi="Times New Roman" w:eastAsia="宋体"/>
          <w:b/>
          <w:color w:val="000000"/>
          <w:sz w:val="30"/>
          <w:szCs w:val="30"/>
        </w:rPr>
        <w:t>软件工程：Rust</w:t>
      </w:r>
      <w:r>
        <w:rPr>
          <w:rFonts w:ascii="Times New Roman" w:hAnsi="Times New Roman"/>
          <w:b/>
          <w:color w:val="000000"/>
          <w:sz w:val="30"/>
          <w:szCs w:val="30"/>
        </w:rPr>
        <w:t xml:space="preserve"> + Embassy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与</w:t>
      </w:r>
      <w:r>
        <w:rPr>
          <w:rFonts w:ascii="Times New Roman" w:hAnsi="Times New Roman"/>
          <w:b/>
          <w:color w:val="000000"/>
          <w:sz w:val="30"/>
          <w:szCs w:val="30"/>
        </w:rPr>
        <w:t xml:space="preserve"> C + FreeRTOS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的对比</w:t>
      </w:r>
    </w:p>
    <w:p w14:paraId="05874D54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32" w:name="技术路线对比"/>
      <w:r>
        <w:rPr>
          <w:rFonts w:ascii="Times New Roman" w:hAnsi="Times New Roman"/>
          <w:b/>
          <w:color w:val="000000"/>
          <w:sz w:val="28"/>
          <w:szCs w:val="28"/>
        </w:rPr>
        <w:t xml:space="preserve">8.1 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技术路线对比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723"/>
        <w:gridCol w:w="3936"/>
      </w:tblGrid>
      <w:tr w14:paraId="60B9C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75" w:type="pct"/>
            <w:tcBorders>
              <w:top w:val="single" w:color="000000" w:sz="12" w:space="0"/>
              <w:bottom w:val="single" w:color="000000" w:sz="6" w:space="0"/>
            </w:tcBorders>
          </w:tcPr>
          <w:p w14:paraId="539F583F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维度</w:t>
            </w:r>
          </w:p>
        </w:tc>
        <w:tc>
          <w:tcPr>
            <w:tcW w:w="2101" w:type="pct"/>
            <w:tcBorders>
              <w:top w:val="single" w:color="000000" w:sz="12" w:space="0"/>
              <w:bottom w:val="single" w:color="000000" w:sz="6" w:space="0"/>
            </w:tcBorders>
          </w:tcPr>
          <w:p w14:paraId="55B51250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Rust + Embassy（本方案）</w:t>
            </w:r>
          </w:p>
        </w:tc>
        <w:tc>
          <w:tcPr>
            <w:tcBorders>
              <w:top w:val="single" w:color="000000" w:sz="12" w:space="0"/>
              <w:bottom w:val="single" w:color="000000" w:sz="6" w:space="0"/>
            </w:tcBorders>
          </w:tcPr>
          <w:p w14:paraId="35738732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C + FreeRTOS（传统方案）</w:t>
            </w:r>
          </w:p>
        </w:tc>
      </w:tr>
      <w:tr w14:paraId="275BD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</w:tcPr>
          <w:p w14:paraId="0A4ADA2C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内存安全</w:t>
            </w:r>
          </w:p>
        </w:tc>
        <w:tc>
          <w:tcPr>
            <w:tcW w:w="2101" w:type="pct"/>
          </w:tcPr>
          <w:p w14:paraId="0D21DA6F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编译期所有权检查，杜绝空指针、悬垂指针、数据竞争</w:t>
            </w:r>
          </w:p>
        </w:tc>
        <w:tc>
          <w:p w14:paraId="4384EBE3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运行时检查或人工保证，易引入内存泄漏和越界访问</w:t>
            </w:r>
          </w:p>
        </w:tc>
      </w:tr>
      <w:tr w14:paraId="739F6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</w:tcPr>
          <w:p w14:paraId="411D9A8C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并发模型</w:t>
            </w:r>
          </w:p>
        </w:tc>
        <w:tc>
          <w:tcPr>
            <w:tcW w:w="2101" w:type="pct"/>
          </w:tcPr>
          <w:p w14:paraId="4D6AFDA2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async/await + 编译期任务调度，零成本抽象</w:t>
            </w:r>
          </w:p>
        </w:tc>
        <w:tc>
          <w:p w14:paraId="4AED16F2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基于任务优先级和信号量的抢占式调度，上下文切换开销大</w:t>
            </w:r>
          </w:p>
        </w:tc>
      </w:tr>
      <w:tr w14:paraId="7A2D4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75" w:type="pct"/>
          </w:tcPr>
          <w:p w14:paraId="0A595F6E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开发效率</w:t>
            </w:r>
          </w:p>
        </w:tc>
        <w:tc>
          <w:tcPr>
            <w:tcW w:w="2101" w:type="pct"/>
          </w:tcPr>
          <w:p w14:paraId="14A28920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强类型系统 + 丰富编译器报错，重构安全</w:t>
            </w:r>
          </w:p>
        </w:tc>
        <w:tc>
          <w:p w14:paraId="79743A1C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灵活的弱类型，但调试周期长，重构风险高</w:t>
            </w:r>
          </w:p>
        </w:tc>
      </w:tr>
      <w:tr w14:paraId="68055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</w:tcPr>
          <w:p w14:paraId="5B9291A8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生态工具</w:t>
            </w:r>
          </w:p>
        </w:tc>
        <w:tc>
          <w:tcPr>
            <w:tcW w:w="2101" w:type="pct"/>
          </w:tcPr>
          <w:p w14:paraId="78C18639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Cargo 包管理、Clippy 静态检查、rust-analyzer IDE 支持</w:t>
            </w:r>
          </w:p>
        </w:tc>
        <w:tc>
          <w:p w14:paraId="552A8247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Makefile/CMake 手动管理，工具链碎片化</w:t>
            </w:r>
          </w:p>
        </w:tc>
      </w:tr>
      <w:tr w14:paraId="49F82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</w:tcPr>
          <w:p w14:paraId="2FA447A8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实时性</w:t>
            </w:r>
          </w:p>
        </w:tc>
        <w:tc>
          <w:tcPr>
            <w:tcW w:w="2101" w:type="pct"/>
          </w:tcPr>
          <w:p w14:paraId="461CF66B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Embassy 基于中断的异步执行器，任务切换无需保存完整寄存器上下文</w:t>
            </w:r>
          </w:p>
        </w:tc>
        <w:tc>
          <w:p w14:paraId="643CE685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FreeRTOS 任务切换需保存/恢复完整上下文，额外开销约 10-20 μs</w:t>
            </w:r>
          </w:p>
        </w:tc>
      </w:tr>
      <w:tr w14:paraId="2D3B7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pct"/>
            <w:tcBorders>
              <w:bottom w:val="single" w:color="000000" w:sz="12" w:space="0"/>
            </w:tcBorders>
          </w:tcPr>
          <w:p w14:paraId="30EA5116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调试体验</w:t>
            </w:r>
          </w:p>
        </w:tc>
        <w:tc>
          <w:tcPr>
            <w:tcW w:w="2101" w:type="pct"/>
            <w:tcBorders>
              <w:bottom w:val="single" w:color="000000" w:sz="12" w:space="0"/>
            </w:tcBorders>
          </w:tcPr>
          <w:p w14:paraId="00A1806F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编译器在编码阶段捕获 80% 以上错误，运行时调试负担轻</w:t>
            </w:r>
          </w:p>
        </w:tc>
        <w:tc>
          <w:tcPr>
            <w:tcBorders>
              <w:bottom w:val="single" w:color="000000" w:sz="12" w:space="0"/>
            </w:tcBorders>
          </w:tcPr>
          <w:p w14:paraId="16781B58">
            <w:pPr>
              <w:pStyle w:val="25"/>
              <w:spacing w:before="0" w:after="0"/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w:t>大量错误（如缓冲区溢出、竞态条件）只能在运行时暴露</w:t>
            </w:r>
          </w:p>
        </w:tc>
      </w:tr>
      <w:bookmarkEnd w:id="32"/>
    </w:tbl>
    <w:p w14:paraId="6BDA12E2">
      <w:pPr>
        <w:pStyle w:val="5"/>
        <w:spacing w:after="120"/>
        <w:jc w:val="left"/>
        <w:rPr>
          <w:rFonts w:ascii="Times New Roman" w:hAnsi="Times New Roman"/>
          <w:b/>
          <w:color w:val="000000"/>
          <w:sz w:val="28"/>
          <w:szCs w:val="28"/>
        </w:rPr>
      </w:pPr>
      <w:bookmarkStart w:id="33" w:name="当前方案的优势"/>
      <w:r>
        <w:rPr>
          <w:rFonts w:ascii="Times New Roman" w:hAnsi="Times New Roman"/>
          <w:b/>
          <w:color w:val="000000"/>
          <w:sz w:val="28"/>
          <w:szCs w:val="28"/>
        </w:rPr>
        <w:t>8.2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>当前方案的优势</w:t>
      </w:r>
    </w:p>
    <w:p w14:paraId="4CE15598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本项目选择 Rust + Embassy 作为开发框架，主要基于以下工程考量。</w:t>
      </w:r>
    </w:p>
    <w:p w14:paraId="507C8089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零成本异步抽象提升了实时性能。Embassy 的 async/await 机制在编译期将异步任务状态机化，任务切换仅需保存被 await 点活化的局部变量，无需像 FreeRTOS 那样保存完整任务栈。对于 50 ms 控制周期而言，这意味着控制任务、显示任务、键盘扫描任务可以在同一栈空间内高效协作，中断响应延迟更稳定，不会因为任务调度而引入额外的抖动。编码器测速中断（10 ms 采样）与主控制循环（50 ms）之间的数据传递可通过 embassy_sync::channel 安全完成，无需手动临界区管理。</w:t>
      </w:r>
    </w:p>
    <w:p w14:paraId="6128D680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编译期安全保证降低了维护成本。电机控制系统涉及多路外设，如TIM1 编码器、TIM2 PWM、TIM3 控制周期、I2C1 OLED、UART 调试串口，传统 C 开发中极易出现寄存器配置冲突、DMA 缓冲区生命周期管理失误、中断服务程序与主循环的数据竞争。Rust 的所有权模型在编译阶段即禁止这些模式，使得代码的首次烧录成功率显著提高。本项目中所有外设初始化均通过 embassy-stm32 的 HAL 层完成，配置冲突在编译期即可发现。</w:t>
      </w:r>
    </w:p>
    <w:p w14:paraId="0A5FFADD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强类型系统提升了代码可读性。项目中大量使用自定义类型表达物理量（如 Rpm、Duty、Voltage），配合 Rust 的 newtype 模式，禁止无意义的物理量运算（如 Rpm + Duty 会在编译期报错），单位换算通过类型转换函数显式表达，避免隐性魔术数字。控制器参数（Kp、Ki、积分限幅）以结构化方式传递，配置错误一目了然。</w:t>
      </w:r>
    </w:p>
    <w:p w14:paraId="23FB0316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Embassy 生态为硬件抽象提供了良好支持。embassy-stm32 为 STM32F1 系列提供了完整的异步 HAL，包括 embassy_time::Timer::after() 实现精确的异步延时，无需阻塞 CPU、embassy_stm32::i2c::I2c 支持 DMA 传输、embassy_stm32::timer::InputCapture 直接支持正交编码器模式，省去手动配置寄存器的繁琐步骤。相比之下，传统 C + HAL 库通常需要开发者手动处理 NVIC 优先级、DMA 流配置、中断标志清除等底层细节。</w:t>
      </w:r>
    </w:p>
    <w:bookmarkEnd w:id="33"/>
    <w:p w14:paraId="024A7CF9">
      <w:pPr>
        <w:pStyle w:val="5"/>
        <w:spacing w:after="120"/>
        <w:jc w:val="left"/>
        <w:rPr>
          <w:sz w:val="28"/>
          <w:szCs w:val="28"/>
        </w:rPr>
      </w:pPr>
      <w:bookmarkStart w:id="34" w:name="工程实践总结"/>
      <w:r>
        <w:rPr>
          <w:rFonts w:ascii="Times New Roman" w:hAnsi="Times New Roman"/>
          <w:b/>
          <w:color w:val="000000"/>
          <w:sz w:val="28"/>
          <w:szCs w:val="28"/>
        </w:rPr>
        <w:t>8.3</w:t>
      </w:r>
      <w:r>
        <w:rPr>
          <w:rFonts w:hint="eastAsia" w:ascii="宋体" w:hAnsi="宋体" w:eastAsia="宋体"/>
          <w:b/>
          <w:color w:val="000000"/>
          <w:sz w:val="28"/>
          <w:szCs w:val="28"/>
        </w:rPr>
        <w:t>工程实践总结</w:t>
      </w:r>
    </w:p>
    <w:p w14:paraId="1467DC74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在本项目的开发过程中，Rust + Embassy 的技术优势得到了充分验证。所有问题均在编译阶段或逻辑层面解决。控制器核心逻辑约 400 行，结构清晰；逆模型参数、PI 增益等配置项集中管理，便于在线调参和后续优化。</w:t>
      </w:r>
    </w:p>
    <w:p w14:paraId="5F718199">
      <w:pPr>
        <w:spacing w:after="120"/>
        <w:ind w:firstLine="480" w:firstLineChars="200"/>
        <w:jc w:val="center"/>
      </w:pPr>
    </w:p>
    <w:bookmarkEnd w:id="31"/>
    <w:bookmarkEnd w:id="34"/>
    <w:p w14:paraId="1657387C">
      <w:pPr>
        <w:pStyle w:val="4"/>
        <w:spacing w:after="120"/>
        <w:jc w:val="left"/>
        <w:rPr>
          <w:sz w:val="30"/>
          <w:szCs w:val="30"/>
        </w:rPr>
      </w:pPr>
      <w:bookmarkStart w:id="35" w:name="结论"/>
      <w:r>
        <w:rPr>
          <w:rFonts w:ascii="Times New Roman" w:hAnsi="Times New Roman"/>
          <w:b/>
          <w:color w:val="000000"/>
          <w:sz w:val="30"/>
          <w:szCs w:val="30"/>
        </w:rPr>
        <w:t xml:space="preserve">9. </w:t>
      </w:r>
      <w:r>
        <w:rPr>
          <w:rFonts w:hint="eastAsia" w:ascii="宋体" w:hAnsi="宋体" w:eastAsia="宋体"/>
          <w:b/>
          <w:color w:val="000000"/>
          <w:sz w:val="30"/>
          <w:szCs w:val="30"/>
        </w:rPr>
        <w:t>结论</w:t>
      </w:r>
    </w:p>
    <w:p w14:paraId="1E2315A2">
      <w:pPr>
        <w:pStyle w:val="24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通过 20 次空载阶跃响应实验，辨识出一阶模型参数 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K=23.4 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rpm/V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τ=17 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ms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（</w:t>
      </w:r>
      <m:oMath>
        <m:sSup>
          <m:sSup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&gt;0.94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）。电机动态极快，远小于 50 ms 控制周期，为前馈即时响应提供了物理基础。</w:t>
      </w:r>
    </w:p>
    <w:p w14:paraId="314CA247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分段线性拟合得到死区电压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=1.872 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，两段斜率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=27.03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、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=19.11 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rpm/V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，拟合精度 </w:t>
      </w:r>
      <m:oMath>
        <m:sSup>
          <m:sSup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≈1.0000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。精确的逆模型是前馈改善动态响应的前提。</w:t>
      </w:r>
    </w:p>
    <w:p w14:paraId="3C7040BB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前馈控制器在阶跃瞬间即提供 40%~78% 的稳态控制量，使系统上升时间从纯反馈的约 150 ms 缩短至 30 ms，提升约 5 倍。控制量分解实验直接验证了前馈的主导作用。</w:t>
      </w:r>
    </w:p>
    <w:p w14:paraId="71AF74E9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采用 IMC/Lambda 法（</w:t>
      </w:r>
      <m:oMath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λ=0.050 </m:t>
        </m:r>
        <m:r>
          <m:rPr>
            <m:nor/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s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 xml:space="preserve">）得到推荐参数 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=0.132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eastAsia="宋体" w:cstheme="minorBidi"/>
                <w:color w:val="000000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="宋体" w:cstheme="minorBidi"/>
                <w:color w:val="000000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theme="minorBidi"/>
            <w:color w:val="000000"/>
            <w:sz w:val="24"/>
            <w:szCs w:val="24"/>
            <w:lang w:val="en-US" w:eastAsia="zh-CN" w:bidi="ar-SA"/>
          </w:rPr>
          <m:t>=7.770</m:t>
        </m:r>
      </m:oMath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，相位裕度 90°。由于前馈承担了稳态输出，反馈仅需补偿误差，无需追求过高增益即可保持响应速度与鲁棒性。</w:t>
      </w:r>
    </w:p>
    <w:p w14:paraId="75C797F8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前馈-反馈架构实现了有效的功能解耦：前馈负责设定值跟踪的动态性能，反馈负责扰动抑制和静差消除。+8% 占空比扰动下最大偏差仅 16.3 rpm，验证了闭环系统的抗扰能力。</w:t>
      </w:r>
    </w:p>
    <w:p w14:paraId="25E86BBA">
      <w:pPr>
        <w:pStyle w:val="3"/>
        <w:spacing w:after="120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4"/>
          <w:szCs w:val="24"/>
          <w:lang w:val="en-US" w:eastAsia="zh-CN" w:bidi="ar-SA"/>
        </w:rPr>
        <w:t>Rust + Embassy 框架在内存安全、实时性能和开发效率方面显著优于传统 C + FreeRTOS 方案，为本项目的快速迭代和稳定运行提供了坚实的技术基础。在线调参步长设为 0.01，便于精细微调。</w:t>
      </w:r>
      <w:bookmarkEnd w:id="0"/>
      <w:bookmarkEnd w:id="35"/>
    </w:p>
    <w:sectPr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altName w:val="C059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786DFD"/>
    <w:rsid w:val="1F6F0BA5"/>
    <w:rsid w:val="23114808"/>
    <w:rsid w:val="2A1D7D59"/>
    <w:rsid w:val="32747406"/>
    <w:rsid w:val="46E70DA7"/>
    <w:rsid w:val="4C893A3D"/>
    <w:rsid w:val="6A1C1399"/>
    <w:rsid w:val="7D361243"/>
    <w:rsid w:val="7D3D1E9B"/>
    <w:rsid w:val="9FEDA51C"/>
    <w:rsid w:val="F5FA3BA4"/>
    <w:rsid w:val="FDF83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Segoe UI" w:hAnsi="Segoe U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Segoe UI Variable Display" w:hAnsi="Segoe UI Variable Display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="Segoe UI Variable Display" w:hAnsi="Segoe UI Variable Display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="Segoe UI Variable Display" w:hAnsi="Segoe UI Variable Display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qFormat/>
    <w:uiPriority w:val="10"/>
    <w:rPr>
      <w:rFonts w:ascii="Segoe UI Variable Display" w:hAnsi="Segoe UI Variable Display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Segoe UI Variable Display" w:hAnsi="Segoe UI Variable Display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  <w:style w:type="paragraph" w:customStyle="1" w:styleId="84">
    <w:name w:val="wdys"/>
    <w:basedOn w:val="1"/>
    <w:next w:val="1"/>
    <w:qFormat/>
    <w:uiPriority w:val="0"/>
    <w:pPr>
      <w:keepNext/>
      <w:keepLines/>
      <w:spacing w:before="160" w:after="120"/>
      <w:ind w:firstLine="1044" w:firstLineChars="200"/>
      <w:outlineLvl w:val="2"/>
    </w:pPr>
    <w:rPr>
      <w:rFonts w:hint="eastAsia" w:ascii="Times New Roman" w:hAnsi="Times New Roman" w:eastAsia="宋体" w:cs="Times New Roman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5701</Words>
  <Characters>7393</Characters>
  <Lines>12</Lines>
  <Paragraphs>8</Paragraphs>
  <TotalTime>16</TotalTime>
  <ScaleCrop>false</ScaleCrop>
  <LinksUpToDate>false</LinksUpToDate>
  <CharactersWithSpaces>7956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2026-05-28T15:04:00Z</dcterms:created>
  <dc:creator>wx</dc:creator>
  <cp:lastModifiedBy>aurora</cp:lastModifiedBy>
  <dcterms:modified xsi:type="dcterms:W3CDTF">2026-05-30T22:39:19Z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eyJoZGlkIjoiOTY3ZDIwNzIwMTY1Yjc0NzVhZmE4MTJjN2EwM2U3ODUiLCJ1c2VySWQiOiIxMTY2ODU1MTU5In0=</vt:lpwstr>
  </property>
  <property fmtid="{D5CDD505-2E9C-101B-9397-08002B2CF9AE}" pid="3" name="KSOProductBuildVer">
    <vt:lpwstr>2052-12.1.2.22571</vt:lpwstr>
  </property>
  <property fmtid="{D5CDD505-2E9C-101B-9397-08002B2CF9AE}" pid="4" name="ICV">
    <vt:lpwstr>1C1FCEBC59D84275A8621587A80F3485_12</vt:lpwstr>
  </property>
</Properties>
</file>