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  <w:t>智慧分析决策平台支撑银行业务洞察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                            --以xx行2025.6.30数据为例分析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一、银行整体经营情况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922520" cy="271272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从“经营关键指标”大屏可见：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xx行资本充足水平略有下降，资本相对稳定；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流动性指标都满足监管要求，且部分指标远超监管阈值，整体流动性较好；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反应整体盈利能力的指标：资产利润率及资本利润率上升，整体盈利能力较好，但是“净利差”较年初下降了8.23BP，“净利差”指标反应银行核心盈利来源的量化体现，盈利能力或存在一定的减弱；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不良贷款率下降、贷款拨备率及拨备覆盖率上升，表明银行信用风险管控水平增强。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从这些大指标看，银行在“安全性、流动性、盈利性”方面平衡发展，但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需关注“净利差_管理”下降的情况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二、由“净利差”下降引发的分析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1.净利差下降初探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0" w:firstLineChars="1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drawing>
          <wp:inline distT="0" distB="0" distL="114300" distR="114300">
            <wp:extent cx="5273040" cy="2919730"/>
            <wp:effectExtent l="0" t="0" r="0" b="6350"/>
            <wp:docPr id="6" name="图片 6" descr="175305953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530595349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0" w:firstLineChars="1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“管理口径”的净利差=生息资产收益率-付息负债付息率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从“利率分析”大屏可见，生息资产收益率与付息负债付息率都较年初有明显的下降，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但生息资产收益率下降更明显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，使得整体的“净利差_管理”指标下降8BP。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从“规模分析”大屏可见，贷款业务是主要的生息资产，占全部资产的61%，从上面“利率分析”大屏可以看出，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贷款收益率较年初下降了10bp，而季度的贷款收益率较上季度末（2025.3.31）下降了26bp，说明2025年二季度贷款收益率下降更明显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投资业务（包含债券、非标）为次要的生息资产，占全部资产的25.4%，其收益率较年初下降了24.5BP；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数据初探结论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：从表面数据看，贷款与投资业务收益率的大幅下降，是生息资产收益率下降的主要原因。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2.净利差归因分析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上面数据初探可见，生息资产收益率“较上季”下降比较明显，下降12.2BP，而付息负债付息率“较上季”下降并不明显，下降3.45BP，为了更精细的分析，对“季度净利差”的变动进行归因分析，定位季度变化差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点击“净利差_管理”指标值，进入“净利差归因分析”界面：</w:t>
      </w:r>
    </w:p>
    <w:p>
      <w:pPr>
        <w:numPr>
          <w:ilvl w:val="0"/>
          <w:numId w:val="0"/>
        </w:numPr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365760</wp:posOffset>
                </wp:positionV>
                <wp:extent cx="499110" cy="304800"/>
                <wp:effectExtent l="6350" t="6350" r="8890" b="1270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2.45pt;margin-top:28.8pt;height:24pt;width:39.3pt;z-index:251659264;v-text-anchor:middle;mso-width-relative:page;mso-height-relative:page;" filled="f" stroked="t" coordsize="21600,21600" o:gfxdata="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E86pNcAAAAKAQAADwAA&#10;AAAAAAABACAAAAAiAAAAZHJzL2Rvd25yZXYueG1sUEsBAhQAFAAAAAgAh07iQFeMoOpQAgAAgQQA&#10;AA4AAAAAAAAAAQAgAAAAJgEAAGRycy9lMm9Eb2MueG1sUEsFBgAAAAAGAAYAWQEAAOgF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4932680" cy="2664460"/>
            <wp:effectExtent l="0" t="0" r="1270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rcRect l="3171" r="3171" b="4484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50130" cy="2720975"/>
            <wp:effectExtent l="0" t="0" r="11430" b="698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9922" b="4239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72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tbl>
      <w:tblPr>
        <w:tblStyle w:val="3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275"/>
        <w:gridCol w:w="1128"/>
        <w:gridCol w:w="1163"/>
        <w:gridCol w:w="974"/>
        <w:gridCol w:w="1542"/>
        <w:gridCol w:w="13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产品类型名称</w:t>
            </w:r>
          </w:p>
        </w:tc>
        <w:tc>
          <w:tcPr>
            <w:tcW w:w="1275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128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影响利差</w:t>
            </w:r>
          </w:p>
        </w:tc>
        <w:tc>
          <w:tcPr>
            <w:tcW w:w="1163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影响贡献度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因子类别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因子利差影响值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因子贡献度值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生息资产</w:t>
            </w: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贷款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116205</wp:posOffset>
                      </wp:positionV>
                      <wp:extent cx="742950" cy="304800"/>
                      <wp:effectExtent l="6350" t="6350" r="12700" b="12700"/>
                      <wp:wrapNone/>
                      <wp:docPr id="14" name="椭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04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50.85pt;margin-top:9.15pt;height:24pt;width:58.5pt;z-index:251660288;v-text-anchor:middle;mso-width-relative:page;mso-height-relative:page;" filled="f" stroked="t" coordsize="21600,21600" o:gfxdata="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14wxPUAAAACQEAAA8AAAAA&#10;AAAAAQAgAAAAIgAAAGRycy9kb3ducmV2LnhtbFBLAQIUABQAAAAIAIdO4kBgc8ICUQIAAIEEAAAO&#10;AAAAAAAAAAEAIAAAACMBAABkcnMvZTJvRG9jLnhtbFBLBQYAAAAABgAGAFkBAADmBQAAAAA=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-0.1548%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90.0923%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0.0158%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205105</wp:posOffset>
                      </wp:positionV>
                      <wp:extent cx="742950" cy="304800"/>
                      <wp:effectExtent l="6350" t="6350" r="12700" b="12700"/>
                      <wp:wrapNone/>
                      <wp:docPr id="15" name="椭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04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-2.5pt;margin-top:16.15pt;height:24pt;width:58.5pt;z-index:251661312;v-text-anchor:middle;mso-width-relative:page;mso-height-relative:page;" filled="f" stroked="t" coordsize="21600,21600" o:gfxdata="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kEEL21QAAAAgBAAAPAAAA&#10;AAAAAAEAIAAAACIAAABkcnMvZG93bnJldi54bWxQSwECFAAUAAAACACHTuJAdlVn0VECAACBBAAA&#10;DgAAAAAAAAABACAAAAAkAQAAZHJzL2Uyb0RvYy54bWxQSwUGAAAAAAYABgBZAQAA5wUAAAAA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-9.1681%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收益率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-0.1706%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99.2604%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投资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-0.0129%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7.4962%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-0.0089%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5.1936%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收益率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-0.0040%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224155</wp:posOffset>
                      </wp:positionV>
                      <wp:extent cx="742950" cy="304800"/>
                      <wp:effectExtent l="6350" t="6350" r="12700" b="12700"/>
                      <wp:wrapNone/>
                      <wp:docPr id="16" name="椭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04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-2.5pt;margin-top:17.65pt;height:24pt;width:58.5pt;z-index:251662336;v-text-anchor:middle;mso-width-relative:page;mso-height-relative:page;" filled="f" stroked="t" coordsize="21600,21600" o:gfxdata="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xNNlt1QAAAAgBAAAPAAAA&#10;AAAAAAEAIAAAACIAAABkcnMvZG93bnJldi54bWxQSwECFAAUAAAACACHTuJADTn5flECAACBBAAA&#10;DgAAAAAAAAABACAAAAAkAQAAZHJzL2Uyb0RvYy54bWxQSwUGAAAAAAYABgBZAQAA5wUAAAAA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2.3026%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同业资产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-0.0648%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37.7119%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-0.0629%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36.6237%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收益率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-0.0019%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1.0882%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存放央行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-0.0058%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3.3885%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-0.0069%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4.0136%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收益率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0.0011%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-0.6251%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贴现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0.0040%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-2.3404%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0.0030%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-1.7370%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收益率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0.0010%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-0.6035%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计息负债</w:t>
            </w: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存款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0.0601%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-34.961%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-0.0015%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0.8605%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付息率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0.0616%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-35.8217%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向央行借款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0.0021%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-1.2016%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0.0013%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-0.7341%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付息率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0.0008%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-0.4675%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同业存单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-0.0032%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1.8754%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-0.0004%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0.2592%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付息率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-0.0028%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1.6162%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卖出回购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0.0036%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-2.1104%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0.0015%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-0.8556%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付息率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0.0022%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-1.2548%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其他</w:t>
            </w:r>
          </w:p>
        </w:tc>
        <w:tc>
          <w:tcPr>
            <w:tcW w:w="1128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-0.0001%</w:t>
            </w:r>
          </w:p>
        </w:tc>
        <w:tc>
          <w:tcPr>
            <w:tcW w:w="1163" w:type="dxa"/>
            <w:vMerge w:val="restart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0.0492%</w:t>
            </w: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规模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0.0000%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-0.0107%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8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275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28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1163" w:type="dxa"/>
            <w:vMerge w:val="continue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</w:p>
        </w:tc>
        <w:tc>
          <w:tcPr>
            <w:tcW w:w="974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付息率</w:t>
            </w:r>
          </w:p>
        </w:tc>
        <w:tc>
          <w:tcPr>
            <w:tcW w:w="154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-0.0001%</w:t>
            </w:r>
          </w:p>
        </w:tc>
        <w:tc>
          <w:tcPr>
            <w:tcW w:w="1352" w:type="dxa"/>
            <w:tcBorders>
              <w:top w:val="single" w:color="617282" w:sz="4" w:space="0"/>
              <w:left w:val="single" w:color="617282" w:sz="4" w:space="0"/>
              <w:bottom w:val="single" w:color="617282" w:sz="4" w:space="0"/>
              <w:right w:val="single" w:color="617282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0.0600%</w:t>
            </w:r>
          </w:p>
        </w:tc>
      </w:tr>
    </w:tbl>
    <w:p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注：1.“影响贡献度/因子影响贡献度值”表示：该产品或者该因子对“指标变动”的影响程度；影响贡献度是正的，说明对“指标变动”的影响是正向的，贡献度的数值越接近100%，说明影响程度越高；贡献度为负的，说明对“指标变动”的影响是反向的，贡献度的数值越接近-100%，说明负向影响越大；如：利差下降，而某个产品的影响贡献度为正值时，说明该业务促进了利差的下降。</w:t>
      </w:r>
    </w:p>
    <w:p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2.“影响利差/因子利差影响值”表示：该产品或者该因子对指标变动的影响值大小。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从上面数据可以看出，在2025年二季度末，季度净利差下降17BP；从左侧的“产品大类”影响分析看，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“贷款”业务对“净利差_管理”指标的下降贡献度最大，使得“净利差_管理”季度变动下降了15.5BP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；分别从贷款的“规模”、“收益率”看，贷款规模对净利差的影响是正向的，使得“净利差_管理”上升了1.58BP，而贷款收益率使得“净利差_管理”下降了17BP。同理，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次要原因是“同业资产”规模的影响，使得“净利差_管理”下降了6.48BP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FF0000"/>
          <w:sz w:val="32"/>
          <w:szCs w:val="32"/>
          <w:lang w:val="en-US" w:eastAsia="zh-CN"/>
        </w:rPr>
        <w:t>结论：贷款收益率下降是净利差下降的主要原因，同业资产规模是净利差下降的次要原因。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0070C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疑问</w:t>
      </w:r>
      <w:r>
        <w:rPr>
          <w:rFonts w:hint="eastAsia" w:ascii="仿宋_GB2312" w:hAnsi="仿宋_GB2312" w:eastAsia="仿宋_GB2312" w:cs="仿宋_GB2312"/>
          <w:color w:val="0070C0"/>
          <w:sz w:val="32"/>
          <w:szCs w:val="32"/>
          <w:lang w:val="en-US" w:eastAsia="zh-CN"/>
        </w:rPr>
        <w:t>：1.贷款收益率下降，是风险增加导致的？还是本年新发生的业务风险偏好降低，贷款利率下降导致的？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70C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70C0"/>
          <w:sz w:val="32"/>
          <w:szCs w:val="32"/>
          <w:lang w:val="en-US" w:eastAsia="zh-CN"/>
        </w:rPr>
        <w:t>同业资产规模影响净利差，是同业资产规模收缩影响的？还是规模扩张影响的？具体是哪类同业业务影响的？</w:t>
      </w:r>
    </w:p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color w:val="C00000"/>
          <w:sz w:val="24"/>
          <w:szCs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C00000"/>
          <w:sz w:val="32"/>
          <w:szCs w:val="32"/>
          <w:lang w:val="en-US" w:eastAsia="zh-CN"/>
        </w:rPr>
        <w:t>带着上面的问题，且看下面分析。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三、由“贷款收益率下降”影响利差引发的分析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1.贷款收益率及“本年新投放贷款利率”分析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1.净利差下降初探”中可知，全行贷款收益率较年初下降10bp，较上季末下降26BP；而新投放的贷款加权平均利率较上季下降3.4BP；截止2025年6月底，本年新投放贷款余额224.56亿，全部贷款余额898.14亿，本年新投放贷款占比低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所以基于以上数据得出：利率下行，使得整体贷款收益率下行的作用比较弱，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贷款发生不良是造成“贷款收益率下降的主要原因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基于以上结论，下面对贷款的风险情况进行分析。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2.贷款业务整体风险变动情况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drawing>
          <wp:inline distT="0" distB="0" distL="114300" distR="114300">
            <wp:extent cx="4960620" cy="2849880"/>
            <wp:effectExtent l="0" t="0" r="7620" b="0"/>
            <wp:docPr id="7" name="图片 7" descr="1753059706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530597069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从“风险分析”大屏可见：在2025年6月底，全行不良贷款率、不良贷款余额较年初都有下降，整体来看，全行信用风险管控水平增强。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但从不良率趋势图可见，不良贷款率在2025年4月有较大上升，增加了0.23%，而在2025年5月到2025年6月，不良贷款率大幅下降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因贷款收益率是评估一段时间的贷款收益情况，若不良贷款在2025年二季度留存时间较长，则会很大程度影响整体二季度贷款收益率；然后具体到条线、产品进行深入分析。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outlineLvl w:val="2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3.贷款业务分条线、分产品风险情况分析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点击风险分析大屏上“不良贷款率”指标值，进入各业务条线的不良率分析界面：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tbl>
      <w:tblPr>
        <w:tblStyle w:val="3"/>
        <w:tblW w:w="8519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069"/>
        <w:gridCol w:w="1845"/>
        <w:gridCol w:w="1565"/>
        <w:gridCol w:w="1297"/>
        <w:gridCol w:w="11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贷款余额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不良贷款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条线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贷款余额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不良贷款余额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较年初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不良贷款率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AF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55A4A1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55A4A1"/>
                <w:kern w:val="0"/>
                <w:sz w:val="21"/>
                <w:szCs w:val="21"/>
                <w:u w:val="none"/>
                <w:lang w:val="en-US" w:eastAsia="zh-CN" w:bidi="ar"/>
              </w:rPr>
              <w:t>较年初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公司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654.04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5.54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-1.14 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0.85%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-0.24%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零售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59.11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1.09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0.28 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1.85%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普惠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168.45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2.95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0.61 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1.75%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贴现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16.54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0.00%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FFF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898.14 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9.58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-0.26 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1.07%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-0.11%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对近三期季末的各条线不良贷款率进行统计分析，发现：公司条线（不含贴现）不良贷款率近三个季度末呈下降态势，下降0.24%；零售条线不良贷款率呈上升态势，上升0.4%；普惠条线不良贷款率变动较小。</w:t>
      </w:r>
    </w:p>
    <w:p>
      <w:pPr>
        <w:numPr>
          <w:ilvl w:val="0"/>
          <w:numId w:val="0"/>
        </w:numPr>
        <w:ind w:firstLine="420" w:firstLineChars="200"/>
      </w:pPr>
      <w:bookmarkStart w:id="0" w:name="_GoBack"/>
      <w:r>
        <w:drawing>
          <wp:inline distT="0" distB="0" distL="114300" distR="114300">
            <wp:extent cx="5271770" cy="2331720"/>
            <wp:effectExtent l="0" t="0" r="5080" b="11430"/>
            <wp:docPr id="17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在上面的“分条线不良贷款情况表”界面，点击带有下划线的“公司”字样，进入公司条线各产品的不良贷款情况分析。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现对各个条线贷款产品风险异常情况整理如下：公司条线有三款产品不良率波动较大，其中“银行承兑汇票垫款”、“国内信用证垫款”不良率飙升，“房地产开发贷款”不良率显著下降，但“不良贷款额减少幅度”与“贷款余额减少幅度”差异不大，猜测是2025年二季度处理了1.8亿不良，使得“房地产开发贷款”产品不良率骤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零售条线一手房、二手房按揭贷款及“泰众贷”产品的不良率有增长趋势。</w:t>
      </w:r>
    </w:p>
    <w:tbl>
      <w:tblPr>
        <w:tblStyle w:val="3"/>
        <w:tblW w:w="85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2106"/>
        <w:gridCol w:w="1476"/>
        <w:gridCol w:w="1896"/>
        <w:gridCol w:w="16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业务条线</w:t>
            </w:r>
          </w:p>
        </w:tc>
        <w:tc>
          <w:tcPr>
            <w:tcW w:w="21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506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季度变化值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不良率较上季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不良贷款额较上季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贷款余额较上季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公司条线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银行承兑汇票垫款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89.72%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1.56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国内信用证垫款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77.38%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1.70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房地产开发贷款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-7.83%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-1.81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零售条线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个人一手房按揭贷款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0.02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个人二手房按揭贷款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0.07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泰众贷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0.25%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0.01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1.03 </w:t>
            </w:r>
          </w:p>
        </w:tc>
      </w:tr>
    </w:tbl>
    <w:p>
      <w:pPr>
        <w:numPr>
          <w:ilvl w:val="0"/>
          <w:numId w:val="0"/>
        </w:numPr>
        <w:ind w:firstLine="400" w:firstLineChars="20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注：以2025.6.30与2025.3.31数据进行比较。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下面针对上述风险异常的贷款产品，分析其贷款收益率波动情况：</w:t>
      </w:r>
    </w:p>
    <w:tbl>
      <w:tblPr>
        <w:tblStyle w:val="3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2297"/>
        <w:gridCol w:w="1978"/>
        <w:gridCol w:w="1500"/>
        <w:gridCol w:w="16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业务条线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贷款收益率-20250630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贷款收益率-20250331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收益率变动（BP）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公司条线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银行承兑汇票垫款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1.00%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15.15%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  <w:t>1415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国内信用证垫款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>6.58%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16.98% 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  <w:lang w:val="en-US" w:eastAsia="zh-CN"/>
              </w:rPr>
              <w:t>-1040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房地产开发贷款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3.68%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6.93%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-324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零售条线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个人一手房按揭贷款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3.15%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3.20%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个人二手房按揭贷款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3.01%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3.06%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9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泰众贷</w:t>
            </w:r>
          </w:p>
        </w:tc>
        <w:tc>
          <w:tcPr>
            <w:tcW w:w="1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343D5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343D50"/>
                <w:kern w:val="0"/>
                <w:sz w:val="21"/>
                <w:szCs w:val="21"/>
                <w:u w:val="none"/>
                <w:lang w:val="en-US" w:eastAsia="zh-CN" w:bidi="ar"/>
              </w:rPr>
              <w:t>6.32%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7.15%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-83.72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公司条线产品收益分析：公司条线的“</w:t>
      </w:r>
      <w:r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银行承兑汇票垫款”、“国内信用证垫款”、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“房地产开发贷款”产品，收益率较上季末下降幅度较大，印证了上面得推测：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公司条线不良贷款增加使得贷款收益率下降幅度较大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；同时，“房地产开发贷款”产品的不良贷款留存时间长，影响整个季度的贷款收益率，行方也为了及时止损、降低整体不良率，在二季度末前处理公司不良贷款，使得整体不良率呈下降态势。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零售条线产品收益分析：零售条线的“泰众贷”产品收益率下降比较明显，二季度末较一季度末下降83.72BP。该产品对新投放贷款利率呈下降趋势，猜测是不良率有上升趋势，行方调整该产品的授信通过率策略，降低该产品的风险偏好，使得整体收益率呈下降态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结合公司条线及零售条线房地产行业的贷款风险、收益情况，行方可适度调整增量业务的贷款发放策略。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lang w:val="en-US" w:eastAsia="zh-CN"/>
        </w:rPr>
        <w:t>结论：公司条线贷款收益率下降幅度大，且规模占比高，公司条线的贷款收益率是全行贷款收益率下降的主要原因，即公司条线的“银行承兑汇票垫款”、“国内信用证垫款”、“房地产开发贷款”的不良增加是全行贷款收益率下降的主要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四、由“同业资产规模”影响利差引发的分析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接上面“2.净利差归因分析”提出的“疑问2”，分析同业资产规模是扩张还是收缩对净利差的影响。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从“规模分析”大屏可知，总资产“较年初”增长了152.96亿，点“总资产”指标值，进入下钻界面，分析各类资产的变化情况：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各类资产业务结构占比表</w:t>
      </w:r>
    </w:p>
    <w:tbl>
      <w:tblPr>
        <w:tblStyle w:val="3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734"/>
        <w:gridCol w:w="1404"/>
        <w:gridCol w:w="1231"/>
        <w:gridCol w:w="1405"/>
        <w:gridCol w:w="10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余额（亿元）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6.30资产占比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截止6.30本年增量占比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较年初增幅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贷款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公司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654.04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44.43%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23.84%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5.91%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零售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59.11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4.02%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1.86%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普惠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168.45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11.44%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17.40%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18.77%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贴现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16.54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1.12%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-1.21%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-10.09%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同业资产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存放同业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12.90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0.88%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2.75%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-5080</wp:posOffset>
                      </wp:positionV>
                      <wp:extent cx="658495" cy="815975"/>
                      <wp:effectExtent l="6350" t="6350" r="20955" b="1587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22800" y="6055360"/>
                                <a:ext cx="658495" cy="8159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-4.3pt;margin-top:-0.4pt;height:64.25pt;width:51.85pt;z-index:251663360;v-text-anchor:middle;mso-width-relative:page;mso-height-relative:page;" filled="f" stroked="t" coordsize="21600,21600" o:gfxdata="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6EKMzT&#10;AAAABwEAAA8AAAAAAAAAAQAgAAAAIgAAAGRycy9kb3ducmV2LnhtbFBLAQIUABQAAAAIAIdO4kAn&#10;CF5eXgIAAIsEAAAOAAAAAAAAAAEAIAAAACIBAABkcnMvZTJvRG9jLnhtbFBLBQYAAAAABgAGAFkB&#10;AADyBQAAAAA=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48.48%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买入返售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7.98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2.60%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99.50%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同业存单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45.92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3.12%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28.72%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2208.73%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拆放同业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投资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投资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373.51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25.37%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19.87%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存放中央银行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存放中央银行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99.39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6.75%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7.01%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12.09%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各项资产减值损失准备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各项资产减值损失准备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28.33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1.92%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2.70%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17.06%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其他资产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其他资产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34.24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2.33%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-2.84%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-11.27%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1472.08 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100.00%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100.00%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11.59%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从上表可以看出，“同业资产”较年初都呈增长态势，且“同业存单”业务增长幅度高达2208.73%。基于以上数据可以得出：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lang w:val="en-US" w:eastAsia="zh-CN"/>
        </w:rPr>
        <w:t>同业资产规模扩张，是使得“净利差”指标下降的次要原因；其中的“投资同业存单”业务规模显著扩张影响最大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结合同业资产收益率进行分析，从下表可见，收益率呈下降趋势；同业资产规模又大幅扩张，使得整体的“净利差”下降。</w:t>
      </w:r>
    </w:p>
    <w:tbl>
      <w:tblPr>
        <w:tblStyle w:val="3"/>
        <w:tblW w:w="606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262"/>
        <w:gridCol w:w="1120"/>
        <w:gridCol w:w="11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日期</w:t>
            </w:r>
          </w:p>
        </w:tc>
        <w:tc>
          <w:tcPr>
            <w:tcW w:w="1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20241231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20250331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20250630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同业资产收益率_年</w:t>
            </w:r>
          </w:p>
        </w:tc>
        <w:tc>
          <w:tcPr>
            <w:tcW w:w="1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1.68%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1.62%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投资同业存单收益率_年</w:t>
            </w:r>
          </w:p>
        </w:tc>
        <w:tc>
          <w:tcPr>
            <w:tcW w:w="1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2.12%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1.65%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1.71%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从上面的“各类资产业务结构占比表”：“2025.6.30时点的各类资产占比”与“截止6.30本年增量占比”比较发现，2025年资产配置出现结构性调整，“贷款”及“投资”业务配置减少，“同业资产”配置增多。这种情况出现，或许是行方目前资金头寸比较充足，没有更为合适的中长期资产投放，转而投向短期同业资产，待时机合适时，也方便及时从同业资产转向其他投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五、智慧分析决策平台其他应用场景列表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4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FEF2CC" w:themeFill="accent4" w:themeFillTint="32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场景描述</w:t>
            </w:r>
          </w:p>
        </w:tc>
        <w:tc>
          <w:tcPr>
            <w:tcW w:w="4997" w:type="dxa"/>
            <w:shd w:val="clear" w:color="auto" w:fill="FEF2CC" w:themeFill="accent4" w:themeFillTint="32"/>
          </w:tcPr>
          <w:p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平台提供数据支撑位置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1.资产规模大幅增长，哪类资产增长速度较快？与年初指定的资产负债结构调整方向是否一致？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（1）数据大屏--&gt;“经营概况-规模分析”--&gt;总资产指标下钻界面--资产分布结构表，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（2）数据大屏--&gt;“经营概况-规模分析”--&gt;“资产构成情况”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2.净利润较去年同期增幅较大，是营收增长过快？还是成本管控得好？具体哪类业务营收增幅较大/哪类成本控制效果较好？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数据大屏--&gt;“经营分析-效益关键指标分析”--&gt;净利润分析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3.受宏观经济下行压力影响，银行业净息差收窄，经营策略逐步加大中间业务投入，现在成果如何？各条线的执行情况如何？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（1）数据大屏--&gt;“经营分析-盈利分析”--&gt;营业收入结构分析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（2）数据大屏--&gt;“经营分析-盈利分析”--&gt;“手续费及佣金净收入下钻界面--”中间业务收入结构表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4.山东省内同业经营情况怎样？月末存款、贷款增速排名如何？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数据大屏--&gt;“经营分析-同业关键指标对比分析”--&gt;总体情况指标排名情况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5.月底当天，想及时了解下当前实时存款余额、实时贷款余额，离月初指定的目标有多少差距？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数据大屏--&gt;“经营分析-实时业务概况”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6.零售条线的借记卡发卡情况如何？今年大力推行的社保卡发卡量有多少？带来多少客户资产？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仪表板--&gt;“零售银行总部智慧分析看板”--&gt;“借记卡分析”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7.我行的零售客户有多大规模？零售客户中主要是哪些年龄段的客群贡献大部分资产？</w:t>
            </w:r>
          </w:p>
        </w:tc>
        <w:tc>
          <w:tcPr>
            <w:tcW w:w="4997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仪表板--&gt;“零售银行总部智慧分析看板”--&gt;“零售客户概要”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8.国家大力推行普惠金融，我行客户经理在推行普惠金融方面的产能如何？各管辖行是否有明显差异？</w:t>
            </w:r>
          </w:p>
        </w:tc>
        <w:tc>
          <w:tcPr>
            <w:tcW w:w="49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仪表板--&gt;“普惠金融部智慧分析看板”--&gt;“产能分析”--有贷客户经理人均管户、有贷客户经理人均贷款余额等指标体现。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9.银行现在是面临“资产荒”还是“负债荒”？</w:t>
            </w:r>
          </w:p>
        </w:tc>
        <w:tc>
          <w:tcPr>
            <w:tcW w:w="499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结合“经营概况-规模分析”大屏、“利率概况-利率分析”大屏、“风险主题-风险分析”大屏数据情况整体分析。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D0E24"/>
    <w:multiLevelType w:val="singleLevel"/>
    <w:tmpl w:val="0BDD0E2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A0487"/>
    <w:rsid w:val="00692662"/>
    <w:rsid w:val="02A47361"/>
    <w:rsid w:val="02BE598D"/>
    <w:rsid w:val="031D46A0"/>
    <w:rsid w:val="07707C17"/>
    <w:rsid w:val="077E62DB"/>
    <w:rsid w:val="082F067D"/>
    <w:rsid w:val="09CF6AA4"/>
    <w:rsid w:val="0A67379F"/>
    <w:rsid w:val="0B034DA3"/>
    <w:rsid w:val="0B123C38"/>
    <w:rsid w:val="0D23109A"/>
    <w:rsid w:val="0D6719D8"/>
    <w:rsid w:val="0D9E4FFE"/>
    <w:rsid w:val="0F0E1EBF"/>
    <w:rsid w:val="0F3473B8"/>
    <w:rsid w:val="113A52E7"/>
    <w:rsid w:val="126976C2"/>
    <w:rsid w:val="12790642"/>
    <w:rsid w:val="12FA11B0"/>
    <w:rsid w:val="14A127E5"/>
    <w:rsid w:val="14E51FD5"/>
    <w:rsid w:val="155E1C9F"/>
    <w:rsid w:val="15C23F41"/>
    <w:rsid w:val="15C53AFD"/>
    <w:rsid w:val="17AF2468"/>
    <w:rsid w:val="17C03A07"/>
    <w:rsid w:val="17F76BBA"/>
    <w:rsid w:val="19473877"/>
    <w:rsid w:val="19914CE5"/>
    <w:rsid w:val="1AF652E7"/>
    <w:rsid w:val="1CB51EA5"/>
    <w:rsid w:val="1D5068F0"/>
    <w:rsid w:val="1D7644E2"/>
    <w:rsid w:val="1DE364A8"/>
    <w:rsid w:val="1E857F22"/>
    <w:rsid w:val="1EAD1FE0"/>
    <w:rsid w:val="200B451D"/>
    <w:rsid w:val="213C3913"/>
    <w:rsid w:val="2161236A"/>
    <w:rsid w:val="22EE45DF"/>
    <w:rsid w:val="22FF6A77"/>
    <w:rsid w:val="232102B1"/>
    <w:rsid w:val="23241DBF"/>
    <w:rsid w:val="239372EB"/>
    <w:rsid w:val="251A19D7"/>
    <w:rsid w:val="263A2A32"/>
    <w:rsid w:val="28AB4A44"/>
    <w:rsid w:val="2AD94492"/>
    <w:rsid w:val="2B0A5828"/>
    <w:rsid w:val="2C9C273B"/>
    <w:rsid w:val="2CF30BCC"/>
    <w:rsid w:val="2DAA0557"/>
    <w:rsid w:val="2E4D5985"/>
    <w:rsid w:val="2E922BF6"/>
    <w:rsid w:val="2F0476B2"/>
    <w:rsid w:val="2F5876D7"/>
    <w:rsid w:val="2FEE50B1"/>
    <w:rsid w:val="335C43EB"/>
    <w:rsid w:val="33797B81"/>
    <w:rsid w:val="33C2127A"/>
    <w:rsid w:val="33CC256D"/>
    <w:rsid w:val="3432150F"/>
    <w:rsid w:val="34890BD2"/>
    <w:rsid w:val="350F0F1C"/>
    <w:rsid w:val="352A0058"/>
    <w:rsid w:val="362E111F"/>
    <w:rsid w:val="373D250E"/>
    <w:rsid w:val="37BE2D84"/>
    <w:rsid w:val="38CC1C3C"/>
    <w:rsid w:val="38D812D2"/>
    <w:rsid w:val="39C3680F"/>
    <w:rsid w:val="3A4C0E33"/>
    <w:rsid w:val="3AD24910"/>
    <w:rsid w:val="3B510558"/>
    <w:rsid w:val="3C6D59DC"/>
    <w:rsid w:val="3C872CDC"/>
    <w:rsid w:val="3D90570D"/>
    <w:rsid w:val="3DC1395E"/>
    <w:rsid w:val="3DD6614F"/>
    <w:rsid w:val="3ED2701E"/>
    <w:rsid w:val="3F0D6823"/>
    <w:rsid w:val="3F0E5489"/>
    <w:rsid w:val="40F10964"/>
    <w:rsid w:val="412F2700"/>
    <w:rsid w:val="41B90FE0"/>
    <w:rsid w:val="41D31132"/>
    <w:rsid w:val="42705E47"/>
    <w:rsid w:val="43174FC5"/>
    <w:rsid w:val="437B2307"/>
    <w:rsid w:val="43CA7AC6"/>
    <w:rsid w:val="43EE6A01"/>
    <w:rsid w:val="44ED5C50"/>
    <w:rsid w:val="47FA4CC4"/>
    <w:rsid w:val="48680D76"/>
    <w:rsid w:val="49134447"/>
    <w:rsid w:val="49233A8B"/>
    <w:rsid w:val="49D04EA8"/>
    <w:rsid w:val="4D2A13A7"/>
    <w:rsid w:val="4E8D576B"/>
    <w:rsid w:val="50C4668F"/>
    <w:rsid w:val="50F413DD"/>
    <w:rsid w:val="517E26E6"/>
    <w:rsid w:val="530A62D3"/>
    <w:rsid w:val="545974F0"/>
    <w:rsid w:val="54F860F5"/>
    <w:rsid w:val="55CB443F"/>
    <w:rsid w:val="56CB2907"/>
    <w:rsid w:val="574B4DF5"/>
    <w:rsid w:val="59140133"/>
    <w:rsid w:val="59F27755"/>
    <w:rsid w:val="5A142254"/>
    <w:rsid w:val="5A685562"/>
    <w:rsid w:val="5AB70B64"/>
    <w:rsid w:val="5CED4C6D"/>
    <w:rsid w:val="5E0A1E55"/>
    <w:rsid w:val="5EA858CB"/>
    <w:rsid w:val="5F9F2DB2"/>
    <w:rsid w:val="6045177F"/>
    <w:rsid w:val="61393311"/>
    <w:rsid w:val="626F7B0B"/>
    <w:rsid w:val="655465DA"/>
    <w:rsid w:val="65E76E3D"/>
    <w:rsid w:val="66B17B8A"/>
    <w:rsid w:val="67706CC4"/>
    <w:rsid w:val="68010AE0"/>
    <w:rsid w:val="68220CE6"/>
    <w:rsid w:val="699356C4"/>
    <w:rsid w:val="6C61455E"/>
    <w:rsid w:val="6CD51D95"/>
    <w:rsid w:val="6DF758F9"/>
    <w:rsid w:val="6E8509E0"/>
    <w:rsid w:val="6EAE3DA2"/>
    <w:rsid w:val="6F792572"/>
    <w:rsid w:val="6F93311C"/>
    <w:rsid w:val="6FCE54FF"/>
    <w:rsid w:val="7171012E"/>
    <w:rsid w:val="718B0B4C"/>
    <w:rsid w:val="727950DD"/>
    <w:rsid w:val="72DA5234"/>
    <w:rsid w:val="73100AD4"/>
    <w:rsid w:val="73C86084"/>
    <w:rsid w:val="755455D2"/>
    <w:rsid w:val="785F0C18"/>
    <w:rsid w:val="7A6F523E"/>
    <w:rsid w:val="7B3F45C1"/>
    <w:rsid w:val="7B943CCB"/>
    <w:rsid w:val="7BE63AD5"/>
    <w:rsid w:val="7C0242FF"/>
    <w:rsid w:val="7D1F7055"/>
    <w:rsid w:val="7D2E5FEB"/>
    <w:rsid w:val="7D6342C7"/>
    <w:rsid w:val="7E1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无间隔1"/>
    <w:qFormat/>
    <w:uiPriority w:val="1"/>
    <w:rPr>
      <w:rFonts w:ascii="仿宋_GB2312" w:hAnsi="等线" w:eastAsia="仿宋_GB2312" w:cs="Times New Roman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23&#32463;&#20998;&#31995;&#32479;&#39033;&#30446;\&#38656;&#27714;&#27807;&#36890;\&#39033;&#30446;&#24635;&#32467;&#25253;&#21578;--&#19994;&#21153;&#35270;&#35282;\&#25351;&#26631;&#32467;&#26524;&#23548;&#20986;-2025063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'[指标结果导出-20250630.xlsx]2.2贷款各产品不良数据分析'!$A$29</c:f>
              <c:strCache>
                <c:ptCount val="1"/>
                <c:pt idx="0">
                  <c:v>公司不良贷款率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'[指标结果导出-20250630.xlsx]2.2贷款各产品不良数据分析'!$B$28:$D$28</c:f>
              <c:numCache>
                <c:formatCode>General</c:formatCode>
                <c:ptCount val="3"/>
                <c:pt idx="0">
                  <c:v>20241231</c:v>
                </c:pt>
                <c:pt idx="1">
                  <c:v>20250331</c:v>
                </c:pt>
                <c:pt idx="2">
                  <c:v>20250630</c:v>
                </c:pt>
              </c:numCache>
            </c:numRef>
          </c:cat>
          <c:val>
            <c:numRef>
              <c:f>'[指标结果导出-20250630.xlsx]2.2贷款各产品不良数据分析'!$B$29:$D$29</c:f>
              <c:numCache>
                <c:formatCode>0.00%</c:formatCode>
                <c:ptCount val="3"/>
                <c:pt idx="0">
                  <c:v>0.01082</c:v>
                </c:pt>
                <c:pt idx="1">
                  <c:v>0.009594</c:v>
                </c:pt>
                <c:pt idx="2">
                  <c:v>0.008469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'[指标结果导出-20250630.xlsx]2.2贷款各产品不良数据分析'!$A$30</c:f>
              <c:strCache>
                <c:ptCount val="1"/>
                <c:pt idx="0">
                  <c:v>普惠不良贷款率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'[指标结果导出-20250630.xlsx]2.2贷款各产品不良数据分析'!$B$28:$D$28</c:f>
              <c:numCache>
                <c:formatCode>General</c:formatCode>
                <c:ptCount val="3"/>
                <c:pt idx="0">
                  <c:v>20241231</c:v>
                </c:pt>
                <c:pt idx="1">
                  <c:v>20250331</c:v>
                </c:pt>
                <c:pt idx="2">
                  <c:v>20250630</c:v>
                </c:pt>
              </c:numCache>
            </c:numRef>
          </c:cat>
          <c:val>
            <c:numRef>
              <c:f>'[指标结果导出-20250630.xlsx]2.2贷款各产品不良数据分析'!$B$30:$D$30</c:f>
              <c:numCache>
                <c:formatCode>0.00%</c:formatCode>
                <c:ptCount val="3"/>
                <c:pt idx="0">
                  <c:v>0.016538</c:v>
                </c:pt>
                <c:pt idx="1">
                  <c:v>0.01759</c:v>
                </c:pt>
                <c:pt idx="2">
                  <c:v>0.017527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'[指标结果导出-20250630.xlsx]2.2贷款各产品不良数据分析'!$A$31</c:f>
              <c:strCache>
                <c:ptCount val="1"/>
                <c:pt idx="0">
                  <c:v>零售不良贷款率（含信用卡）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'[指标结果导出-20250630.xlsx]2.2贷款各产品不良数据分析'!$B$28:$D$28</c:f>
              <c:numCache>
                <c:formatCode>General</c:formatCode>
                <c:ptCount val="3"/>
                <c:pt idx="0">
                  <c:v>20241231</c:v>
                </c:pt>
                <c:pt idx="1">
                  <c:v>20250331</c:v>
                </c:pt>
                <c:pt idx="2">
                  <c:v>20250630</c:v>
                </c:pt>
              </c:numCache>
            </c:numRef>
          </c:cat>
          <c:val>
            <c:numRef>
              <c:f>'[指标结果导出-20250630.xlsx]2.2贷款各产品不良数据分析'!$B$31:$D$31</c:f>
              <c:numCache>
                <c:formatCode>0.00%</c:formatCode>
                <c:ptCount val="3"/>
                <c:pt idx="0">
                  <c:v>0.01443</c:v>
                </c:pt>
                <c:pt idx="1">
                  <c:v>0.016818</c:v>
                </c:pt>
                <c:pt idx="2">
                  <c:v>0.018462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'[指标结果导出-20250630.xlsx]2.2贷款各产品不良数据分析'!$A$32</c:f>
              <c:strCache>
                <c:ptCount val="1"/>
                <c:pt idx="0">
                  <c:v>贴现不良率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'[指标结果导出-20250630.xlsx]2.2贷款各产品不良数据分析'!$B$28:$D$28</c:f>
              <c:numCache>
                <c:formatCode>General</c:formatCode>
                <c:ptCount val="3"/>
                <c:pt idx="0">
                  <c:v>20241231</c:v>
                </c:pt>
                <c:pt idx="1">
                  <c:v>20250331</c:v>
                </c:pt>
                <c:pt idx="2">
                  <c:v>20250630</c:v>
                </c:pt>
              </c:numCache>
            </c:numRef>
          </c:cat>
          <c:val>
            <c:numRef>
              <c:f>'[指标结果导出-20250630.xlsx]2.2贷款各产品不良数据分析'!$B$32:$D$32</c:f>
              <c:numCache>
                <c:formatCode>0.00%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577388951"/>
        <c:axId val="790229850"/>
      </c:lineChart>
      <c:catAx>
        <c:axId val="57738895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90229850"/>
        <c:crosses val="autoZero"/>
        <c:auto val="1"/>
        <c:lblAlgn val="ctr"/>
        <c:lblOffset val="100"/>
        <c:noMultiLvlLbl val="0"/>
      </c:catAx>
      <c:valAx>
        <c:axId val="790229850"/>
        <c:scaling>
          <c:orientation val="minMax"/>
          <c:min val="0.00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7388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2025-07-08T05:45:00Z</dcterms:created>
  <dc:creator>wangll01</dc:creator>
  <cp:lastModifiedBy>tiany</cp:lastModifiedBy>
  <dcterms:modified xsi:type="dcterms:W3CDTF">2025-07-30T09:05:13Z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95018792FF2E494881CFAD374776DA44</vt:lpwstr>
  </property>
</Properties>
</file>