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t xml:space="preserve">依托</w:t>
      </w:r>
      <w:r>
        <w:rPr>
          <w:rFonts w:hint="eastAsia" w:ascii="黑体" w:hAnsi="黑体" w:eastAsia="黑体"/>
          <w:b/>
          <w:bCs/>
          <w:color w:val="000000"/>
          <w:sz w:val="36"/>
          <w:szCs w:val="36"/>
        </w:rPr>
        <w:t xml:space="preserve">雷</w:t>
      </w:r>
      <w:r>
        <w:rPr>
          <w:rFonts w:hint="eastAsia" w:ascii="黑体" w:hAnsi="黑体" w:eastAsia="黑体"/>
          <w:b/>
          <w:bCs/>
          <w:color w:val="000000"/>
          <w:sz w:val="36"/>
          <w:szCs w:val="36"/>
        </w:rPr>
        <w:t xml:space="preserve">雷</w:t>
      </w: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outlineLvl w:val="0"/>
        <w:rPr>
          <w:rFonts w:ascii="黑体" w:hAnsi="黑体" w:eastAsia="黑体"/>
          <w:b/>
          <w:bCs/>
          <w:color w:val="000000"/>
          <w:sz w:val="36"/>
          <w:szCs w:val="36"/>
        </w:rPr>
      </w:pPr>
      <w:r>
        <w:rPr>
          <w:rFonts w:hint="eastAsia" w:ascii="黑体" w:hAnsi="黑体" w:eastAsia="黑体"/>
          <w:b/>
          <w:bCs/>
          <w:color w:val="000000"/>
          <w:sz w:val="36"/>
          <w:szCs w:val="36"/>
        </w:rPr>
        <w:t xml:space="preserve">泰安银行</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 </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 </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w:t>
      </w:r>
      <w:r>
        <w:rPr>
          <w:rFonts w:hint="eastAsia" w:ascii="黑体" w:hAnsi="黑体" w:eastAsia="黑体"/>
          <w:b/>
          <w:bCs/>
          <w:color w:val="000000"/>
          <w:sz w:val="36"/>
          <w:szCs w:val="36"/>
        </w:rPr>
        <w:t xml:space="preserve">3 </w:t>
      </w:r>
      <w:r>
        <w:rPr>
          <w:rFonts w:hint="eastAsia" w:ascii="黑体" w:hAnsi="黑体" w:eastAsia="黑体"/>
          <w:b/>
          <w:bCs/>
          <w:color w:val="000000"/>
          <w:sz w:val="36"/>
          <w:szCs w:val="36"/>
        </w:rPr>
        <w:t xml:space="preserve">1</w:t>
      </w:r>
      <w:r>
        <w:rPr>
          <w:rFonts w:hint="eastAsia" w:ascii="黑体" w:hAnsi="黑体" w:eastAsia="黑体"/>
          <w:b/>
          <w:bCs/>
          <w:color w:val="000000"/>
          <w:sz w:val="36"/>
          <w:szCs w:val="36"/>
        </w:rPr>
        <w:t xml:space="preserve">2 </w:t>
      </w:r>
      <w:r>
        <w:rPr>
          <w:rFonts w:hint="eastAsia" w:ascii="黑体" w:hAnsi="黑体" w:eastAsia="黑体"/>
          <w:b/>
          <w:bCs/>
          <w:color w:val="000000"/>
          <w:sz w:val="36"/>
          <w:szCs w:val="36"/>
        </w:rPr>
        <w:t xml:space="preserve">2 </w:t>
      </w:r>
      <w:r>
        <w:rPr>
          <w:rFonts w:ascii="黑体" w:hAnsi="黑体" w:eastAsia="黑体"/>
          <w:b/>
          <w:bCs/>
          <w:color w:val="000000"/>
          <w:sz w:val="36"/>
          <w:szCs w:val="36"/>
        </w:rPr>
      </w:r>
    </w:p>
    <w:p>
      <w:pPr>
        <w:pBdr/>
        <w:spacing w:line="360" w:lineRule="auto"/>
        <w:ind/>
        <w:jc w:val="center"/>
        <w:outlineLvl w:val="0"/>
        <w:rPr>
          <w:rFonts w:ascii="黑体" w:hAnsi="黑体" w:eastAsia="黑体"/>
          <w:color w:val="000000"/>
          <w:sz w:val="36"/>
          <w:szCs w:val="36"/>
        </w:rPr>
      </w:pPr>
      <w:r>
        <w:rPr>
          <w:rFonts w:hint="eastAsia" w:ascii="黑体" w:hAnsi="黑体" w:eastAsia="黑体"/>
          <w:b/>
          <w:bCs/>
          <w:color w:val="000000"/>
          <w:sz w:val="36"/>
          <w:szCs w:val="36"/>
        </w:rPr>
        <w:t xml:space="preserve">信息科技</w:t>
      </w:r>
      <w:r>
        <w:rPr>
          <w:rFonts w:hint="eastAsia" w:ascii="黑体" w:hAnsi="黑体" w:eastAsia="黑体"/>
          <w:b/>
          <w:bCs/>
          <w:color w:val="000000"/>
          <w:sz w:val="36"/>
          <w:szCs w:val="36"/>
          <w:lang w:eastAsia="zh-CN"/>
        </w:rPr>
        <w:t xml:space="preserve">技术</w:t>
      </w:r>
      <w:r>
        <w:rPr>
          <w:rFonts w:hint="eastAsia" w:ascii="黑体" w:hAnsi="黑体" w:eastAsia="黑体"/>
          <w:b/>
          <w:bCs/>
          <w:color w:val="000000"/>
          <w:sz w:val="36"/>
          <w:szCs w:val="36"/>
        </w:rPr>
        <w:t xml:space="preserve">开发合同</w:t>
      </w:r>
      <w:r>
        <w:rPr>
          <w:rFonts w:ascii="黑体" w:hAnsi="黑体" w:eastAsia="黑体"/>
          <w:color w:val="000000"/>
          <w:sz w:val="36"/>
          <w:szCs w:val="36"/>
        </w:rPr>
      </w:r>
    </w:p>
    <w:p>
      <w:pPr>
        <w:pBdr/>
        <w:spacing w:line="360" w:lineRule="auto"/>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line="360" w:lineRule="auto"/>
        <w:ind w:right="-31"/>
        <w:outlineLvl w:val="0"/>
        <w:rPr>
          <w:rFonts w:ascii="仿宋_GB2312" w:hAnsi="宋体" w:eastAsia="仿宋_GB2312"/>
          <w:b w:val="0"/>
          <w:bCs w:val="0"/>
          <w:color w:val="000000"/>
          <w:sz w:val="30"/>
          <w:szCs w:val="30"/>
          <w:u w:val="single"/>
        </w:rPr>
      </w:pPr>
      <w:r>
        <w:rPr>
          <w:rFonts w:hint="eastAsia" w:ascii="仿宋_GB2312" w:hAnsi="宋体" w:eastAsia="仿宋_GB2312"/>
          <w:b/>
          <w:bCs/>
          <w:color w:val="000000"/>
          <w:sz w:val="30"/>
          <w:szCs w:val="30"/>
        </w:rPr>
        <w:t xml:space="preserve">项目名称：</w:t>
      </w:r>
      <w:r>
        <w:rPr>
          <w:rFonts w:hint="eastAsia" w:ascii="仿宋_GB2312" w:hAnsi="宋体" w:eastAsia="仿宋_GB2312"/>
          <w:b w:val="0"/>
          <w:bCs w:val="0"/>
          <w:color w:val="000000"/>
          <w:sz w:val="30"/>
          <w:szCs w:val="30"/>
          <w:u w:val="single"/>
          <w:lang w:eastAsia="zh-CN"/>
        </w:rPr>
        <w:t xml:space="preserve">泰安银行IPA基层减负流程优化项目</w:t>
      </w:r>
      <w:r>
        <w:rPr>
          <w:rFonts w:ascii="仿宋_GB2312" w:hAnsi="宋体" w:eastAsia="仿宋_GB2312"/>
          <w:b w:val="0"/>
          <w:bCs w:val="0"/>
          <w:color w:val="000000"/>
          <w:sz w:val="30"/>
          <w:szCs w:val="30"/>
          <w:u w:val="single"/>
        </w:rPr>
      </w:r>
    </w:p>
    <w:p>
      <w:pPr>
        <w:pBdr/>
        <w:spacing w:line="360" w:lineRule="auto"/>
        <w:ind w:right="-15"/>
        <w:outlineLvl w:val="0"/>
        <w:rPr>
          <w:rFonts w:ascii="仿宋_GB2312" w:hAnsi="宋体" w:eastAsia="仿宋_GB2312"/>
          <w:color w:val="000000"/>
          <w:sz w:val="30"/>
          <w:szCs w:val="30"/>
          <w:u w:val="single"/>
        </w:rPr>
      </w:pPr>
      <w:r>
        <w:rPr>
          <w:rFonts w:hint="eastAsia" w:ascii="仿宋_GB2312" w:hAnsi="宋体" w:eastAsia="仿宋_GB2312"/>
          <w:b/>
          <w:bCs/>
          <w:color w:val="000000"/>
          <w:sz w:val="30"/>
          <w:szCs w:val="30"/>
        </w:rPr>
        <w:t xml:space="preserve">委托方（甲方）：</w:t>
      </w:r>
      <w:r>
        <w:rPr>
          <w:rFonts w:hint="eastAsia" w:ascii="仿宋_GB2312" w:hAnsi="宋体" w:eastAsia="仿宋_GB2312"/>
          <w:color w:val="000000"/>
          <w:sz w:val="30"/>
          <w:szCs w:val="30"/>
          <w:u w:val="single"/>
        </w:rPr>
        <w:t xml:space="preserve">泰安银行股份有限公司</w:t>
      </w:r>
      <w:r>
        <w:rPr>
          <w:rFonts w:ascii="仿宋_GB2312" w:hAnsi="宋体" w:eastAsia="仿宋_GB2312"/>
          <w:color w:val="000000"/>
          <w:sz w:val="30"/>
          <w:szCs w:val="30"/>
          <w:u w:val="single"/>
        </w:rPr>
      </w:r>
    </w:p>
    <w:p>
      <w:pPr>
        <w:pBdr/>
        <w:spacing w:line="360" w:lineRule="auto"/>
        <w:ind w:right="-15"/>
        <w:outlineLvl w:val="0"/>
        <w:rPr>
          <w:rFonts w:hint="eastAsia" w:ascii="仿宋_GB2312" w:hAnsi="宋体" w:eastAsia="仿宋_GB2312"/>
          <w:b/>
          <w:bCs/>
          <w:color w:val="000000"/>
          <w:sz w:val="30"/>
          <w:szCs w:val="30"/>
        </w:rPr>
      </w:pPr>
      <w:r>
        <w:rPr>
          <w:rFonts w:hint="eastAsia" w:ascii="仿宋_GB2312" w:hAnsi="宋体" w:eastAsia="仿宋_GB2312"/>
          <w:b/>
          <w:bCs/>
          <w:color w:val="000000"/>
          <w:sz w:val="30"/>
          <w:szCs w:val="30"/>
        </w:rPr>
        <w:t xml:space="preserve">受托方（乙方）：</w:t>
      </w:r>
      <w:r>
        <w:rPr>
          <w:rFonts w:hint="eastAsia" w:ascii="仿宋_GB2312" w:hAnsi="宋体" w:eastAsia="仿宋_GB2312"/>
          <w:color w:val="000000"/>
          <w:sz w:val="30"/>
          <w:szCs w:val="30"/>
          <w:u w:val="single"/>
          <w:lang w:val="en-US" w:eastAsia="zh-CN"/>
        </w:rPr>
        <w:t xml:space="preserve">中电信数智科技有限公司山东分公司</w:t>
      </w:r>
      <w:r>
        <w:rPr>
          <w:rFonts w:hint="eastAsia" w:ascii="仿宋_GB2312" w:hAnsi="宋体" w:eastAsia="仿宋_GB2312"/>
          <w:b/>
          <w:bCs/>
          <w:color w:val="000000"/>
          <w:sz w:val="30"/>
          <w:szCs w:val="30"/>
        </w:rPr>
      </w:r>
    </w:p>
    <w:p>
      <w:pPr>
        <w:pBdr/>
        <w:spacing/>
        <w:ind/>
        <w:outlineLvl w:val="9"/>
        <w:rPr/>
      </w:pPr>
      <w:r/>
      <w:r/>
    </w:p>
    <w:p>
      <w:pPr>
        <w:pBdr/>
        <w:spacing w:line="552" w:lineRule="auto"/>
        <w:ind w:right="-15"/>
        <w:rPr>
          <w:rFonts w:ascii="宋体" w:hAnsi="宋体"/>
          <w:color w:val="000000"/>
          <w:sz w:val="28"/>
          <w:szCs w:val="28"/>
          <w:u w:val="single"/>
        </w:rPr>
      </w:pPr>
      <w:r>
        <w:rPr>
          <w:rFonts w:ascii="宋体" w:hAnsi="宋体"/>
          <w:color w:val="000000"/>
          <w:sz w:val="28"/>
          <w:szCs w:val="28"/>
          <w:u w:val="single"/>
        </w:rPr>
      </w:r>
      <w:r>
        <w:rPr>
          <w:rFonts w:ascii="宋体" w:hAnsi="宋体"/>
          <w:color w:val="000000"/>
          <w:sz w:val="28"/>
          <w:szCs w:val="28"/>
          <w:u w:val="single"/>
        </w:rPr>
      </w:r>
    </w:p>
    <w:p>
      <w:pPr>
        <w:pBdr/>
        <w:spacing w:line="560" w:lineRule="exact"/>
        <w:ind/>
        <w:rPr>
          <w:rFonts w:ascii="宋体" w:hAnsi="宋体"/>
          <w:color w:val="000000"/>
          <w:sz w:val="28"/>
          <w:szCs w:val="28"/>
        </w:rPr>
      </w:pPr>
      <w:r>
        <w:rPr>
          <w:rFonts w:ascii="宋体" w:hAnsi="宋体"/>
          <w:color w:val="000000"/>
          <w:sz w:val="28"/>
          <w:szCs w:val="28"/>
        </w:rPr>
      </w:r>
      <w:r>
        <w:rPr>
          <w:rFonts w:ascii="宋体" w:hAnsi="宋体"/>
          <w:color w:val="000000"/>
          <w:sz w:val="28"/>
          <w:szCs w:val="28"/>
        </w:rPr>
      </w:r>
    </w:p>
    <w:p>
      <w:pPr>
        <w:pBdr/>
        <w:spacing w:line="360" w:lineRule="auto"/>
        <w:ind w:firstLine="300"/>
        <w:rPr>
          <w:rFonts w:hint="eastAsia" w:ascii="仿宋_GB2312" w:hAnsi="宋体" w:eastAsia="仿宋_GB2312"/>
          <w:color w:val="000000"/>
          <w:sz w:val="30"/>
          <w:szCs w:val="30"/>
          <w:u w:val="none"/>
          <w:lang w:val="en-US" w:eastAsia="zh-CN"/>
        </w:rPr>
        <w:sectPr>
          <w:footnotePr/>
          <w:endnotePr/>
          <w:type w:val="nextPage"/>
          <w:pgSz w:h="16838" w:orient="portrait" w:w="11906"/>
          <w:pgMar w:top="1361" w:right="1474" w:bottom="1361" w:left="1587" w:header="851" w:footer="992" w:gutter="0"/>
          <w:cols w:num="1" w:sep="0" w:space="425" w:equalWidth="1"/>
        </w:sectPr>
      </w:pPr>
      <w:r>
        <w:rPr>
          <w:rFonts w:hint="eastAsia" w:ascii="仿宋_GB2312" w:hAnsi="宋体" w:eastAsia="仿宋_GB2312"/>
          <w:color w:val="000000"/>
          <w:sz w:val="30"/>
          <w:szCs w:val="30"/>
          <w:u w:val="none"/>
          <w:lang w:val="en-US" w:eastAsia="zh-CN"/>
        </w:rPr>
      </w:r>
      <w:r>
        <w:rPr>
          <w:rFonts w:hint="eastAsia" w:ascii="仿宋_GB2312" w:hAnsi="宋体" w:eastAsia="仿宋_GB2312"/>
          <w:color w:val="000000"/>
          <w:sz w:val="30"/>
          <w:szCs w:val="30"/>
          <w:u w:val="none"/>
          <w:lang w:val="en-US" w:eastAsia="zh-CN"/>
        </w:rPr>
      </w:r>
    </w:p>
    <w:p>
      <w:pPr>
        <w:pBdr/>
        <w:spacing w:line="360" w:lineRule="auto"/>
        <w:ind w:firstLine="300"/>
        <w:rPr>
          <w:rFonts w:hint="eastAsia" w:ascii="仿宋_GB2312" w:hAnsi="宋体" w:eastAsia="仿宋_GB2312"/>
          <w:color w:val="000000"/>
          <w:sz w:val="30"/>
          <w:szCs w:val="30"/>
          <w:u w:val="none"/>
          <w:lang w:val="en-US" w:eastAsia="zh-CN"/>
        </w:rPr>
      </w:pPr>
      <w:r>
        <w:rPr>
          <w:rFonts w:hint="eastAsia" w:ascii="仿宋_GB2312" w:hAnsi="宋体" w:eastAsia="仿宋_GB2312"/>
          <w:color w:val="000000"/>
          <w:sz w:val="30"/>
          <w:szCs w:val="30"/>
          <w:u w:val="none"/>
          <w:lang w:val="en-US" w:eastAsia="zh-CN"/>
        </w:rPr>
        <w:t xml:space="preserve">   </w:t>
      </w:r>
      <w:r>
        <w:rPr>
          <w:rFonts w:hint="eastAsia" w:ascii="仿宋_GB2312" w:hAnsi="宋体" w:eastAsia="仿宋_GB2312"/>
          <w:color w:val="000000"/>
          <w:sz w:val="30"/>
          <w:szCs w:val="30"/>
          <w:u w:val="none"/>
          <w:lang w:val="en-US" w:eastAsia="zh-CN"/>
        </w:rPr>
      </w:r>
    </w:p>
    <w:p>
      <w:pPr>
        <w:pBdr/>
        <w:spacing w:line="360" w:lineRule="auto"/>
        <w:ind w:firstLine="24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u w:val="single"/>
          <w:lang w:val="zh-CN" w:eastAsia="zh-CN" w:bidi="ar-SA"/>
        </w:rPr>
        <w:t xml:space="preserve">委托方（甲方）：泰安银行股份有限公司</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法定代表人：谢强</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  所  地：泰安市长城路3号</w:t>
      </w:r>
      <w:r>
        <w:rPr>
          <w:rFonts w:hint="eastAsia" w:ascii="仿宋_GB2312" w:hAnsi="仿宋" w:eastAsia="仿宋_GB2312" w:cs="Times New Roman"/>
          <w:sz w:val="24"/>
          <w:szCs w:val="24"/>
          <w:lang w:val="zh-CN" w:eastAsia="zh-CN" w:bidi="ar-SA"/>
        </w:rPr>
      </w:r>
    </w:p>
    <w:p>
      <w:pPr>
        <w:widowControl w:val="true"/>
        <w:pBdr/>
        <w:spacing w:line="360" w:lineRule="auto"/>
        <w:ind w:firstLine="465"/>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邮政编码：271000</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项目联系人：孙天宇</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联系方式：18653868120</w:t>
      </w:r>
      <w:r>
        <w:rPr>
          <w:rFonts w:hint="eastAsia" w:ascii="仿宋_GB2312" w:hAnsi="仿宋" w:eastAsia="仿宋_GB2312" w:cs="Times New Roman"/>
          <w:sz w:val="24"/>
          <w:szCs w:val="24"/>
          <w:lang w:val="zh-CN" w:eastAsia="zh-CN" w:bidi="ar-SA"/>
        </w:rPr>
      </w:r>
    </w:p>
    <w:p>
      <w:pPr>
        <w:pBdr/>
        <w:tabs>
          <w:tab w:val="left" w:leader="none" w:pos="8100"/>
        </w:tabs>
        <w:spacing w:line="360" w:lineRule="auto"/>
        <w:ind w:hanging="720" w:left="90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w:t>
      </w:r>
      <w:r>
        <w:rPr>
          <w:rFonts w:hint="eastAsia" w:ascii="仿宋_GB2312" w:hAnsi="仿宋" w:eastAsia="仿宋_GB2312" w:cs="Times New Roman"/>
          <w:sz w:val="24"/>
          <w:szCs w:val="24"/>
          <w:lang w:val="zh-CN" w:eastAsia="zh-CN" w:bidi="ar-SA"/>
        </w:rPr>
        <w:fldChar w:fldCharType="begin"/>
      </w:r>
      <w:r>
        <w:rPr>
          <w:rFonts w:hint="eastAsia" w:ascii="仿宋_GB2312" w:hAnsi="仿宋" w:eastAsia="仿宋_GB2312" w:cs="Times New Roman"/>
          <w:sz w:val="24"/>
          <w:szCs w:val="24"/>
          <w:lang w:val="zh-CN" w:eastAsia="zh-CN" w:bidi="ar-SA"/>
        </w:rPr>
        <w:instrText xml:space="preserve"> HYPERLINK "mailto:suntianyu@taccb.com.cn" </w:instrText>
      </w:r>
      <w:r>
        <w:rPr>
          <w:rFonts w:hint="eastAsia" w:ascii="仿宋_GB2312" w:hAnsi="仿宋" w:eastAsia="仿宋_GB2312" w:cs="Times New Roman"/>
          <w:sz w:val="24"/>
          <w:szCs w:val="24"/>
          <w:lang w:val="zh-CN" w:eastAsia="zh-CN" w:bidi="ar-SA"/>
        </w:rPr>
        <w:fldChar w:fldCharType="separate"/>
      </w:r>
      <w:r>
        <w:rPr>
          <w:rFonts w:hint="eastAsia" w:ascii="仿宋_GB2312" w:hAnsi="仿宋" w:eastAsia="仿宋_GB2312" w:cs="Times New Roman"/>
          <w:sz w:val="24"/>
          <w:szCs w:val="24"/>
          <w:lang w:val="zh-CN" w:eastAsia="zh-CN" w:bidi="ar-SA"/>
        </w:rPr>
        <w:t xml:space="preserve">suntianyu@taccb.com.cn</w:t>
      </w:r>
      <w:r>
        <w:rPr>
          <w:rFonts w:hint="eastAsia" w:ascii="仿宋_GB2312" w:hAnsi="仿宋" w:eastAsia="仿宋_GB2312" w:cs="Times New Roman"/>
          <w:sz w:val="24"/>
          <w:szCs w:val="24"/>
          <w:lang w:val="zh-CN" w:eastAsia="zh-CN" w:bidi="ar-SA"/>
        </w:rPr>
        <w:fldChar w:fldCharType="end"/>
      </w:r>
      <w:r>
        <w:rPr>
          <w:rFonts w:hint="eastAsia" w:ascii="仿宋_GB2312" w:hAnsi="仿宋" w:eastAsia="仿宋_GB2312" w:cs="Times New Roman"/>
          <w:sz w:val="24"/>
          <w:szCs w:val="24"/>
          <w:lang w:val="zh-CN" w:eastAsia="zh-CN" w:bidi="ar-SA"/>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firstLine="720"/>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t xml:space="preserve">受托方（乙方）：中电信数智科技有限公司山东分公司</w:t>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w:t>
      </w:r>
      <w:r>
        <w:rPr>
          <w:rFonts w:hint="eastAsia" w:ascii="仿宋_GB2312" w:hAnsi="仿宋" w:eastAsia="仿宋_GB2312" w:cs="Times New Roman"/>
          <w:sz w:val="24"/>
          <w:szCs w:val="24"/>
          <w:lang w:val="en-US" w:eastAsia="zh-CN" w:bidi="ar-SA"/>
        </w:rPr>
        <w:t xml:space="preserve">郎明</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住所地：济南市高新区舜华路1999号</w:t>
      </w:r>
      <w:r>
        <w:rPr>
          <w:rFonts w:hint="eastAsia" w:ascii="仿宋_GB2312" w:hAnsi="仿宋" w:eastAsia="仿宋_GB2312" w:cs="Times New Roman"/>
          <w:sz w:val="24"/>
          <w:szCs w:val="24"/>
          <w:lang w:val="zh-CN" w:eastAsia="zh-CN" w:bidi="ar-SA"/>
        </w:rPr>
      </w:r>
    </w:p>
    <w:p>
      <w:pPr>
        <w:pBdr/>
        <w:spacing w:line="360" w:lineRule="auto"/>
        <w:ind/>
        <w:rPr>
          <w:rFonts w:hint="default" w:ascii="仿宋_GB2312" w:hAnsi="仿宋" w:eastAsia="仿宋_GB2312" w:cs="Times New Roman"/>
          <w:sz w:val="24"/>
          <w:szCs w:val="24"/>
          <w:lang w:val="en-US" w:eastAsia="zh-CN" w:bidi="ar-SA"/>
        </w:rPr>
      </w:pP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en-US" w:eastAsia="zh-CN" w:bidi="ar-SA"/>
        </w:rPr>
        <w:t xml:space="preserve">   </w:t>
      </w:r>
      <w:r>
        <w:rPr>
          <w:rFonts w:hint="eastAsia" w:ascii="仿宋_GB2312" w:hAnsi="仿宋" w:eastAsia="仿宋_GB2312" w:cs="Times New Roman"/>
          <w:sz w:val="24"/>
          <w:szCs w:val="24"/>
          <w:lang w:val="zh-CN" w:eastAsia="zh-CN" w:bidi="ar-SA"/>
        </w:rPr>
        <w:t xml:space="preserve">邮政编码：</w:t>
      </w:r>
      <w:r>
        <w:rPr>
          <w:rFonts w:hint="eastAsia" w:ascii="仿宋_GB2312" w:hAnsi="仿宋" w:eastAsia="仿宋_GB2312" w:cs="Times New Roman"/>
          <w:sz w:val="24"/>
          <w:szCs w:val="24"/>
          <w:lang w:val="en-US" w:eastAsia="zh-CN" w:bidi="ar-SA"/>
        </w:rPr>
        <w:t xml:space="preserve">250000</w:t>
      </w:r>
      <w:r>
        <w:rPr>
          <w:rFonts w:hint="default" w:ascii="仿宋_GB2312" w:hAnsi="仿宋" w:eastAsia="仿宋_GB2312" w:cs="Times New Roman"/>
          <w:sz w:val="24"/>
          <w:szCs w:val="24"/>
          <w:lang w:val="en-US" w:eastAsia="zh-CN" w:bidi="ar-SA"/>
        </w:rPr>
      </w:r>
    </w:p>
    <w:p>
      <w:pPr>
        <w:pBdr/>
        <w:spacing w:line="360" w:lineRule="auto"/>
        <w:ind w:firstLine="72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项目联系人：</w:t>
      </w:r>
      <w:r>
        <w:rPr>
          <w:rFonts w:hint="eastAsia" w:ascii="仿宋_GB2312" w:hAnsi="仿宋" w:eastAsia="仿宋_GB2312" w:cs="Times New Roman"/>
          <w:sz w:val="24"/>
          <w:szCs w:val="24"/>
          <w:lang w:val="en-US" w:eastAsia="zh-CN" w:bidi="ar-SA"/>
        </w:rPr>
        <w:t xml:space="preserve">郝宏</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联系方式：13355311268</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电子信箱：haohong.sd@chinatelecom.cn</w:t>
      </w:r>
      <w:r>
        <w:rPr>
          <w:rFonts w:hint="eastAsia" w:ascii="仿宋_GB2312" w:hAnsi="仿宋" w:eastAsia="仿宋_GB2312" w:cs="Times New Roman"/>
          <w:sz w:val="24"/>
          <w:szCs w:val="24"/>
          <w:lang w:val="zh-CN" w:eastAsia="zh-CN" w:bidi="ar-SA"/>
        </w:rPr>
      </w:r>
    </w:p>
    <w:p>
      <w:pPr>
        <w:pBdr/>
        <w:spacing w:line="360" w:lineRule="auto"/>
        <w:ind w:firstLine="720"/>
        <w:rPr>
          <w:rFonts w:ascii="仿宋_GB2312" w:hAnsi="宋体" w:eastAsia="仿宋_GB2312"/>
          <w:color w:val="000000"/>
          <w:sz w:val="30"/>
          <w:szCs w:val="30"/>
        </w:rPr>
      </w:pPr>
      <w:r>
        <w:rPr>
          <w:rFonts w:hint="eastAsia" w:ascii="仿宋_GB2312" w:hAnsi="仿宋" w:eastAsia="仿宋_GB2312" w:cs="Times New Roman"/>
          <w:sz w:val="24"/>
          <w:szCs w:val="24"/>
          <w:lang w:val="zh-CN" w:eastAsia="zh-CN" w:bidi="ar-SA"/>
        </w:rPr>
        <w:t xml:space="preserve">通讯地址：济南市高新区舜华路1999号</w:t>
      </w:r>
      <w:r>
        <w:rPr>
          <w:rFonts w:ascii="仿宋_GB2312" w:hAnsi="宋体" w:eastAsia="仿宋_GB2312"/>
          <w:color w:val="000000"/>
          <w:sz w:val="30"/>
          <w:szCs w:val="30"/>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_GB2312" w:hAnsi="宋体" w:eastAsia="仿宋_GB2312"/>
          <w:color w:val="000000"/>
          <w:sz w:val="30"/>
          <w:szCs w:val="30"/>
        </w:rPr>
        <w:br w:type="page" w:clear="all"/>
      </w:r>
      <w:r>
        <w:rPr>
          <w:rFonts w:hint="eastAsia" w:ascii="仿宋_GB2312" w:hAnsi="宋体" w:eastAsia="仿宋_GB2312"/>
          <w:color w:val="000000"/>
          <w:sz w:val="30"/>
          <w:szCs w:val="30"/>
          <w:lang w:val="en-US" w:eastAsia="zh-CN"/>
        </w:rPr>
        <w:t xml:space="preserve">  </w:t>
      </w:r>
      <w:r>
        <w:rPr>
          <w:rFonts w:hint="eastAsia" w:ascii="仿宋" w:hAnsi="仿宋" w:eastAsia="仿宋" w:cs="仿宋"/>
          <w:color w:val="000000"/>
          <w:sz w:val="24"/>
          <w:szCs w:val="24"/>
        </w:rPr>
        <w:t xml:space="preserve">本合同甲方委托乙方研究开发项目，并支付研究开发经费和报酬,乙方接受委托并进行此项研究开发工作。双方经过平等协商，在真实、充分地表达各自意愿的基础上，根据《中华人民共和国民法典》的规定，达成如下协议，并由双方共同恪守。</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val="0"/>
          <w:color w:val="000000"/>
          <w:sz w:val="24"/>
          <w:szCs w:val="24"/>
        </w:rPr>
      </w:pPr>
      <w:r>
        <w:rPr>
          <w:rFonts w:hint="eastAsia" w:ascii="仿宋" w:hAnsi="仿宋" w:eastAsia="仿宋" w:cs="仿宋"/>
          <w:b/>
          <w:bCs w:val="0"/>
          <w:color w:val="000000"/>
          <w:sz w:val="24"/>
          <w:szCs w:val="24"/>
          <w:lang w:val="en-US" w:eastAsia="zh-CN"/>
        </w:rPr>
        <w:t xml:space="preserve">第一条 </w:t>
      </w:r>
      <w:r>
        <w:rPr>
          <w:rFonts w:hint="eastAsia" w:ascii="仿宋" w:hAnsi="仿宋" w:eastAsia="仿宋" w:cs="仿宋"/>
          <w:b/>
          <w:bCs w:val="0"/>
          <w:color w:val="000000"/>
          <w:sz w:val="24"/>
          <w:szCs w:val="24"/>
        </w:rPr>
        <w:t xml:space="preserve">外包服务类型、方式和要求</w:t>
      </w:r>
      <w:r>
        <w:rPr>
          <w:rFonts w:hint="eastAsia" w:ascii="仿宋" w:hAnsi="仿宋" w:eastAsia="仿宋" w:cs="仿宋"/>
          <w:b/>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1、本合同的外包服务类型（必选，其中第①-⑨项为重要外包，第⑩项为一般外包）：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① </w:t>
      </w:r>
      <w:r>
        <w:rPr>
          <w:rFonts w:hint="eastAsia" w:ascii="仿宋" w:hAnsi="仿宋" w:eastAsia="仿宋" w:cs="仿宋"/>
          <w:b/>
          <w:color w:val="000000"/>
          <w:sz w:val="24"/>
          <w:szCs w:val="24"/>
        </w:rPr>
        <w:t xml:space="preserve">信息科技工作整体外包，仅保留必要的管理团队和核心职能；</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 ② </w:t>
      </w:r>
      <w:r>
        <w:rPr>
          <w:rFonts w:hint="eastAsia" w:ascii="仿宋" w:hAnsi="仿宋" w:eastAsia="仿宋" w:cs="仿宋"/>
          <w:b/>
          <w:color w:val="000000"/>
          <w:sz w:val="24"/>
          <w:szCs w:val="24"/>
        </w:rPr>
        <w:t xml:space="preserve">数据中心（机房）整体外包；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③ </w:t>
      </w:r>
      <w:r>
        <w:rPr>
          <w:rFonts w:hint="eastAsia" w:ascii="仿宋" w:hAnsi="仿宋" w:eastAsia="仿宋" w:cs="仿宋"/>
          <w:b/>
          <w:color w:val="000000"/>
          <w:sz w:val="24"/>
          <w:szCs w:val="24"/>
        </w:rPr>
        <w:t xml:space="preserve">涉及基础设施和信息系统整体架构发生重大变化的外包；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④ </w:t>
      </w:r>
      <w:r>
        <w:rPr>
          <w:rFonts w:hint="eastAsia" w:ascii="仿宋" w:hAnsi="仿宋" w:eastAsia="仿宋" w:cs="仿宋"/>
          <w:b/>
          <w:color w:val="000000"/>
          <w:sz w:val="24"/>
          <w:szCs w:val="24"/>
        </w:rPr>
        <w:t xml:space="preserve">核心业务系统开发测试和运行维护的整体外包；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⑤ </w:t>
      </w:r>
      <w:r>
        <w:rPr>
          <w:rFonts w:hint="eastAsia" w:ascii="仿宋" w:hAnsi="仿宋" w:eastAsia="仿宋" w:cs="仿宋"/>
          <w:b/>
          <w:color w:val="000000"/>
          <w:sz w:val="24"/>
          <w:szCs w:val="24"/>
        </w:rPr>
        <w:t xml:space="preserve">信息科技战略规划（含中长期规划）咨询外包；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⑥</w:t>
      </w:r>
      <w:r>
        <w:rPr>
          <w:rFonts w:hint="eastAsia" w:ascii="仿宋" w:hAnsi="仿宋" w:eastAsia="仿宋" w:cs="仿宋"/>
          <w:b/>
          <w:color w:val="000000"/>
          <w:sz w:val="24"/>
          <w:szCs w:val="24"/>
        </w:rPr>
        <w:t xml:space="preserve"> 安全运营的整体外包；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⑦</w:t>
      </w:r>
      <w:r>
        <w:rPr>
          <w:rFonts w:hint="eastAsia" w:ascii="仿宋" w:hAnsi="仿宋" w:eastAsia="仿宋" w:cs="仿宋"/>
          <w:b/>
          <w:color w:val="000000"/>
          <w:sz w:val="24"/>
          <w:szCs w:val="24"/>
        </w:rPr>
        <w:t xml:space="preserve"> 涉及集中存储或处理银行机构重要数据和客户个人敏感信息的外包；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⑧</w:t>
      </w:r>
      <w:r>
        <w:rPr>
          <w:rFonts w:hint="eastAsia" w:ascii="仿宋" w:hAnsi="仿宋" w:eastAsia="仿宋" w:cs="仿宋"/>
          <w:b/>
          <w:color w:val="000000"/>
          <w:sz w:val="24"/>
          <w:szCs w:val="24"/>
        </w:rPr>
        <w:t xml:space="preserve"> 直接影响实时服务、影响账务准确性的重要信息系统外包；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⑨</w:t>
      </w:r>
      <w:r>
        <w:rPr>
          <w:rFonts w:hint="eastAsia" w:ascii="仿宋" w:hAnsi="仿宋" w:eastAsia="仿宋" w:cs="仿宋"/>
          <w:b/>
          <w:color w:val="000000"/>
          <w:sz w:val="24"/>
          <w:szCs w:val="24"/>
        </w:rPr>
        <w:t xml:space="preserve"> 其它对机构业务运营具有重要影响的外包；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⑩ </w:t>
      </w:r>
      <w:r>
        <w:rPr>
          <w:rFonts w:hint="eastAsia" w:ascii="仿宋" w:hAnsi="仿宋" w:eastAsia="仿宋" w:cs="仿宋"/>
          <w:b/>
          <w:color w:val="000000"/>
          <w:sz w:val="24"/>
          <w:szCs w:val="24"/>
        </w:rPr>
        <w:t xml:space="preserve">除上述所有外包服务类型之外的一般外包。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2、本合同的外包服务方式（从以下列四个选项中分别选取与实际外包活动相适应的服务方式）：</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是否为非驻场外包</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（非驻场外包：服务提供商不在我行场所提供服务的外包形式）</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是否跨境外包：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（跨境外包：服务提供商注册地或服务实施地点在境外其他国家或地区的信息科技外包服务行为）</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是否关联外包：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（关联外包：外包服务提供商为我行的母公司或其所属集团子公司、关联公司或附属机构）</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是否同业外包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（同业外包：外包服务提供商为依法设立的由银保监会监管的银行金融机构）</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本合同外包服务选择跨境方式实施的，乙方应当充分配合甲方对其所在国家或地区的政治、经济、社会、法律、文化等经营环境的评估，如涉及信息跨境存储、处理和分析的，乙方须遵守甲方国家有关法律法规的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4、本合同外包服务属于关联外包的，甲方不得降低对乙方的要求，严禁双方之间发生利益冲突和利益输送行为。</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本合同外包服务属于重要外包的，乙方必须按照甲方要求在合同正式签订前20个工作日内，配合甲方向甲方所在地的银保监会或其派出机构报告。同时乙方须每季度开展自身技术和行业经验、内部控制和管理能力，以及持续经营状况等方面的内部自查或外部检查工作，形成报告并于每季度末向甲方提供，报告内容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（一）公司技术和行业经验，人员及能力；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（二）公司内部控制和管理能力；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（三）公司网络和信息安全保障能力；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（四）公司持续经营状况；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（五）公司及其母公司或实际控制人遵守国家和银保监会相关法律法规要求的情况；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（六）公司过往配合银行机构审计、评估、检查及监管机构监督检查情况；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（七）公司与银行机构的关联性。</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624" w:left="0"/>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本合同研究开发</w:t>
      </w:r>
      <w:r>
        <w:rPr>
          <w:rFonts w:hint="eastAsia" w:ascii="仿宋" w:hAnsi="仿宋" w:eastAsia="仿宋" w:cs="仿宋"/>
          <w:color w:val="000000"/>
          <w:sz w:val="24"/>
          <w:szCs w:val="24"/>
        </w:rPr>
        <w:t xml:space="preserve">项目的要求如下：</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sz w:val="24"/>
          <w:szCs w:val="24"/>
          <w:lang w:val="en-US" w:eastAsia="zh-CN"/>
        </w:rPr>
      </w:pPr>
      <w:r>
        <w:rPr>
          <w:rFonts w:hint="eastAsia" w:ascii="仿宋" w:hAnsi="仿宋" w:eastAsia="仿宋" w:cs="仿宋"/>
          <w:color w:val="000000"/>
          <w:sz w:val="24"/>
          <w:szCs w:val="24"/>
        </w:rPr>
        <w:t xml:space="preserve">1、技术目标：</w:t>
      </w:r>
      <w:r>
        <w:rPr>
          <w:rFonts w:hint="eastAsia" w:ascii="仿宋" w:hAnsi="仿宋" w:eastAsia="仿宋" w:cs="仿宋"/>
          <w:sz w:val="24"/>
          <w:szCs w:val="24"/>
          <w:lang w:val="en-US" w:eastAsia="zh-CN"/>
        </w:rPr>
        <w:t xml:space="preserve">完成AI算力服务、智能体开发平台、知识库管理平台、AI应用中心、智能触客中心、多模态模型及5大智能体应用开发等内容的AI中台建设。</w:t>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2、技术内容：</w:t>
      </w:r>
      <w:r>
        <w:rPr>
          <w:rFonts w:hint="eastAsia" w:ascii="仿宋" w:hAnsi="仿宋" w:eastAsia="仿宋" w:cs="仿宋"/>
          <w:sz w:val="24"/>
          <w:szCs w:val="24"/>
          <w:lang w:val="en-US" w:eastAsia="zh-CN"/>
        </w:rPr>
        <w:t xml:space="preserve">详见附件五技术内容。</w:t>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3、技术方法和路线：项目将遵循成熟的项目管理流程和软件工程方法进行建设，实施路线主要包括以下关键阶段：项目启动、需求调研与分析、系统设计、系统开发与测试、集成测试、用户接受测试(UAT)、系统投产以及系统运行维护等。</w:t>
      </w:r>
      <w:r>
        <w:rPr>
          <w:rFonts w:hint="default"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乙方应在本合同生效后</w:t>
      </w:r>
      <w:r>
        <w:rPr>
          <w:rFonts w:hint="eastAsia" w:ascii="仿宋" w:hAnsi="仿宋" w:eastAsia="仿宋" w:cs="仿宋"/>
          <w:color w:val="000000"/>
          <w:sz w:val="24"/>
          <w:szCs w:val="24"/>
          <w:u w:val="single"/>
        </w:rPr>
        <w:t xml:space="preserve"> 七 </w:t>
      </w:r>
      <w:r>
        <w:rPr>
          <w:rFonts w:hint="eastAsia" w:ascii="仿宋" w:hAnsi="仿宋" w:eastAsia="仿宋" w:cs="仿宋"/>
          <w:color w:val="000000"/>
          <w:sz w:val="24"/>
          <w:szCs w:val="24"/>
        </w:rPr>
        <w:t xml:space="preserve">日内向甲方提交加盖公章的研究开发计划。研究开发计划应包括以下主要内容：</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u w:val="single"/>
        </w:rPr>
      </w:pPr>
      <w:r>
        <w:rPr>
          <w:rFonts w:hint="eastAsia" w:ascii="仿宋" w:hAnsi="仿宋" w:eastAsia="仿宋" w:cs="仿宋"/>
          <w:color w:val="000000"/>
          <w:sz w:val="24"/>
          <w:szCs w:val="24"/>
          <w:u w:val="none"/>
          <w:lang w:val="en-US" w:eastAsia="zh-CN"/>
        </w:rPr>
        <w:t xml:space="preserve">1、</w:t>
      </w:r>
      <w:r>
        <w:rPr>
          <w:rFonts w:hint="eastAsia" w:ascii="仿宋" w:hAnsi="仿宋" w:eastAsia="仿宋" w:cs="仿宋"/>
          <w:color w:val="000000"/>
          <w:sz w:val="24"/>
          <w:szCs w:val="24"/>
          <w:u w:val="single"/>
        </w:rPr>
        <w:t xml:space="preserve">系统上线计划</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rPr>
      </w:pPr>
      <w:r>
        <w:rPr>
          <w:rFonts w:hint="eastAsia" w:ascii="仿宋" w:hAnsi="仿宋" w:eastAsia="仿宋" w:cs="仿宋"/>
          <w:color w:val="000000"/>
          <w:sz w:val="24"/>
          <w:szCs w:val="24"/>
          <w:u w:val="none"/>
          <w:lang w:val="en-US" w:eastAsia="zh-CN"/>
        </w:rPr>
        <w:t xml:space="preserve">2、</w:t>
      </w:r>
      <w:r>
        <w:rPr>
          <w:rFonts w:hint="eastAsia" w:ascii="仿宋" w:hAnsi="仿宋" w:eastAsia="仿宋" w:cs="仿宋"/>
          <w:color w:val="000000"/>
          <w:sz w:val="24"/>
          <w:szCs w:val="24"/>
          <w:u w:val="single"/>
        </w:rPr>
        <w:t xml:space="preserve">系统架构设计、数据库架构及网络架构设计</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乙方根据甲方的意愿，在需求确认前提供成功案例需求相关的培训，以便于甲方迅速、全面地提出项目需求。</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乙方承诺按以下进度完成研究开发工作：</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1、</w:t>
      </w:r>
      <w:r>
        <w:rPr>
          <w:rFonts w:hint="eastAsia" w:ascii="仿宋" w:hAnsi="仿宋" w:eastAsia="仿宋" w:cs="仿宋"/>
          <w:color w:val="000000"/>
          <w:sz w:val="24"/>
          <w:szCs w:val="24"/>
          <w:u w:val="single"/>
          <w:lang w:val="en-US" w:eastAsia="zh-CN"/>
        </w:rPr>
        <w:t xml:space="preserve">自合同签订之日起2月内完成需求设计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2、</w:t>
      </w:r>
      <w:r>
        <w:rPr>
          <w:rFonts w:hint="eastAsia" w:ascii="仿宋" w:hAnsi="仿宋" w:eastAsia="仿宋" w:cs="仿宋"/>
          <w:color w:val="000000"/>
          <w:sz w:val="24"/>
          <w:szCs w:val="24"/>
          <w:u w:val="single"/>
          <w:lang w:val="en-US" w:eastAsia="zh-CN"/>
        </w:rPr>
        <w:t xml:space="preserve">自合同签订之日起2月内完成系统设计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3、</w:t>
      </w:r>
      <w:r>
        <w:rPr>
          <w:rFonts w:hint="eastAsia" w:ascii="仿宋" w:hAnsi="仿宋" w:eastAsia="仿宋" w:cs="仿宋"/>
          <w:color w:val="000000"/>
          <w:sz w:val="24"/>
          <w:szCs w:val="24"/>
          <w:u w:val="single"/>
          <w:lang w:val="en-US" w:eastAsia="zh-CN"/>
        </w:rPr>
        <w:t xml:space="preserve">自合同签订之日起5月内完成系统开发及单元测试</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4、</w:t>
      </w:r>
      <w:r>
        <w:rPr>
          <w:rFonts w:hint="eastAsia" w:ascii="仿宋" w:hAnsi="仿宋" w:eastAsia="仿宋" w:cs="仿宋"/>
          <w:color w:val="000000"/>
          <w:sz w:val="24"/>
          <w:szCs w:val="24"/>
          <w:u w:val="single"/>
          <w:lang w:val="en-US" w:eastAsia="zh-CN"/>
        </w:rPr>
        <w:t xml:space="preserve">自合同签订之日起6月内完成SIT测试与UAT测试</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u w:val="single"/>
          <w:lang w:val="en-US" w:eastAsia="zh-CN"/>
        </w:rPr>
        <w:t xml:space="preserve">自合同签订之日起6月内完成系统上线投产</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第五条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甲方应向乙方提供的技术资料及协作事项如下：</w:t>
      </w:r>
      <w:r>
        <w:rPr>
          <w:rFonts w:hint="eastAsia" w:ascii="仿宋" w:hAnsi="仿宋" w:eastAsia="仿宋" w:cs="仿宋"/>
          <w:bCs w:val="0"/>
          <w:color w:val="000000"/>
          <w:sz w:val="24"/>
          <w:szCs w:val="24"/>
        </w:rPr>
      </w:r>
    </w:p>
    <w:p>
      <w:pPr>
        <w:keepNext w:val="false"/>
        <w:keepLines w:val="false"/>
        <w:pageBreakBefore w:val="false"/>
        <w:widowControl w:val="false"/>
        <w:pBdr/>
        <w:tabs>
          <w:tab w:val="left" w:leader="none" w:pos="540"/>
        </w:tabs>
        <w:bidi w:val="false"/>
        <w:spacing w:line="360" w:lineRule="auto"/>
        <w:ind w:firstLine="480"/>
        <w:outlineLvl w:val="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1、技术资料清单：</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line="360" w:lineRule="auto"/>
        <w:ind w:firstLine="480"/>
        <w:outlineLvl w:val="0"/>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2、提供时间和方式：</w:t>
      </w:r>
      <w:r>
        <w:rPr>
          <w:rFonts w:hint="eastAsia" w:ascii="仿宋" w:hAnsi="仿宋" w:eastAsia="仿宋" w:cs="仿宋"/>
          <w:color w:val="000000"/>
          <w:sz w:val="24"/>
          <w:szCs w:val="24"/>
          <w:u w:val="single"/>
          <w:lang w:val="en-US" w:eastAsia="zh-CN"/>
        </w:rPr>
        <w:t xml:space="preserve">无</w:t>
      </w:r>
      <w:r>
        <w:rPr>
          <w:rFonts w:hint="default"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3、其他协作事项：</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本合同履行完毕后，上述技术资料按以下方式处理：</w:t>
      </w:r>
      <w:r>
        <w:rPr>
          <w:rFonts w:hint="eastAsia" w:ascii="仿宋" w:hAnsi="仿宋" w:eastAsia="仿宋" w:cs="仿宋"/>
          <w:color w:val="000000"/>
          <w:sz w:val="24"/>
          <w:szCs w:val="24"/>
          <w:u w:val="single"/>
        </w:rPr>
        <w:t xml:space="preserve">交还甲方</w:t>
      </w:r>
      <w:r>
        <w:rPr>
          <w:rFonts w:hint="eastAsia" w:ascii="仿宋" w:hAnsi="仿宋" w:eastAsia="仿宋" w:cs="仿宋"/>
          <w:color w:val="000000"/>
          <w:sz w:val="24"/>
          <w:szCs w:val="24"/>
          <w:u w:val="none"/>
          <w:lang w:eastAsia="zh-CN"/>
        </w:rPr>
        <w:t xml:space="preserve">。</w:t>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甲方应按以下方式支付研究开发经费和报酬：</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060"/>
        </w:tabs>
        <w:bidi w:val="false"/>
        <w:spacing w:line="360" w:lineRule="auto"/>
        <w:ind w:firstLine="480"/>
        <w:jc w:val="both"/>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1、合同总金额</w:t>
      </w:r>
      <w:r>
        <w:rPr>
          <w:rFonts w:hint="eastAsia" w:ascii="仿宋" w:hAnsi="仿宋" w:eastAsia="仿宋" w:cs="仿宋"/>
          <w:color w:val="000000"/>
          <w:sz w:val="24"/>
          <w:szCs w:val="24"/>
          <w:lang w:eastAsia="zh-CN"/>
        </w:rPr>
        <w:t xml:space="preserve">（含税）</w:t>
      </w:r>
      <w:r>
        <w:rPr>
          <w:rFonts w:hint="eastAsia" w:ascii="仿宋" w:hAnsi="仿宋" w:eastAsia="仿宋" w:cs="仿宋"/>
          <w:color w:val="000000"/>
          <w:sz w:val="24"/>
          <w:szCs w:val="24"/>
        </w:rPr>
        <w:t xml:space="preserve">为：</w:t>
      </w:r>
      <w:r>
        <w:rPr>
          <w:rFonts w:hint="eastAsia" w:ascii="仿宋" w:hAnsi="仿宋" w:eastAsia="仿宋" w:cs="仿宋"/>
          <w:color w:val="000000"/>
          <w:sz w:val="24"/>
          <w:szCs w:val="24"/>
          <w:u w:val="single"/>
        </w:rPr>
        <w:t xml:space="preserve">人民币</w:t>
      </w:r>
      <w:r>
        <w:rPr>
          <w:rFonts w:hint="eastAsia" w:ascii="仿宋" w:hAnsi="仿宋" w:eastAsia="仿宋" w:cs="仿宋"/>
          <w:color w:val="000000"/>
          <w:sz w:val="24"/>
          <w:szCs w:val="24"/>
          <w:u w:val="single"/>
          <w:lang w:val="en-US" w:eastAsia="zh-CN"/>
        </w:rPr>
        <w:t xml:space="preserve">壹佰贰拾贰万肆仟捌佰</w:t>
      </w:r>
      <w:r>
        <w:rPr>
          <w:rFonts w:hint="eastAsia" w:ascii="仿宋" w:hAnsi="仿宋" w:eastAsia="仿宋" w:cs="仿宋"/>
          <w:color w:val="000000"/>
          <w:sz w:val="24"/>
          <w:szCs w:val="24"/>
          <w:u w:val="single"/>
        </w:rPr>
        <w:t xml:space="preserve">元整（小写：￥</w:t>
      </w:r>
      <w:r>
        <w:rPr>
          <w:rFonts w:hint="eastAsia" w:ascii="仿宋" w:hAnsi="仿宋" w:eastAsia="仿宋" w:cs="仿宋"/>
          <w:color w:val="000000"/>
          <w:sz w:val="24"/>
          <w:szCs w:val="24"/>
          <w:u w:val="single"/>
          <w:lang w:val="en-US" w:eastAsia="zh-CN"/>
        </w:rPr>
        <w:t xml:space="preserve">1224800.00</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其中：软件开发费用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97.48万元，</w:t>
      </w:r>
      <w:r>
        <w:rPr>
          <w:rFonts w:hint="eastAsia" w:ascii="仿宋" w:hAnsi="仿宋" w:eastAsia="仿宋" w:cs="仿宋"/>
          <w:color w:val="000000"/>
          <w:sz w:val="24"/>
          <w:szCs w:val="24"/>
          <w:u w:val="single"/>
          <w:lang w:val="zh-CN" w:eastAsia="zh-CN"/>
        </w:rPr>
        <w:t xml:space="preserve">AI算力服务</w:t>
      </w:r>
      <w:r>
        <w:rPr>
          <w:rFonts w:hint="eastAsia" w:ascii="仿宋" w:hAnsi="仿宋" w:eastAsia="仿宋" w:cs="仿宋"/>
          <w:color w:val="000000"/>
          <w:sz w:val="24"/>
          <w:szCs w:val="24"/>
          <w:u w:val="single"/>
          <w:lang w:val="en-US" w:eastAsia="zh-CN"/>
        </w:rPr>
        <w:t xml:space="preserve">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25万元/年</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rPr>
        <w:t xml:space="preserve">其中不含税金额：人民币壹佰壹拾伍万伍仟肆佰柒拾壹元柒角整‌‌（小写：￥1155471.7</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）；增值税税额：人民币陆万玖仟叁佰贰拾捌元叁角整（小写：￥69328.3</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）；增值税税率：</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rPr>
        <w:t xml:space="preserve">如出现尾差，则以发票金额为准。合同执行过程中，如国家法定增值税税率发生变化，双方约定按照合同中不含税金额不变作为基准，调整增值税税额，以开具发票的时间为准。</w:t>
      </w:r>
      <w:r>
        <w:rPr>
          <w:rFonts w:hint="eastAsia" w:ascii="仿宋" w:hAnsi="仿宋" w:eastAsia="仿宋" w:cs="仿宋"/>
          <w:color w:val="000000"/>
          <w:sz w:val="24"/>
          <w:szCs w:val="24"/>
          <w:u w:val="single"/>
        </w:rPr>
      </w:r>
    </w:p>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本合同费用包含</w:t>
      </w:r>
      <w:r>
        <w:rPr>
          <w:rFonts w:hint="eastAsia" w:ascii="仿宋" w:hAnsi="仿宋" w:eastAsia="仿宋" w:cs="仿宋"/>
          <w:color w:val="000000"/>
          <w:sz w:val="24"/>
          <w:szCs w:val="24"/>
          <w:lang w:val="en-US" w:eastAsia="zh-CN"/>
        </w:rPr>
        <w:t xml:space="preserve">软件开发欸和AI算力服务两</w:t>
      </w:r>
      <w:r>
        <w:rPr>
          <w:rFonts w:hint="eastAsia" w:ascii="仿宋" w:hAnsi="仿宋" w:eastAsia="仿宋" w:cs="仿宋"/>
          <w:color w:val="000000"/>
          <w:sz w:val="24"/>
          <w:szCs w:val="24"/>
        </w:rPr>
        <w:t xml:space="preserve">项费用，费用明细见如下表格：</w:t>
      </w:r>
      <w:r>
        <w:rPr>
          <w:rFonts w:hint="eastAsia" w:ascii="仿宋" w:hAnsi="仿宋" w:eastAsia="仿宋" w:cs="仿宋"/>
          <w:color w:val="000000"/>
          <w:sz w:val="24"/>
          <w:szCs w:val="24"/>
        </w:rPr>
      </w:r>
    </w:p>
    <w:tbl>
      <w:tblPr>
        <w:tblStyle w:val="701"/>
        <w:tblInd w:w="0" w:type="dxa"/>
        <w:tblW w:w="8664"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page" w:tblpX="1809" w:vertAnchor="text" w:tblpY="166" w:leftFromText="180" w:topFromText="0" w:rightFromText="180" w:bottomFromText="0"/>
        <w:tblOverlap w:val="never"/>
        <w:tblLook w:val="04A0" w:firstRow="1" w:lastRow="0" w:firstColumn="1" w:lastColumn="0" w:noHBand="0" w:noVBand="1"/>
      </w:tblPr>
      <w:tblGrid>
        <w:gridCol w:w="2189"/>
        <w:gridCol w:w="1970"/>
        <w:gridCol w:w="1589"/>
        <w:gridCol w:w="2916"/>
      </w:tblGrid>
      <w:tr>
        <w:trPr/>
        <w:tc>
          <w:tcPr>
            <w:tcBorders/>
            <w:tcW w:w="21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项目费用类型</w:t>
            </w:r>
            <w:r>
              <w:rPr>
                <w:rFonts w:hint="eastAsia" w:ascii="仿宋" w:hAnsi="仿宋" w:eastAsia="仿宋" w:cs="仿宋"/>
                <w:b/>
                <w:bCs/>
                <w:color w:val="000000"/>
                <w:sz w:val="24"/>
                <w:szCs w:val="24"/>
              </w:rPr>
            </w:r>
          </w:p>
        </w:tc>
        <w:tc>
          <w:tcPr>
            <w:tcBorders/>
            <w:tcW w:w="1970"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费用金额</w:t>
            </w:r>
            <w:r>
              <w:rPr>
                <w:rFonts w:hint="eastAsia" w:ascii="仿宋" w:hAnsi="仿宋" w:eastAsia="仿宋" w:cs="仿宋"/>
                <w:b/>
                <w:bCs/>
                <w:color w:val="000000"/>
                <w:sz w:val="24"/>
                <w:szCs w:val="24"/>
              </w:rPr>
            </w:r>
          </w:p>
        </w:tc>
        <w:tc>
          <w:tcPr>
            <w:tcBorders/>
            <w:tcW w:w="15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增值税税率</w:t>
            </w:r>
            <w:r>
              <w:rPr>
                <w:rFonts w:hint="eastAsia" w:ascii="仿宋" w:hAnsi="仿宋" w:eastAsia="仿宋" w:cs="仿宋"/>
                <w:b/>
                <w:bCs/>
                <w:color w:val="000000"/>
                <w:sz w:val="24"/>
                <w:szCs w:val="24"/>
              </w:rPr>
            </w:r>
          </w:p>
        </w:tc>
        <w:tc>
          <w:tcPr>
            <w:tcBorders/>
            <w:tcW w:w="2916"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备注</w:t>
            </w:r>
            <w:r>
              <w:rPr>
                <w:rFonts w:hint="eastAsia" w:ascii="仿宋" w:hAnsi="仿宋" w:eastAsia="仿宋" w:cs="仿宋"/>
                <w:b/>
                <w:bCs/>
                <w:color w:val="000000"/>
                <w:sz w:val="24"/>
                <w:szCs w:val="24"/>
              </w:rPr>
            </w:r>
          </w:p>
        </w:tc>
      </w:tr>
      <w:tr>
        <w:trPr>
          <w:trHeight w:val="68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软件开发</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974800.00元</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所有交付的软件或平台不得限制使用期限和并发数</w:t>
            </w:r>
            <w:r>
              <w:rPr>
                <w:rFonts w:hint="default" w:ascii="仿宋" w:hAnsi="仿宋" w:eastAsia="仿宋" w:cs="仿宋"/>
                <w:bCs/>
                <w:color w:val="000000"/>
                <w:sz w:val="24"/>
                <w:szCs w:val="24"/>
                <w:lang w:val="en-US"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AI算力服务</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250000.00元/年</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eastAsia="zh-CN"/>
              </w:rPr>
            </w:pPr>
            <w:r>
              <w:rPr>
                <w:rFonts w:hint="eastAsia" w:ascii="仿宋" w:hAnsi="仿宋" w:eastAsia="仿宋" w:cs="仿宋"/>
                <w:bCs/>
                <w:color w:val="000000"/>
                <w:sz w:val="24"/>
                <w:szCs w:val="24"/>
              </w:rPr>
              <w:t xml:space="preserve">服务满3年设备所有权归</w:t>
            </w:r>
            <w:r>
              <w:rPr>
                <w:rFonts w:hint="eastAsia" w:ascii="仿宋" w:hAnsi="仿宋" w:eastAsia="仿宋" w:cs="仿宋"/>
                <w:bCs/>
                <w:color w:val="000000"/>
                <w:sz w:val="24"/>
                <w:szCs w:val="24"/>
                <w:lang w:eastAsia="zh-CN"/>
              </w:rPr>
              <w:t xml:space="preserve">甲方</w:t>
            </w:r>
            <w:r>
              <w:rPr>
                <w:rFonts w:hint="eastAsia" w:ascii="仿宋" w:hAnsi="仿宋" w:eastAsia="仿宋" w:cs="仿宋"/>
                <w:bCs/>
                <w:color w:val="000000"/>
                <w:sz w:val="24"/>
                <w:szCs w:val="24"/>
                <w:lang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总计</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1224800.00元</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r>
            <w:r>
              <w:rPr>
                <w:rFonts w:hint="eastAsia" w:ascii="仿宋" w:hAnsi="仿宋" w:eastAsia="仿宋" w:cs="仿宋"/>
                <w:bCs/>
                <w:color w:val="000000"/>
                <w:sz w:val="24"/>
                <w:szCs w:val="24"/>
                <w:lang w:val="en-US" w:eastAsia="zh-CN"/>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bookmarkStart w:id="113" w:name="_GoBack"/>
            <w:r/>
            <w:bookmarkEnd w:id="113"/>
            <w:r/>
            <w:r>
              <w:rPr>
                <w:rFonts w:hint="eastAsia" w:ascii="仿宋" w:hAnsi="仿宋" w:eastAsia="仿宋" w:cs="仿宋"/>
                <w:bCs/>
                <w:color w:val="000000"/>
                <w:sz w:val="24"/>
                <w:szCs w:val="24"/>
              </w:rPr>
            </w:r>
          </w:p>
        </w:tc>
      </w:tr>
    </w:tbl>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i/>
          <w:color w:val="000000"/>
          <w:sz w:val="24"/>
          <w:szCs w:val="24"/>
        </w:rPr>
      </w:pPr>
      <w:r>
        <w:rPr>
          <w:rFonts w:hint="eastAsia" w:ascii="仿宋" w:hAnsi="仿宋" w:eastAsia="仿宋" w:cs="仿宋"/>
          <w:color w:val="000000"/>
          <w:sz w:val="24"/>
          <w:szCs w:val="24"/>
        </w:rPr>
        <w:t xml:space="preserve">2、研究开发经费由甲方</w:t>
      </w:r>
      <w:r>
        <w:rPr>
          <w:rFonts w:hint="eastAsia" w:ascii="仿宋" w:hAnsi="仿宋" w:eastAsia="仿宋" w:cs="仿宋"/>
          <w:i/>
          <w:color w:val="000000"/>
          <w:sz w:val="24"/>
          <w:szCs w:val="24"/>
        </w:rPr>
      </w:r>
    </w:p>
    <w:p>
      <w:pPr>
        <w:pBdr/>
        <w:spacing w:line="360" w:lineRule="auto"/>
        <w:ind w:firstLine="480"/>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zh-CN" w:eastAsia="zh-CN"/>
        </w:rPr>
        <w:t xml:space="preserve">合同生效后，乙方开具符合甲方要求的增值税专用发票，甲方收到发票</w:t>
      </w:r>
      <w:r>
        <w:rPr>
          <w:rFonts w:hint="eastAsia" w:ascii="仿宋_GB2312" w:hAnsi="仿宋_GB2312" w:eastAsia="仿宋_GB2312" w:cs="仿宋_GB2312"/>
          <w:color w:val="auto"/>
          <w:sz w:val="24"/>
          <w:szCs w:val="24"/>
          <w:u w:val="single"/>
          <w:lang w:val="en-US" w:eastAsia="zh-CN"/>
        </w:rPr>
        <w:t xml:space="preserve">30</w:t>
      </w:r>
      <w:r>
        <w:rPr>
          <w:rFonts w:hint="eastAsia" w:ascii="仿宋_GB2312" w:hAnsi="仿宋_GB2312" w:eastAsia="仿宋_GB2312" w:cs="仿宋_GB2312"/>
          <w:color w:val="auto"/>
          <w:sz w:val="24"/>
          <w:szCs w:val="24"/>
          <w:u w:val="single"/>
          <w:lang w:val="zh-CN" w:eastAsia="zh-CN"/>
        </w:rPr>
        <w:t xml:space="preserve">日内</w:t>
      </w:r>
      <w:r>
        <w:rPr>
          <w:rFonts w:hint="eastAsia" w:ascii="仿宋_GB2312" w:hAnsi="仿宋_GB2312" w:eastAsia="仿宋_GB2312" w:cs="仿宋_GB2312"/>
          <w:color w:val="auto"/>
          <w:sz w:val="24"/>
          <w:szCs w:val="24"/>
          <w:u w:val="single"/>
          <w:lang w:val="en-US" w:eastAsia="zh-CN"/>
        </w:rPr>
        <w:t xml:space="preserve">向乙方支</w:t>
      </w:r>
      <w:r>
        <w:rPr>
          <w:rFonts w:hint="eastAsia" w:ascii="仿宋_GB2312" w:hAnsi="仿宋_GB2312" w:eastAsia="仿宋_GB2312" w:cs="仿宋_GB2312"/>
          <w:color w:val="auto"/>
          <w:sz w:val="24"/>
          <w:szCs w:val="24"/>
          <w:u w:val="single"/>
          <w:lang w:val="zh-CN" w:eastAsia="zh-CN"/>
        </w:rPr>
        <w:t xml:space="preserve">付</w:t>
      </w:r>
      <w:r>
        <w:rPr>
          <w:rFonts w:hint="eastAsia" w:ascii="仿宋_GB2312" w:hAnsi="仿宋_GB2312" w:eastAsia="仿宋_GB2312" w:cs="仿宋_GB2312"/>
          <w:color w:val="auto"/>
          <w:sz w:val="24"/>
          <w:szCs w:val="24"/>
          <w:u w:val="single"/>
          <w:lang w:val="en-US" w:eastAsia="zh-CN"/>
        </w:rPr>
        <w:t xml:space="preserve">软件开发费用总额3</w:t>
      </w:r>
      <w:r>
        <w:rPr>
          <w:rFonts w:hint="eastAsia" w:ascii="仿宋_GB2312" w:hAnsi="仿宋_GB2312" w:eastAsia="仿宋_GB2312" w:cs="仿宋_GB2312"/>
          <w:color w:val="auto"/>
          <w:sz w:val="24"/>
          <w:szCs w:val="24"/>
          <w:u w:val="single"/>
          <w:lang w:val="zh-CN" w:eastAsia="zh-CN"/>
        </w:rPr>
        <w:t xml:space="preserve">0%，即人民币</w:t>
      </w:r>
      <w:r>
        <w:rPr>
          <w:rFonts w:hint="eastAsia" w:ascii="仿宋_GB2312" w:hAnsi="仿宋_GB2312" w:eastAsia="仿宋_GB2312" w:cs="仿宋_GB2312"/>
          <w:color w:val="auto"/>
          <w:sz w:val="24"/>
          <w:szCs w:val="24"/>
          <w:u w:val="single"/>
          <w:lang w:val="zh-CN" w:eastAsia="zh-CN"/>
        </w:rPr>
        <w:t xml:space="preserve">贰拾玖万贰仟肆佰肆拾元整（小写：￥</w:t>
      </w:r>
      <w:r>
        <w:rPr>
          <w:rFonts w:hint="eastAsia" w:ascii="仿宋_GB2312" w:hAnsi="仿宋_GB2312" w:eastAsia="仿宋_GB2312" w:cs="仿宋_GB2312"/>
          <w:color w:val="auto"/>
          <w:sz w:val="24"/>
          <w:szCs w:val="24"/>
          <w:u w:val="single"/>
          <w:lang w:val="en-US" w:eastAsia="zh-CN"/>
        </w:rPr>
        <w:t xml:space="preserve">292440.00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default" w:ascii="仿宋_GB2312" w:hAnsi="仿宋_GB2312" w:eastAsia="仿宋_GB2312" w:cs="仿宋_GB2312"/>
          <w:color w:val="auto"/>
          <w:sz w:val="24"/>
          <w:szCs w:val="24"/>
          <w:u w:val="single"/>
          <w:lang w:val="en-US" w:eastAsia="zh-CN"/>
        </w:rPr>
      </w:r>
    </w:p>
    <w:p>
      <w:pPr>
        <w:pBdr/>
        <w:spacing w:line="360" w:lineRule="auto"/>
        <w:ind w:firstLine="480"/>
        <w:rPr>
          <w:rFonts w:hint="eastAsia" w:ascii="仿宋_GB2312" w:hAnsi="仿宋_GB2312" w:eastAsia="仿宋_GB2312" w:cs="仿宋_GB2312"/>
          <w:color w:val="auto"/>
          <w:sz w:val="24"/>
          <w:szCs w:val="24"/>
          <w:u w:val="single"/>
          <w:lang w:val="zh-CN" w:eastAsia="zh-CN"/>
        </w:rPr>
      </w:pPr>
      <w:r>
        <w:rPr>
          <w:rFonts w:hint="eastAsia" w:ascii="仿宋_GB2312" w:hAnsi="仿宋_GB2312" w:eastAsia="仿宋_GB2312" w:cs="仿宋_GB2312"/>
          <w:color w:val="auto"/>
          <w:sz w:val="24"/>
          <w:szCs w:val="24"/>
          <w:u w:val="single"/>
          <w:lang w:val="en-US" w:eastAsia="zh-CN"/>
        </w:rPr>
        <w:t xml:space="preserve">乙方完成系统建设工作并上线试运行后，乙方按照甲方要求开具符合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，甲方收到发票后30日内向乙方支付软件开发费用总额40%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叁拾捌万玖仟玖佰贰拾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389920.00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zh-CN" w:eastAsia="zh-CN"/>
        </w:rPr>
      </w:r>
    </w:p>
    <w:p>
      <w:pPr>
        <w:pBdr/>
        <w:spacing w:line="360" w:lineRule="auto"/>
        <w:ind w:firstLine="480"/>
        <w:rPr>
          <w:rFonts w:hint="eastAsia"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en-US" w:eastAsia="zh-CN"/>
        </w:rPr>
        <w:t xml:space="preserve">在系统上线稳定运行30日，乙方满足甲方驻场人员和驻场时间的要求后，甲乙双方在验收报告上签字之日起十五日内，乙方按照甲方要求开具符合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，甲方收到发票后30日内向乙方支付软件开发费用总额20%，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壹拾玖万肆仟玖佰陆拾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194960.00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r>
    </w:p>
    <w:p>
      <w:pPr>
        <w:pBdr/>
        <w:spacing w:line="360" w:lineRule="auto"/>
        <w:ind w:firstLine="480"/>
        <w:rPr>
          <w:rFonts w:hint="eastAsia" w:ascii="仿宋" w:hAnsi="仿宋" w:eastAsia="仿宋" w:cs="仿宋"/>
          <w:color w:val="auto"/>
          <w:sz w:val="24"/>
          <w:szCs w:val="24"/>
          <w:u w:val="single"/>
        </w:rPr>
      </w:pPr>
      <w:r>
        <w:rPr>
          <w:rFonts w:hint="eastAsia" w:ascii="仿宋_GB2312" w:hAnsi="仿宋_GB2312" w:eastAsia="仿宋_GB2312" w:cs="仿宋_GB2312"/>
          <w:color w:val="auto"/>
          <w:sz w:val="24"/>
          <w:szCs w:val="24"/>
          <w:u w:val="single"/>
          <w:lang w:val="en-US" w:eastAsia="zh-CN"/>
        </w:rPr>
        <w:t xml:space="preserve">自项目验收报告签字之日起满一年，乙方确保系统稳定运行且达到甲方满意后，乙方按照甲方要求开具符合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，甲方收到发票后30日内向乙方支付软件开发费用总额10%，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玖万柒仟肆佰捌拾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97480.00</w:t>
      </w:r>
      <w:r>
        <w:rPr>
          <w:rFonts w:hint="eastAsia" w:ascii="仿宋_GB2312" w:hAnsi="仿宋_GB2312" w:eastAsia="仿宋_GB2312" w:cs="仿宋_GB2312"/>
          <w:color w:val="auto"/>
          <w:sz w:val="24"/>
          <w:szCs w:val="24"/>
          <w:u w:val="single"/>
          <w:lang w:val="zh-CN" w:eastAsia="zh-CN"/>
        </w:rPr>
        <w:t xml:space="preserve">元）</w:t>
      </w:r>
      <w:r>
        <w:rPr>
          <w:rFonts w:hint="eastAsia" w:ascii="仿宋" w:hAnsi="仿宋" w:eastAsia="仿宋" w:cs="仿宋"/>
          <w:color w:val="auto"/>
          <w:sz w:val="24"/>
          <w:szCs w:val="24"/>
          <w:u w:val="single"/>
        </w:rPr>
        <w:t xml:space="preserve">。</w:t>
      </w:r>
      <w:r>
        <w:rPr>
          <w:rFonts w:hint="eastAsia" w:ascii="仿宋" w:hAnsi="仿宋" w:eastAsia="仿宋" w:cs="仿宋"/>
          <w:color w:val="auto"/>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3、发票：乙方公司为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一般纳税人 □小规模纳税人，应开具符合国家规定和甲方要求的增值税专用发票，发票中货物或应税劳务、服务名称为</w:t>
      </w:r>
      <w:r>
        <w:rPr>
          <w:rFonts w:hint="eastAsia" w:ascii="仿宋" w:hAnsi="仿宋" w:eastAsia="仿宋" w:cs="仿宋"/>
          <w:color w:val="000000"/>
          <w:sz w:val="24"/>
          <w:szCs w:val="24"/>
          <w:u w:val="single"/>
        </w:rPr>
        <w:t xml:space="preserve">技术开发费</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技术服务费</w:t>
      </w:r>
      <w:r>
        <w:rPr>
          <w:rFonts w:hint="eastAsia" w:ascii="仿宋" w:hAnsi="仿宋" w:eastAsia="仿宋" w:cs="仿宋"/>
          <w:color w:val="000000"/>
          <w:sz w:val="24"/>
          <w:szCs w:val="24"/>
        </w:rPr>
        <w:t xml:space="preserve">，税率为</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甲方账号信息如下（开具增值税专用发票使用）：</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单位名称：泰安银行股份有限公司</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纳税识别号：91370000730666218Q</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开户银行：泰安银行</w:t>
      </w:r>
      <w:r>
        <w:rPr>
          <w:rFonts w:hint="eastAsia" w:ascii="仿宋" w:hAnsi="仿宋" w:eastAsia="仿宋" w:cs="仿宋"/>
          <w:color w:val="000000"/>
          <w:sz w:val="24"/>
          <w:szCs w:val="24"/>
          <w:u w:val="single"/>
          <w:lang w:eastAsia="zh-CN"/>
        </w:rPr>
        <w:t xml:space="preserve">股份有限公司</w:t>
      </w:r>
      <w:r>
        <w:rPr>
          <w:rFonts w:hint="eastAsia" w:ascii="仿宋" w:hAnsi="仿宋" w:eastAsia="仿宋" w:cs="仿宋"/>
          <w:color w:val="000000"/>
          <w:sz w:val="24"/>
          <w:szCs w:val="24"/>
          <w:u w:val="single"/>
        </w:rPr>
        <w:t xml:space="preserve">营业部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开户账号：100008006400010</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单位地址：</w:t>
      </w:r>
      <w:r>
        <w:rPr>
          <w:rFonts w:hint="eastAsia" w:ascii="仿宋" w:hAnsi="仿宋" w:eastAsia="仿宋" w:cs="仿宋"/>
          <w:color w:val="000000"/>
          <w:sz w:val="24"/>
          <w:szCs w:val="24"/>
          <w:u w:val="single"/>
          <w:lang w:eastAsia="zh-CN"/>
        </w:rPr>
        <w:t xml:space="preserve">泰安市泰山大街59号</w:t>
      </w:r>
      <w:r>
        <w:rPr>
          <w:rFonts w:hint="eastAsia" w:ascii="仿宋" w:hAnsi="仿宋" w:eastAsia="仿宋" w:cs="仿宋"/>
          <w:color w:val="000000"/>
          <w:sz w:val="24"/>
          <w:szCs w:val="24"/>
          <w:u w:val="single"/>
        </w:rPr>
        <w:t xml:space="preserve">圣地大厦</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电话：0538-8421019</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乙方账户信息如下：</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7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开户银行：光大银行济南市中支行</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户名：中电信数智科技有限公司山东分公司</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账号：7699 0188 0000 6144 7</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第七条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研究开发经费由甲方分批拨付的方式使用。乙方以周会的方式向甲方汇报项目进展，并提交加盖公章的项目报告书。甲方有权以周会的方式检查乙方进行研究开发工作和使用研究开发经费的情况，但不得妨碍乙方的正常工作。</w:t>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第八条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本合同的变更必须由双方协商一致，并以书面形式确定。</w:t>
      </w:r>
      <w:r>
        <w:rPr>
          <w:rFonts w:hint="eastAsia" w:ascii="仿宋" w:hAnsi="仿宋" w:eastAsia="仿宋" w:cs="仿宋"/>
          <w:color w:val="000000"/>
          <w:sz w:val="24"/>
          <w:szCs w:val="24"/>
        </w:rPr>
        <w:t xml:space="preserve">因政策环境发生重大变化或监管要求，双方应协商重新签订合同或补充合同，如果协商不成，甲方有权根据实际情况自行决定是否解除合同，</w:t>
      </w:r>
      <w:r>
        <w:rPr>
          <w:rFonts w:hint="eastAsia" w:ascii="仿宋" w:hAnsi="仿宋" w:eastAsia="仿宋" w:cs="仿宋"/>
          <w:bCs w:val="0"/>
          <w:color w:val="000000"/>
          <w:sz w:val="24"/>
          <w:szCs w:val="24"/>
        </w:rPr>
        <w:t xml:space="preserve">并无须支付剩余开发经费和报酬。</w:t>
      </w:r>
      <w:r>
        <w:rPr>
          <w:rFonts w:hint="eastAsia" w:ascii="仿宋" w:hAnsi="仿宋" w:eastAsia="仿宋" w:cs="仿宋"/>
          <w:color w:val="000000"/>
          <w:sz w:val="24"/>
          <w:szCs w:val="24"/>
        </w:rPr>
        <w:t xml:space="preserve">甲方决定停止项目研发的，应当及时通知乙方解除、终止本合同。</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1、发生重大需求变更的，一方可以向另一方提出变更合同权利与义务的请求，另一方应当在</w:t>
      </w:r>
      <w:r>
        <w:rPr>
          <w:rFonts w:hint="eastAsia" w:ascii="仿宋" w:hAnsi="仿宋" w:eastAsia="仿宋" w:cs="仿宋"/>
          <w:color w:val="000000"/>
          <w:sz w:val="24"/>
          <w:szCs w:val="24"/>
          <w:u w:val="single"/>
        </w:rPr>
        <w:t xml:space="preserve">五</w:t>
      </w:r>
      <w:r>
        <w:rPr>
          <w:rFonts w:hint="eastAsia" w:ascii="仿宋" w:hAnsi="仿宋" w:eastAsia="仿宋" w:cs="仿宋"/>
          <w:color w:val="000000"/>
          <w:sz w:val="24"/>
          <w:szCs w:val="24"/>
        </w:rPr>
        <w:t xml:space="preserve">日内予以答复。</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276"/>
          <w:tab w:val="left" w:leader="none" w:pos="8160"/>
        </w:tabs>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甲方如有新的项目范围或项目需求，乙方项目组对变更内容的技术可靠性、对整个项目的影响、需要的工作量和完成日期等内容作出评估；如涉及重大需求变更（工作量超过人月的），须提出书面变更申请，并将评估结果和开发测试计划书面反馈给甲方，由甲方项目负责人和使用部门共同进行实施决策，并签署变更确认文件；乙方收到变更确认文件后实施开发及相关的测试工作，经甲乙双方协商并书面确认后可适当调整项目工期。</w:t>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乙方在现有技术水平和条件下难以克服的技术困难，导致研究开发失败或部分失败的，乙方将免收研发经费和报酬，已收取的退还甲方。给甲方造成损失的，由乙方承担全部赔偿责任，赔偿范围包括但不限于：赔偿费、律师费、诉讼费、仲裁费、鉴定费、交通费、住宿费等费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双方确定，本合同项目的技术风险按</w:t>
      </w:r>
      <w:r>
        <w:rPr>
          <w:rFonts w:hint="eastAsia" w:ascii="仿宋" w:hAnsi="仿宋" w:eastAsia="仿宋" w:cs="仿宋"/>
          <w:color w:val="000000"/>
          <w:sz w:val="24"/>
          <w:szCs w:val="24"/>
          <w:u w:val="single"/>
        </w:rPr>
        <w:t xml:space="preserve">  2  </w:t>
      </w:r>
      <w:r>
        <w:rPr>
          <w:rFonts w:hint="eastAsia" w:ascii="仿宋" w:hAnsi="仿宋" w:eastAsia="仿宋" w:cs="仿宋"/>
          <w:color w:val="000000"/>
          <w:sz w:val="24"/>
          <w:szCs w:val="24"/>
        </w:rPr>
        <w:t xml:space="preserve">的方式认定。认定技术风险的基本内容应当包括技术风险的存在、范围、程度及损失大小等。认定技术风险的基本条件是：</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1、本合同项目在现有技术水平条件下具有足够的难度；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2、乙方在主观上无过错且经认定研究开发失败为合理的失败。</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一方发现技术风险存在并有可能致使研究开发失败或部分失败的情形时，应当在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日内通知另一方并采取适当措施减少损失。逾期未通知并未采取适当措施而致使损失扩大的，应当就扩大的损失承担赔偿责任。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在本合同履行中，因作为研究开发标的的技术已经由他人公开（包括以专利权方式公开），一方应在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w:t>
      </w:r>
      <w:r>
        <w:rPr>
          <w:rFonts w:hint="eastAsia" w:ascii="仿宋" w:hAnsi="仿宋" w:eastAsia="仿宋" w:cs="仿宋"/>
          <w:color w:val="000000"/>
          <w:sz w:val="24"/>
          <w:szCs w:val="24"/>
          <w:lang w:eastAsia="zh-CN"/>
        </w:rPr>
        <w:t xml:space="preserve">书面</w:t>
      </w:r>
      <w:r>
        <w:rPr>
          <w:rFonts w:hint="eastAsia" w:ascii="仿宋" w:hAnsi="仿宋" w:eastAsia="仿宋" w:cs="仿宋"/>
          <w:color w:val="000000"/>
          <w:sz w:val="24"/>
          <w:szCs w:val="24"/>
        </w:rPr>
        <w:t xml:space="preserve">通知另一方解除合同。逾期未通知并致使另一方产生损失的，另一方有权要求予以赔偿。在本合同履行中，乙方应保证作为研究开发标的的技术拥有自主知识产权，如因知识产权对甲方造成损失，乙方须全额赔偿。</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630"/>
        </w:tabs>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服务持续性方面，</w:t>
      </w:r>
      <w:r>
        <w:rPr>
          <w:rFonts w:hint="eastAsia" w:ascii="仿宋" w:hAnsi="仿宋" w:eastAsia="仿宋" w:cs="仿宋"/>
          <w:color w:val="000000"/>
          <w:sz w:val="24"/>
          <w:szCs w:val="24"/>
        </w:rPr>
        <w:t xml:space="preserve">乙方承诺根据甲方业务连续性要求进行工作，乙方在服务过程中应保证甲方的信息系统业务连续性。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在发生本项目服务相关的重大事件或灾难后，乙方应协助甲方实施应急处理。乙方应在重大事件或灾难发生后按照甲方业务连续性目标要求恢复相关服务，如果相关服务未在甲方业务连续性目标要求内恢复，甲方有权要求解除本合同。如果发生重大事件或灾难，乙方不应增加在本合同下的收费，或者向甲方收取额外的费用；同时乙方在服务过程中造成乙方人员或甲方或第三人损失的，由乙方承担赔偿全部责任。</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851"/>
          <w:tab w:val="left" w:leader="none" w:pos="81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涉及的外包服务可能给甲方业务连续性管理造成重大影响的，乙方必须按照甲方要求提供必要的应急和灾备资源保障，并在合同生效日期后的20个工作日内制定与本项目服务相关的应急预案并提交甲方审核，预案中必须包含应急和灾备资源保障措施，同时明确为甲方提供应急响应和恢复的优先级，且优先级为最高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w:t>
      </w:r>
      <w:r>
        <w:rPr>
          <w:rFonts w:hint="eastAsia" w:ascii="仿宋" w:hAnsi="仿宋" w:eastAsia="仿宋" w:cs="仿宋"/>
          <w:bCs/>
          <w:color w:val="000000"/>
          <w:sz w:val="24"/>
          <w:szCs w:val="24"/>
        </w:rPr>
        <w:t xml:space="preserve">在合同履行期间，乙方应配合甲方参与应急计划编制和应急演练（或测试），配合甲方出具应急演练（或测试）报告，并及时更新本合同服务应急预案。</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shd w:val="clear" w:color="auto" w:fill="ffffff"/>
          <w:lang w:val="en-US" w:eastAsia="zh-CN"/>
        </w:rPr>
        <w:t xml:space="preserve">第十二条</w:t>
      </w:r>
      <w:r>
        <w:rPr>
          <w:rFonts w:hint="eastAsia" w:ascii="仿宋" w:hAnsi="仿宋" w:eastAsia="仿宋" w:cs="仿宋"/>
          <w:color w:val="000000"/>
          <w:sz w:val="24"/>
          <w:szCs w:val="24"/>
          <w:shd w:val="clear" w:color="auto" w:fill="ffffff"/>
          <w:lang w:val="en-US" w:eastAsia="zh-CN"/>
        </w:rPr>
        <w:t xml:space="preserve"> </w:t>
      </w:r>
      <w:r>
        <w:rPr>
          <w:rFonts w:hint="eastAsia" w:ascii="仿宋" w:hAnsi="仿宋" w:eastAsia="仿宋" w:cs="仿宋"/>
          <w:color w:val="000000"/>
          <w:sz w:val="24"/>
          <w:szCs w:val="24"/>
          <w:shd w:val="clear" w:color="auto" w:fill="ffffff"/>
        </w:rPr>
        <w:t xml:space="preserve">甲乙双方必须签订《信息科技外包安全保密协议》（附件三），乙方所有服务参与人员、管理人员以及提供专业服务的顾问或其他人员等必须向甲方签订个人保密协议。甲乙双方同意在需要向对方披露自身的保密信息时，必须保守对方的商业秘密，并遵守如下保密条款。</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甲方：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甲方应对本合同期间获得的乙方的所有保密信息（包括但不限于：技术信息、业务信息、市场信息、财务信息）保守机密，未经乙方书面允许，不得向任何第三方泄露，或者对上述信息进行不合理的利用；但甲方有权向司法、纪检等有权机关披露相关信息。</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甲方的所有项目参与人员、管理人员或其他人员等。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3、保密期限：本合同生效时起至保密内容完全公开时止，保密义务不因外包服务的终止而终止；双方的保密义务不因本合同的解除、终止、撤销及无效而免除。</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4、泄密责任：若甲方违反本条约定的保密义务，则甲方应按照本合同金额的30%支付违约金。</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乙方：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乙方应对本合同期间获得的甲方的所有保密信息（包括但不限于：技术信息、业务信息、市场信息、财务信息、银行客户信息及数据）保守机密，未经甲方书面允许，不得向任何第三方泄露，或者对上述信息进行不合理的利用。乙方不得将甲方数据以任何形式转移、挪用或谋取外包合同约定以外的利益，并承诺项目开发完成后，在甲方项目经理的监督下销毁项目期间取得的甲方所有保密信息及数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乙方的所有项目参与人员、管理人员以及为甲方提供专业服务的顾问或其他人员等。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3、保密期限：本合同生效时起至保密内容完全公开时止，包含乙方人员离职过渡期和离职后时期，保密义务不因外包服务的终止而终止；双方的保密义务不因本合同的解除、终止、撤销及无效而免除。</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乙方有权保障客户信息的安全性，当客户信息不安全或客户权利受到影响时，甲方有权随时终止合同；乙方严禁将甲方的源代码等保密信息上传至互联网等公共平台，否则视为乙方侵权，甲方有权追究乙方相关责任；若乙方违反本条约定的保密义务，则乙方应按照本合同金额的30%支付违约金，并赔偿甲方因此所受到的全部损失。</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乙方应当按以下方式向甲方交付研究开发成果：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1、研究开发成果交付的形式：</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1）软件及安装调试运行</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2）业务、技术培训</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3）文档交付物见附件一《交付物清单》。</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2、研究开发成果交付的时间及地点：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1）软件及安装调试运行在甲方所在地依据系统开发实施进度执行；</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2）甲方确定时间地点，乙方委派培训讲师举行相关培训</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3）乙方在项目验收前提供附件一包含的所有交付物，是验收测试的前提。</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bookmarkStart w:id="0" w:name="OLE_LINK4"/>
      <w:r/>
      <w:bookmarkStart w:id="1" w:name="OLE_LINK5"/>
      <w:r>
        <w:rPr>
          <w:rFonts w:hint="eastAsia" w:ascii="仿宋" w:hAnsi="仿宋" w:eastAsia="仿宋" w:cs="仿宋"/>
          <w:b/>
          <w:bCs/>
          <w:color w:val="000000"/>
          <w:sz w:val="24"/>
          <w:szCs w:val="24"/>
          <w:lang w:val="en-US" w:eastAsia="zh-CN"/>
        </w:rPr>
        <w:t xml:space="preserve">第十四条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按以下标准及方法对乙方完成的研究开发成果进行验收：乙方提供附件一所列的交付物后，向甲方提出验收申请。甲方应在接到验收申请的30个工作日内开始验收工作，并按照双方确定的业务需求说明书为验收标准，同时系统验收应以实现甲方的实际需求和实用效果为前提；如因乙方原因给甲方造成的项目停滞、延误（包括但不限于因验收不合格导致的延期）、或者失败等损失的，每延期一天乙方应向甲方支付合同总额的</w:t>
      </w: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rPr>
        <w:t xml:space="preserve"> 作为违约金；对于延期超过90天的，甲方有权解除合同，乙方应退还甲方已交付的各种款项，赔偿甲方因此所受的损失，并支付合同总额 30 %的违约金。</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开展验收测试工作时，乙方承诺所有测试人员不得同时进行功能测试和非功能测试的工作，同一人不得同时承担上述两项测试职责。如因违反该承诺而给甲方及第三方造成的相关损失和影响，乙方须承担全部责任。</w:t>
      </w:r>
      <w:bookmarkEnd w:id="0"/>
      <w:bookmarkEnd w:id="1"/>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保证其交付给甲方的研究开发成果不侵犯任何第三人的合法权益。如发生第三人指控甲方实施的技术侵权的，乙方应当承担侵权责任并赔偿甲方因此所受到的全部损失。乙方在履行合同过程中，造成的甲方、乙方或第三方人身伤害或财产损失的，乙方需承担赔偿责任及侵权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双方确定，因履行本合同所产生的研究开发成果及其相关知识产权权利归属，按下列第</w:t>
      </w:r>
      <w:r>
        <w:rPr>
          <w:rFonts w:hint="eastAsia" w:ascii="仿宋" w:hAnsi="仿宋" w:eastAsia="仿宋" w:cs="仿宋"/>
          <w:color w:val="000000"/>
          <w:sz w:val="24"/>
          <w:szCs w:val="24"/>
          <w:u w:val="single"/>
        </w:rPr>
        <w:t xml:space="preserve"> 3 </w:t>
      </w:r>
      <w:r>
        <w:rPr>
          <w:rFonts w:hint="eastAsia" w:ascii="仿宋" w:hAnsi="仿宋" w:eastAsia="仿宋" w:cs="仿宋"/>
          <w:color w:val="000000"/>
          <w:sz w:val="24"/>
          <w:szCs w:val="24"/>
        </w:rPr>
        <w:t xml:space="preserve">种方式处理：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1、（甲、乙、双）方享有申请专利的权利。</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专利权取得后的使用和利益分配方式如下：无。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2、按技术秘密方式处理。有关使用和转让的权利归属及由此产生的利益按以下约定处理：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（1）技术秘密的使用权：无。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（2）技术秘密的转让权：无。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（3）相关利益的分配办法：无。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3、双方对本合同有关的知识产权权利归属特别约定如下：</w:t>
      </w:r>
      <w:r>
        <w:rPr>
          <w:rFonts w:hint="eastAsia" w:ascii="仿宋" w:hAnsi="仿宋" w:eastAsia="仿宋" w:cs="仿宋"/>
          <w:color w:val="000000"/>
          <w:sz w:val="24"/>
          <w:szCs w:val="24"/>
          <w:u w:val="single"/>
        </w:rPr>
        <w:t xml:space="preserve">本合同履行过程中产生、加工、交互的信息及项目完成的技术成果及对应的知识产权（包含著作权、专利申请权、专利权及其他相关知识产权）归甲方所有，甲方拥有在本机构中使用的权利，乙方不得在甲方所在机构之外的范围使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未经甲方书面同意，乙方不得将向甲方交付的研究成果，自行转让给第三人。</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应用系统的开发必须保障业务连续性，并在确保监管要求的基础上，满足以下技术和安全标准：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1、必须支持IPv6连接访问。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2、必须满足甲方本合同信息系统生僻字改造功能的成功实现。</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3、满足监管机构《商业银行应用程序接口安全管理规范》</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和《个人金融信息保护技术规范》中的要求。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应确保系统中不会编码或植入任何病毒、后门或类似代码和工具。如果发现病毒、后门或类似代码或工具被植入到系统中，乙方应清除植入到系统中的病毒、后门或类似代码或工具，并且协助甲方降低病毒、后门或类似代码或工具的影响，如果病毒、后门或类似代码或工具导致甲方经营效率损失、数据损失、声誉损失或信息安全，应协助甲方尽最大可能减轻和恢复损失。</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5、如本项目涉及移动终端（设备）及其他接入需求的，乙方应按照甲方确定的技术方案和要求进行实施。</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6、如本项目涉及加密或测评需求的，乙方应按照国家密码管理部门和甲方确定的加密方式、加密算法等要求进行实施及配合，确保系统符合相关规定。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7、乙方须配合第三方服务机构的监理、检测、验收等工作。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8、如本项目使用操作系统、应用软件、数据库、中间件许可证号或注册号的，不得与该项目安装的设备信息或系统参数绑定。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9、由乙方提供及开发人员使用的操作系统、应用软件、数据库、开发工具、中间件和硬件等产品，必须满足国家版权机构和监管机构的正版化要求。同时按照甲方要求的软、硬件版本进行安装，否则必须承担安装其他版本软件所产生的全部正版化费用，并承担因未按照甲方规定或违反甲方规定所造成的全部损失。</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color w:val="000000"/>
          <w:sz w:val="24"/>
          <w:szCs w:val="24"/>
        </w:rPr>
        <w:t xml:space="preserve">10、乙方必须向甲方提供在项目或产品开发过程中所使用的全部开源软件和组件清单，清单内容应至少包含开源软件和组件的名称、版本号、用途及来源地址等信息；同时乙方须保证在使用过程中遵守相应的开源协议规定，保留开源软件中原有的许可声明和版权、专利、商标情况等标识，确保任何情况下不会使软件中不是开源软件的部分面临必须开源的风险。如因乙方提供的开源软件和组件存在漏洞或违规使用等原因，导</w:t>
      </w:r>
      <w:r>
        <w:rPr>
          <w:rFonts w:hint="eastAsia" w:ascii="仿宋" w:hAnsi="仿宋" w:eastAsia="仿宋" w:cs="仿宋"/>
          <w:bCs/>
          <w:color w:val="000000"/>
          <w:sz w:val="24"/>
          <w:szCs w:val="24"/>
        </w:rPr>
        <w:t xml:space="preserve">致甲方受到损失的，</w:t>
      </w:r>
      <w:r>
        <w:rPr>
          <w:rFonts w:hint="eastAsia" w:ascii="仿宋" w:hAnsi="仿宋" w:eastAsia="仿宋" w:cs="仿宋"/>
          <w:color w:val="000000"/>
          <w:sz w:val="24"/>
          <w:szCs w:val="24"/>
        </w:rPr>
        <w:t xml:space="preserve">乙方必须承担相关责任</w:t>
      </w:r>
      <w:r>
        <w:rPr>
          <w:rFonts w:hint="eastAsia" w:ascii="仿宋" w:hAnsi="仿宋" w:eastAsia="仿宋" w:cs="仿宋"/>
          <w:bCs/>
          <w:color w:val="000000"/>
          <w:sz w:val="24"/>
          <w:szCs w:val="24"/>
        </w:rPr>
        <w:t xml:space="preserve">，并赔偿甲方所受到的全部损失。</w:t>
      </w:r>
      <w:r>
        <w:rPr>
          <w:rFonts w:hint="eastAsia" w:ascii="仿宋" w:hAnsi="仿宋" w:eastAsia="仿宋" w:cs="仿宋"/>
          <w:bCs/>
          <w:color w:val="000000"/>
          <w:sz w:val="24"/>
          <w:szCs w:val="24"/>
        </w:rPr>
      </w:r>
    </w:p>
    <w:p>
      <w:pPr>
        <w:keepNext w:val="false"/>
        <w:keepLines w:val="false"/>
        <w:pageBreakBefore w:val="false"/>
        <w:widowControl w:val="false"/>
        <w:pBdr/>
        <w:bidi w:val="false"/>
        <w:spacing w:line="360" w:lineRule="auto"/>
        <w:ind w:firstLine="480"/>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11、乙方须全力配合甲方系统上线前的源代码检查、漏洞扫描工作，对发现的问题进行全部整改，满足监管要求的同时全面保障系统的顺利上线。</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contextualSpacing w:val="true"/>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因监管机构及国家相关部门新颁布的监管及法规政策要求必须实施的改造，以及甲方其他系统变动导致的本项目改造，甲方应及时通知乙方，乙方均不得以任何理由拒绝；改造工作量在</w:t>
      </w:r>
      <w:r>
        <w:rPr>
          <w:rFonts w:hint="eastAsia" w:ascii="仿宋" w:hAnsi="仿宋" w:eastAsia="仿宋" w:cs="仿宋"/>
          <w:color w:val="000000"/>
          <w:sz w:val="24"/>
          <w:szCs w:val="24"/>
          <w:u w:val="single"/>
          <w:lang w:val="en-US" w:eastAsia="zh-CN"/>
        </w:rPr>
        <w:t xml:space="preserve">1</w:t>
      </w:r>
      <w:r>
        <w:rPr>
          <w:rFonts w:hint="eastAsia" w:ascii="仿宋" w:hAnsi="仿宋" w:eastAsia="仿宋" w:cs="仿宋"/>
          <w:color w:val="000000"/>
          <w:sz w:val="24"/>
          <w:szCs w:val="24"/>
        </w:rPr>
        <w:t xml:space="preserve">个人月以内的乙方须免费予以实施，超过该工作量的系统变动需求，双方另行协商结算。</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b/>
          <w:color w:val="000000"/>
          <w:sz w:val="24"/>
          <w:szCs w:val="24"/>
        </w:rPr>
        <w:t xml:space="preserve">乙方承诺的其他增值服务及优惠措施如下</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1、与泰安银行攻坚AI创新工作室，共同在金融领域实现AI应用研究及场景落地</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2、项目交付后，协助泰安银行就相关系统实现软件著作权等申请。</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3、为泰安银行提供长期技术咨询服务。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4、定期就金融领域新技术应用为泰安银行提供培训服务。</w:t>
      </w:r>
      <w:r>
        <w:rPr>
          <w:rFonts w:hint="default"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乙方不得以甲方名义开展活动,且乙方不得将项目建设工作转包或变相转包。</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本合同项目不允许分包。因特殊要求需进行分包的，必须经甲方书面同意后开展，并满足以下要求：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1、不得将外包服务的主要业务分包。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2、乙方对服务水平负总责，确保分包服务提供商严格遵守本合同规定。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57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3、乙方对分包商进行监控，并对分包商的变更履行告知或报告审批义务。如分包商合同期内无法完成相关开发工作，乙方必须承担相关责任，给甲方造成损失的，由乙方与分包商承担连带赔偿责任。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双方确定，乙方应在向甲方交付研究开发成果后，根据甲方的请求，为甲方指定的人员提供技术指导和培训，或提供与使用该研究开发成果相关的技术服务。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1、技术服务和指导内容：</w:t>
      </w:r>
      <w:r>
        <w:rPr>
          <w:rFonts w:hint="eastAsia" w:ascii="仿宋" w:hAnsi="仿宋" w:eastAsia="仿宋" w:cs="仿宋"/>
          <w:color w:val="000000"/>
          <w:sz w:val="24"/>
          <w:szCs w:val="24"/>
          <w:u w:val="single"/>
        </w:rPr>
        <w:t xml:space="preserve">上线前提供现场答疑，维保期间提供远程指导、现场支持等服务，确需现场支持的乙方</w:t>
      </w:r>
      <w:r>
        <w:rPr>
          <w:rFonts w:hint="eastAsia" w:ascii="仿宋" w:hAnsi="仿宋" w:eastAsia="仿宋" w:cs="仿宋"/>
          <w:color w:val="000000"/>
          <w:sz w:val="24"/>
          <w:szCs w:val="24"/>
          <w:u w:val="single"/>
          <w:lang w:val="en-US" w:eastAsia="zh-CN"/>
        </w:rPr>
        <w:t xml:space="preserve">8</w:t>
      </w:r>
      <w:r>
        <w:rPr>
          <w:rFonts w:hint="eastAsia" w:ascii="仿宋" w:hAnsi="仿宋" w:eastAsia="仿宋" w:cs="仿宋"/>
          <w:color w:val="000000"/>
          <w:sz w:val="24"/>
          <w:szCs w:val="24"/>
          <w:u w:val="single"/>
        </w:rPr>
        <w:t xml:space="preserve">小时内到达现场支持。</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2、地点和方式：</w:t>
      </w:r>
      <w:r>
        <w:rPr>
          <w:rFonts w:hint="eastAsia" w:ascii="仿宋" w:hAnsi="仿宋" w:eastAsia="仿宋" w:cs="仿宋"/>
          <w:bCs/>
          <w:color w:val="000000"/>
          <w:sz w:val="24"/>
          <w:szCs w:val="24"/>
          <w:u w:val="single"/>
        </w:rPr>
        <w:t xml:space="preserve">上线前乙方在开发所在地提供现场服务，上线后至</w:t>
      </w:r>
      <w:r>
        <w:rPr>
          <w:rFonts w:hint="eastAsia" w:ascii="仿宋" w:hAnsi="仿宋" w:eastAsia="仿宋" w:cs="仿宋"/>
          <w:bCs/>
          <w:color w:val="000000"/>
          <w:sz w:val="24"/>
          <w:szCs w:val="24"/>
          <w:u w:val="single"/>
          <w:lang w:val="en-US" w:eastAsia="zh-CN"/>
        </w:rPr>
        <w:t xml:space="preserve">免费维保</w:t>
      </w:r>
      <w:r>
        <w:rPr>
          <w:rFonts w:hint="eastAsia" w:ascii="仿宋" w:hAnsi="仿宋" w:eastAsia="仿宋" w:cs="仿宋"/>
          <w:bCs/>
          <w:color w:val="000000"/>
          <w:sz w:val="24"/>
          <w:szCs w:val="24"/>
          <w:u w:val="single"/>
        </w:rPr>
        <w:t xml:space="preserve">期内乙方免费提供</w:t>
      </w:r>
      <w:r>
        <w:rPr>
          <w:rFonts w:hint="eastAsia" w:ascii="仿宋" w:hAnsi="仿宋" w:eastAsia="仿宋" w:cs="仿宋"/>
          <w:bCs/>
          <w:color w:val="000000"/>
          <w:sz w:val="24"/>
          <w:szCs w:val="24"/>
          <w:u w:val="single"/>
          <w:lang w:val="en-US" w:eastAsia="zh-CN"/>
        </w:rPr>
        <w:t xml:space="preserve">1</w:t>
      </w:r>
      <w:r>
        <w:rPr>
          <w:rFonts w:hint="eastAsia" w:ascii="仿宋" w:hAnsi="仿宋" w:eastAsia="仿宋" w:cs="仿宋"/>
          <w:bCs/>
          <w:color w:val="000000"/>
          <w:sz w:val="24"/>
          <w:szCs w:val="24"/>
          <w:u w:val="single"/>
        </w:rPr>
        <w:t xml:space="preserve">个人月的驻场服务或系统开发工作量。</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3、费用及支付方式：</w:t>
      </w:r>
      <w:r>
        <w:rPr>
          <w:rFonts w:hint="eastAsia" w:ascii="仿宋" w:hAnsi="仿宋" w:eastAsia="仿宋" w:cs="仿宋"/>
          <w:bCs/>
          <w:color w:val="000000"/>
          <w:spacing w:val="2"/>
          <w:sz w:val="24"/>
          <w:szCs w:val="24"/>
          <w:u w:val="single"/>
        </w:rPr>
        <w:t xml:space="preserve">上述技术服务和指导均为免费项目，乙方不再向甲方收取任何额外费用。</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74"/>
        <w:outlineLvl w:val="9"/>
        <w:rPr>
          <w:rFonts w:hint="eastAsia" w:ascii="仿宋" w:hAnsi="仿宋" w:eastAsia="仿宋" w:cs="仿宋"/>
          <w:color w:val="000000"/>
          <w:spacing w:val="-2"/>
          <w:sz w:val="24"/>
          <w:szCs w:val="24"/>
        </w:rPr>
      </w:pPr>
      <w:r>
        <w:rPr>
          <w:rFonts w:hint="eastAsia" w:ascii="仿宋" w:hAnsi="仿宋" w:eastAsia="仿宋" w:cs="仿宋"/>
          <w:b/>
          <w:bCs/>
          <w:color w:val="000000"/>
          <w:spacing w:val="-2"/>
          <w:sz w:val="24"/>
          <w:szCs w:val="24"/>
          <w:lang w:val="en-US" w:eastAsia="zh-CN"/>
        </w:rPr>
        <w:t xml:space="preserve">第二十三条</w:t>
      </w:r>
      <w:r>
        <w:rPr>
          <w:rFonts w:hint="eastAsia" w:ascii="仿宋" w:hAnsi="仿宋" w:eastAsia="仿宋" w:cs="仿宋"/>
          <w:color w:val="000000"/>
          <w:spacing w:val="-2"/>
          <w:sz w:val="24"/>
          <w:szCs w:val="24"/>
          <w:lang w:val="en-US" w:eastAsia="zh-CN"/>
        </w:rPr>
        <w:t xml:space="preserve"> </w:t>
      </w:r>
      <w:r>
        <w:rPr>
          <w:rFonts w:hint="eastAsia" w:ascii="仿宋" w:hAnsi="仿宋" w:eastAsia="仿宋" w:cs="仿宋"/>
          <w:color w:val="000000"/>
          <w:spacing w:val="-2"/>
          <w:sz w:val="24"/>
          <w:szCs w:val="24"/>
        </w:rPr>
        <w:t xml:space="preserve">双方确定，</w:t>
      </w:r>
      <w:r>
        <w:rPr>
          <w:rFonts w:hint="eastAsia" w:ascii="仿宋" w:hAnsi="仿宋" w:eastAsia="仿宋" w:cs="仿宋"/>
          <w:color w:val="000000"/>
          <w:sz w:val="24"/>
          <w:szCs w:val="24"/>
        </w:rPr>
        <w:t xml:space="preserve">甲方有权利用乙方按照本合同约定提供的研究开发成果，进行后续改进。由此产生的具有实质性或创造性技术进步特征的新的技术成果及其权利归属，由甲方享有。未经甲方书面同意，乙方不得将向甲方交付的研究成果，自行转让给第三人。</w:t>
      </w:r>
      <w:r>
        <w:rPr>
          <w:rFonts w:hint="eastAsia" w:ascii="仿宋" w:hAnsi="仿宋" w:eastAsia="仿宋" w:cs="仿宋"/>
          <w:color w:val="000000"/>
          <w:spacing w:val="-2"/>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乙方在项目服务过程中，应当遵守以下规定：</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遵守《中华人民共和国银行业监督管理法》、《中华人民共和国商业银行法》、《中华人民共和国网络安全法》、《中华人民共和国数据安全法》、《中华人民共和国个人信息保护法》和《银行保险机构信息科技外包风险监管办法》等法律法规。</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2、遵守甲方信息科技外包风险、信息科技外包管理、信息科技外包人员管理、项目管理和网络安全等内控管理制度。</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3、遵守甲方的数据标准，并提交相应文档。</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4、遵守甲方的考勤规定。</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若乙方违反甲方相关制度并致甲方受到损失，乙方应当赔偿甲方所受到的损失。</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color w:val="000000"/>
          <w:sz w:val="24"/>
          <w:szCs w:val="24"/>
        </w:rPr>
      </w:pPr>
      <w:r>
        <w:rPr>
          <w:rFonts w:hint="eastAsia" w:ascii="仿宋" w:hAnsi="仿宋" w:eastAsia="仿宋" w:cs="仿宋"/>
          <w:b/>
          <w:bCs/>
          <w:color w:val="000000"/>
          <w:sz w:val="24"/>
          <w:szCs w:val="24"/>
          <w:lang w:val="en-US" w:eastAsia="zh-CN"/>
        </w:rPr>
        <w:t xml:space="preserve">第二十五条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乙方在外包项目实施前，必须与甲方签订外包服务水平协议，约定服务水平标准</w:t>
      </w:r>
      <w:r>
        <w:rPr>
          <w:rFonts w:hint="eastAsia" w:ascii="仿宋" w:hAnsi="仿宋" w:eastAsia="仿宋" w:cs="仿宋"/>
          <w:b/>
          <w:color w:val="000000"/>
          <w:sz w:val="24"/>
          <w:szCs w:val="24"/>
        </w:rPr>
        <w:t xml:space="preserve">。</w:t>
      </w:r>
      <w:r>
        <w:rPr>
          <w:rFonts w:hint="eastAsia" w:ascii="仿宋" w:hAnsi="仿宋" w:eastAsia="仿宋" w:cs="仿宋"/>
          <w:b/>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双方确定，乙方在项目建设及后续维护服务中，要遵从以下条款。</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保期：验收通过后，乙方提供本合同系统</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u w:val="single"/>
          <w:lang w:val="en-US" w:eastAsia="zh-CN"/>
        </w:rPr>
        <w:t xml:space="preserve">3</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rPr>
        <w:t xml:space="preserve">年的原厂免费</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服务，包含软件和硬件，并承诺不因本次改造或优化而造成合同系统维保费用的增加。本合同对应的信息系统，之前未签订维保或维保到期日在本合同验收通过日之前的，从本合同验收通过之日起开始计算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保期；否则从系统之前维保到期之日起计算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保期；维保期限存在过渡期的，乙方承诺负责年度内系统之前维保到期日和本合同验收通过日之间的免费</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保服务。乙方在</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保期内须提供信息系统所有软件的</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保服务，以解决问题、优化系统，包括软件BUG的修改、系统故障、架构的调整和平台升级等服务，保障该平台的正常运行。</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届满前，甲方有权对乙方提供应用系统、设备或设施的运行情况，以及人员能力、响应情况、巡检次数和服务质量等情况进行满意度评价，评价结果在满足甲方及相关方要求的前提下，甲方可优先选择乙方（含乙方的授权单位）作为</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保期到期后的维保服务和系统后期优化改造的合作单位；同时针对甲方提出的合理化意见或建议，乙方须在限期内整改完成。</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如甲方当年存在需要乙方实施的系统改造升级等项目需求，或存有乙方正在为甲方服务的其它项目，经甲、乙双方协商并达成一致意见后，乙方当年应对本合同项目对应的系统实行无偿维保，不再单独签订维保合同并保障系统稳定运行；否则</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保期满后系统实行有偿维保并签订维保合同，年维保费标准不高于系统初次建设合同金额的</w:t>
      </w:r>
      <w:r>
        <w:rPr>
          <w:rFonts w:hint="eastAsia" w:ascii="仿宋" w:hAnsi="仿宋" w:eastAsia="仿宋" w:cs="仿宋"/>
          <w:color w:val="000000"/>
          <w:sz w:val="24"/>
          <w:szCs w:val="24"/>
          <w:u w:val="single"/>
        </w:rPr>
        <w:t xml:space="preserve"> 8 </w:t>
      </w:r>
      <w:r>
        <w:rPr>
          <w:rFonts w:hint="eastAsia" w:ascii="仿宋" w:hAnsi="仿宋" w:eastAsia="仿宋" w:cs="仿宋"/>
          <w:color w:val="000000"/>
          <w:sz w:val="24"/>
          <w:szCs w:val="24"/>
        </w:rPr>
        <w:t xml:space="preserve">%，且年维保费金额不得因后期系统改造升级而增加，售后服务标准等同保修期内的服务标准。</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若乙方产品在结构、平台、功能上有重大升级，乙方在</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期内给予免费维护；若在保修期外，升级内容在维保范围内，乙方须免费维护；升级内容不在维保范围内，升级费用由双方另行协商和签订商务合同，乙方承诺提供优惠的升级服务费用和良好的服务。</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乙方承诺配合甲方实施系统的应急演练，必要时安排人员现场支持。</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乙方在项目建设及后续维护服务中，造成乙方工作人员或甲方或第三人损害的，由乙方承担全部责任。</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乙方的售后服务联系方式如下：</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color w:val="000000"/>
          <w:sz w:val="24"/>
          <w:szCs w:val="24"/>
        </w:rPr>
        <w:t xml:space="preserve">  </w:t>
      </w:r>
      <w:r>
        <w:rPr>
          <w:rFonts w:hint="eastAsia" w:ascii="仿宋" w:hAnsi="仿宋" w:eastAsia="仿宋" w:cs="仿宋"/>
          <w:strike w:val="0"/>
          <w:color w:val="000000"/>
          <w:sz w:val="24"/>
          <w:szCs w:val="24"/>
          <w:highlight w:val="yellow"/>
        </w:rPr>
        <w:t xml:space="preserve"> （1）技术支持服务热线（7*24小时）：13355311268</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（2）技术支持人员：</w:t>
      </w:r>
      <w:r>
        <w:rPr>
          <w:rFonts w:hint="eastAsia" w:ascii="仿宋" w:hAnsi="仿宋" w:eastAsia="仿宋" w:cs="仿宋"/>
          <w:strike w:val="0"/>
          <w:color w:val="000000"/>
          <w:sz w:val="24"/>
          <w:szCs w:val="24"/>
          <w:highlight w:val="yellow"/>
          <w:lang w:val="en-US" w:eastAsia="zh-CN"/>
        </w:rPr>
        <w:t xml:space="preserve">郝宏</w:t>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（3）在线客服门户网站：</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"http://service.jr.hundsun.com/jr"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（4）客服邮箱：haohong.sd@chinatelecom.cn</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"mailto:service.yh@hundsun.com"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（5）客服传真：</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（6）客户投诉电话：13355311268</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（7）客户投诉邮箱：haohong.sd@chinatelecom.cn</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因自身原因导致服务中断或退出，应保证项目不中断，甲方将具有人员、设备、服务等资源的优先使用权以及本项目相关软件的持续使用权。乙方应制定有外包项目的应急计划，将因服务中断或退出给甲方带来的损失降到最低程度，应急计划的场景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left="561"/>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1、乙方重要服务人员流失并退出服务。</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2、乙方主动退出。</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3、乙方因资质变更、被收购、兼并或破产等原因导致的被动退出。 </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第二十八条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乙方承诺为甲方提供</w:t>
      </w:r>
      <w:r>
        <w:rPr>
          <w:rFonts w:hint="eastAsia" w:ascii="仿宋" w:hAnsi="仿宋" w:eastAsia="仿宋" w:cs="仿宋"/>
          <w:bCs w:val="0"/>
          <w:color w:val="000000"/>
          <w:sz w:val="24"/>
          <w:szCs w:val="24"/>
        </w:rPr>
        <w:t xml:space="preserve">对其进行风险评估、监测、检查和审计的权利，承诺接受银保监会对其所承担的甲方外包服务的监督检查，</w:t>
      </w:r>
      <w:r>
        <w:rPr>
          <w:rFonts w:hint="eastAsia" w:ascii="仿宋" w:hAnsi="仿宋" w:eastAsia="仿宋" w:cs="仿宋"/>
          <w:color w:val="000000"/>
          <w:sz w:val="24"/>
          <w:szCs w:val="24"/>
        </w:rPr>
        <w:t xml:space="preserve">乙方应向监管机构、甲方的审计代理机构及甲方提供</w:t>
      </w:r>
      <w:r>
        <w:rPr>
          <w:rFonts w:hint="eastAsia" w:ascii="仿宋" w:hAnsi="仿宋" w:eastAsia="仿宋" w:cs="仿宋"/>
          <w:bCs w:val="0"/>
          <w:color w:val="000000"/>
          <w:sz w:val="24"/>
          <w:szCs w:val="24"/>
        </w:rPr>
        <w:t xml:space="preserve">与服务场所和系统有关的访问权和任何协助（包括报告）。</w:t>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如果甲方、甲方的审计代理机构及监管机构指定的审计人员实施的审计结果表明乙方不符合有关法律或审计要求的规定，则乙方应立即采取整改措施遵守审计的要求，甲方对于整改结果进行检查，整改结果不符合要求的甲方有权不予进行项目验收或尾款支付；同时乙方应承担以下费用：</w:t>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1、与乙方的服务和业务有关的法律或审计要求规定的费用。</w:t>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2、由于乙方不遵守法律或审计要求而发生的必需的费用。</w:t>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lang w:eastAsia="zh-CN"/>
        </w:rPr>
        <w:t xml:space="preserve">甲乙</w:t>
      </w:r>
      <w:r>
        <w:rPr>
          <w:rFonts w:hint="eastAsia" w:ascii="仿宋" w:hAnsi="仿宋" w:eastAsia="仿宋" w:cs="仿宋"/>
          <w:color w:val="000000"/>
          <w:sz w:val="24"/>
          <w:szCs w:val="24"/>
        </w:rPr>
        <w:t xml:space="preserve">双方确定，在本合同有效期内，甲方指</w:t>
      </w:r>
      <w:r>
        <w:rPr>
          <w:rFonts w:hint="eastAsia" w:ascii="仿宋" w:hAnsi="仿宋" w:eastAsia="仿宋" w:cs="仿宋"/>
          <w:color w:val="000000"/>
          <w:sz w:val="24"/>
          <w:szCs w:val="24"/>
          <w:lang w:eastAsia="zh-CN"/>
        </w:rPr>
        <w:t xml:space="preserve">定</w:t>
      </w:r>
      <w:r>
        <w:rPr>
          <w:rFonts w:hint="eastAsia" w:ascii="仿宋" w:hAnsi="仿宋" w:eastAsia="仿宋" w:cs="仿宋"/>
          <w:color w:val="000000"/>
          <w:sz w:val="24"/>
          <w:szCs w:val="24"/>
          <w:u w:val="single"/>
          <w:lang w:val="en-US" w:eastAsia="zh-CN"/>
        </w:rPr>
        <w:t xml:space="preserve">孙天宇</w:t>
      </w:r>
      <w:r>
        <w:rPr>
          <w:rFonts w:hint="eastAsia" w:ascii="仿宋" w:hAnsi="仿宋" w:eastAsia="仿宋" w:cs="仿宋"/>
          <w:color w:val="000000"/>
          <w:sz w:val="24"/>
          <w:szCs w:val="24"/>
          <w:u w:val="none"/>
          <w:lang w:val="en-US" w:eastAsia="zh-CN"/>
        </w:rPr>
        <w:t xml:space="preserve">为</w:t>
      </w:r>
      <w:r>
        <w:rPr>
          <w:rFonts w:hint="eastAsia" w:ascii="仿宋" w:hAnsi="仿宋" w:eastAsia="仿宋" w:cs="仿宋"/>
          <w:color w:val="000000"/>
          <w:sz w:val="24"/>
          <w:szCs w:val="24"/>
        </w:rPr>
        <w:t xml:space="preserve">甲方项目联系人（联系方式：</w:t>
      </w:r>
      <w:r>
        <w:rPr>
          <w:rFonts w:hint="eastAsia" w:ascii="仿宋" w:hAnsi="仿宋" w:eastAsia="仿宋" w:cs="仿宋"/>
          <w:color w:val="000000"/>
          <w:sz w:val="24"/>
          <w:szCs w:val="24"/>
          <w:u w:val="single"/>
          <w:lang w:val="en-US" w:eastAsia="zh-CN"/>
        </w:rPr>
        <w:t xml:space="preserve">18653868120</w:t>
      </w:r>
      <w:r>
        <w:rPr>
          <w:rFonts w:hint="eastAsia" w:ascii="仿宋" w:hAnsi="仿宋" w:eastAsia="仿宋" w:cs="仿宋"/>
          <w:color w:val="000000"/>
          <w:sz w:val="24"/>
          <w:szCs w:val="24"/>
        </w:rPr>
        <w:t xml:space="preserve">），乙方指定</w:t>
      </w:r>
      <w:r>
        <w:rPr>
          <w:rFonts w:hint="eastAsia" w:ascii="仿宋" w:hAnsi="仿宋" w:eastAsia="仿宋" w:cs="仿宋"/>
          <w:color w:val="000000"/>
          <w:sz w:val="24"/>
          <w:szCs w:val="24"/>
          <w:u w:val="single"/>
          <w:lang w:val="en-US" w:eastAsia="zh-CN"/>
        </w:rPr>
        <w:t xml:space="preserve">郝宏</w:t>
      </w:r>
      <w:r>
        <w:rPr>
          <w:rFonts w:hint="eastAsia" w:ascii="仿宋" w:hAnsi="仿宋" w:eastAsia="仿宋" w:cs="仿宋"/>
          <w:color w:val="000000"/>
          <w:sz w:val="24"/>
          <w:szCs w:val="24"/>
        </w:rPr>
        <w:t xml:space="preserve">为乙方项目联系人（联系方式：</w:t>
      </w:r>
      <w:r>
        <w:rPr>
          <w:rFonts w:hint="eastAsia" w:ascii="仿宋" w:hAnsi="仿宋" w:eastAsia="仿宋" w:cs="仿宋"/>
          <w:color w:val="000000"/>
          <w:sz w:val="24"/>
          <w:szCs w:val="24"/>
          <w:u w:val="single"/>
          <w:lang w:val="en-US" w:eastAsia="zh-CN"/>
        </w:rPr>
        <w:t xml:space="preserve">13355311268</w:t>
      </w:r>
      <w:r>
        <w:rPr>
          <w:rFonts w:hint="eastAsia" w:ascii="仿宋" w:hAnsi="仿宋" w:eastAsia="仿宋" w:cs="仿宋"/>
          <w:color w:val="000000"/>
          <w:sz w:val="24"/>
          <w:szCs w:val="24"/>
        </w:rPr>
        <w:t xml:space="preserve">）。项目联系人承担以下责任：1、经费关联的联系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2、开发研究过程中的双方资料共享的联系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3、人员变动的联系。一方变更项目联系人的，应当及时以书面形式通知另一方。未及时通知并影响本合同履行或造成损失的，应承担相应的责任。</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项目发生突发事件，双方联系人应在半小时内互相通知，并共同协商处置。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乙方公司发生重大变动(包括但不限于重大经营、财务问题等)，导致或可能导致多家银行机构外包服务中断时，乙方联系人应在变动发生后2小时内，将变更情况以及对项目的影响书面通知甲方联系人。</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乙方项目总监免费为泰安银行项目人员提供需求具体内容确认的相关培训，承诺在需求过程全阶段驻场泰安银行，且驻场时间不少于整个合同项目总服务时间的</w:t>
      </w:r>
      <w:r>
        <w:rPr>
          <w:rFonts w:hint="eastAsia" w:ascii="仿宋" w:hAnsi="仿宋" w:eastAsia="仿宋" w:cs="仿宋"/>
          <w:color w:val="000000"/>
          <w:sz w:val="24"/>
          <w:szCs w:val="24"/>
          <w:u w:val="single"/>
        </w:rPr>
        <w:t xml:space="preserve">50</w:t>
      </w:r>
      <w:r>
        <w:rPr>
          <w:rFonts w:hint="eastAsia" w:ascii="仿宋" w:hAnsi="仿宋" w:eastAsia="仿宋" w:cs="仿宋"/>
          <w:color w:val="000000"/>
          <w:sz w:val="24"/>
          <w:szCs w:val="24"/>
        </w:rPr>
        <w:t xml:space="preserve">%，同时乙方指派的项目经理必须全程现场参与项目建设工作。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项目开发人员应具备该项目领域至少三年以上的经验资质（需提供相关人员资质证明），在开发人员驻场前必须提供驻场实施人员清单并征得甲方相关负责人同意，乙方公司不得随意更换本项目的任何成员，确需更换或增加成员的，应至少提前一周向甲方提出书面申请，甲方相关负责人签字同意后更换。如甲方未书面同意，乙方不得擅自变更项目成员。更换项目成员不得中断开发进度，由此引起的项目延期及其他损失，乙方承担全部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color w:val="000000"/>
          <w:sz w:val="24"/>
          <w:szCs w:val="24"/>
        </w:rPr>
      </w:pPr>
      <w:r>
        <w:rPr>
          <w:rFonts w:hint="eastAsia" w:ascii="仿宋" w:hAnsi="仿宋" w:eastAsia="仿宋" w:cs="仿宋"/>
          <w:b/>
          <w:bCs/>
          <w:color w:val="000000"/>
          <w:sz w:val="24"/>
          <w:szCs w:val="24"/>
          <w:lang w:val="en-US" w:eastAsia="zh-CN"/>
        </w:rPr>
        <w:t xml:space="preserve">第三十条 </w:t>
      </w:r>
      <w:r>
        <w:rPr>
          <w:rFonts w:hint="eastAsia" w:ascii="仿宋" w:hAnsi="仿宋" w:eastAsia="仿宋" w:cs="仿宋"/>
          <w:b/>
          <w:bCs/>
          <w:color w:val="000000"/>
          <w:sz w:val="24"/>
          <w:szCs w:val="24"/>
        </w:rPr>
        <w:t xml:space="preserve">禁止招聘</w:t>
      </w:r>
      <w:r>
        <w:rPr>
          <w:rFonts w:hint="eastAsia" w:ascii="仿宋" w:hAnsi="仿宋" w:eastAsia="仿宋" w:cs="仿宋"/>
          <w:b/>
          <w:bCs/>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在甲乙双方存在合作关系及合作关系终止后三年内，未经甲方同意，乙方不得雇用甲方聘用或曾经聘用的员工，或与之建立劳动合同关系，同时包括服务期内与甲方处于正常合作公司的员工，除非该员工已经从甲方离职届满三年。</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如发现乙方违反上述约定，有权要求乙方立即停止违约行为，并按乙方所违约雇用或录用的员工岗位、级别和数量支付相应违约金。若乙方违约雇用或招聘甲方普通员工的，乙方须向甲方支付的违约金为违约雇用或招聘的人数乘以5万元；若乙方违约雇用或招聘甲方（项目经理、技术骨干等）管理人员，乙方须向甲方支付的违约金为违约雇用或招聘的人数乘以10万元。</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双方确定，出现下列情形，双方应重新考虑本合同变更或终止的可能性：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1、甲方或乙方的所有权或控制权发生变化。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2、甲方或乙方的业务经营发生重大变化。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3、乙方提供的服务不充分，造成甲方不能履行监督义务。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4、乙方或人员的评价结果未达到甲方的要求。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5、其它双方未达成一致意见的情形。</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双方确定，出现下列情形，致使本合同的履行成为不必要或不可能的，一方可以通知另一方解除本合同；</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1、因发生不可抗力或不可克服的技术风险。</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2、因乙方迟延交付超过90日，甲方有权通知乙方解除本合同。</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3、政策环境发生变化。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4、甲方决定停止项目研发时，有权自行决定解除本合同，并有权要求乙方返还已经收取的研究开发经费和报酬。</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乙方违反本合同任何一项约定，甲方有权解除合同，要求乙方返还已经收取的研究开发经费和报酬，并按照本合同约定的违约条款承担违约责任；给甲方造成损失的，乙方还应承担赔偿责任，并支付合同总额的</w:t>
      </w:r>
      <w:r>
        <w:rPr>
          <w:rFonts w:hint="eastAsia" w:ascii="仿宋" w:hAnsi="仿宋" w:eastAsia="仿宋" w:cs="仿宋"/>
          <w:color w:val="000000"/>
          <w:sz w:val="24"/>
          <w:szCs w:val="24"/>
          <w:u w:val="single"/>
        </w:rPr>
        <w:t xml:space="preserve">30</w:t>
      </w:r>
      <w:r>
        <w:rPr>
          <w:rFonts w:hint="eastAsia" w:ascii="仿宋" w:hAnsi="仿宋" w:eastAsia="仿宋" w:cs="仿宋"/>
          <w:color w:val="000000"/>
          <w:sz w:val="24"/>
          <w:szCs w:val="24"/>
        </w:rPr>
        <w:t xml:space="preserve"> %作为违约金。甲方因主张权利支出的包括但不限于诉讼费（或仲裁费）、保全费、评估费、拍卖费、公告费、保全保险费、律师费（含风险代理费用）、公证费、差旅费等费用由乙方承担。</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出现合同解除情况（含合同中止）时，合同未履行部分，甲方不再支付研发费用，甲乙双方应确认已履行合同部分的处置，如需要有过渡期，双方应就过渡期签署补充协议，协议内容包括但不限于：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1、甲乙任何一方需要交还对方的资料、设施等内容，并按要求在规定期限内交还对方。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2、甲乙双方过渡期内持续遵守本合同的保密条款。</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3、过渡期内乙方应继续提供相应的技术支持和咨询等服务。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4、非因乙方原因导致合同解除，双方协商相关款项。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5、后续服务的具体计划和安排等服务内容。</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双方因履行本合同而发生的争议，应协商、调解解决。协商、调解不成的，确定按以下方式处理：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1、依法向甲方所在地人民法院起诉。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2、本合同外包服务选择跨境方式的，乙方承诺依法向甲方所在地人民法院起诉并按照中国法律解决纠纷。 </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双方确定：本合同及相关附件中所涉及的有关名词和技术术语，其定义和解释如下：</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line="360" w:lineRule="auto"/>
        <w:ind w:left="585"/>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lang w:val="en-US" w:eastAsia="zh-CN"/>
        </w:rPr>
        <w:t xml:space="preserve">1、无                              </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第三十六条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双方约定本合同其他相关事项为：</w:t>
      </w:r>
      <w:r>
        <w:rPr>
          <w:rFonts w:hint="eastAsia" w:ascii="仿宋" w:hAnsi="仿宋" w:eastAsia="仿宋" w:cs="仿宋"/>
          <w:color w:val="000000"/>
          <w:sz w:val="24"/>
          <w:szCs w:val="24"/>
          <w:u w:val="single"/>
        </w:rPr>
        <w:t xml:space="preserve">甲方后期与乙方授权单位签订系统改造或维保服务的，如授权单位合同期内无法完成相关工作，乙方必须承担相关责任；给甲方造成损失的，由乙方与授权单位承担连带赔偿责任。</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本合同一式</w:t>
      </w:r>
      <w:r>
        <w:rPr>
          <w:rFonts w:hint="eastAsia" w:ascii="仿宋" w:hAnsi="仿宋" w:eastAsia="仿宋" w:cs="仿宋"/>
          <w:color w:val="000000"/>
          <w:sz w:val="24"/>
          <w:szCs w:val="24"/>
          <w:u w:val="single"/>
          <w:lang w:val="en-US" w:eastAsia="zh-CN"/>
        </w:rPr>
        <w:t xml:space="preserve">肆</w:t>
      </w:r>
      <w:r>
        <w:rPr>
          <w:rFonts w:hint="eastAsia" w:ascii="仿宋" w:hAnsi="仿宋" w:eastAsia="仿宋" w:cs="仿宋"/>
          <w:color w:val="000000"/>
          <w:sz w:val="24"/>
          <w:szCs w:val="24"/>
        </w:rPr>
        <w:t xml:space="preserve">份，双方各执</w:t>
      </w:r>
      <w:r>
        <w:rPr>
          <w:rFonts w:hint="eastAsia" w:ascii="仿宋" w:hAnsi="仿宋" w:eastAsia="仿宋" w:cs="仿宋"/>
          <w:color w:val="000000"/>
          <w:sz w:val="24"/>
          <w:szCs w:val="24"/>
          <w:u w:val="single"/>
        </w:rPr>
        <w:t xml:space="preserve">贰</w:t>
      </w:r>
      <w:r>
        <w:rPr>
          <w:rFonts w:hint="eastAsia" w:ascii="仿宋" w:hAnsi="仿宋" w:eastAsia="仿宋" w:cs="仿宋"/>
          <w:color w:val="000000"/>
          <w:sz w:val="24"/>
          <w:szCs w:val="24"/>
        </w:rPr>
        <w:t xml:space="preserve">份，</w:t>
      </w:r>
      <w:r>
        <w:rPr>
          <w:rFonts w:hint="eastAsia" w:ascii="仿宋" w:hAnsi="仿宋" w:eastAsia="仿宋" w:cs="仿宋"/>
          <w:color w:val="000000"/>
          <w:sz w:val="24"/>
          <w:szCs w:val="24"/>
          <w:lang w:val="en-US" w:eastAsia="zh-CN"/>
        </w:rPr>
        <w:t xml:space="preserve">代理</w:t>
      </w:r>
      <w:r>
        <w:rPr>
          <w:rFonts w:hint="eastAsia" w:ascii="仿宋" w:hAnsi="仿宋" w:eastAsia="仿宋" w:cs="仿宋"/>
          <w:color w:val="000000"/>
          <w:sz w:val="24"/>
          <w:szCs w:val="24"/>
          <w:u w:val="single"/>
          <w:lang w:val="en-US" w:eastAsia="zh-CN"/>
        </w:rPr>
        <w:t xml:space="preserve">贰</w:t>
      </w:r>
      <w:r>
        <w:rPr>
          <w:rFonts w:hint="eastAsia" w:ascii="仿宋" w:hAnsi="仿宋" w:eastAsia="仿宋" w:cs="仿宋"/>
          <w:color w:val="000000"/>
          <w:sz w:val="24"/>
          <w:szCs w:val="24"/>
          <w:lang w:val="en-US" w:eastAsia="zh-CN"/>
        </w:rPr>
        <w:t xml:space="preserve">份，</w:t>
      </w:r>
      <w:r>
        <w:rPr>
          <w:rFonts w:hint="eastAsia" w:ascii="仿宋" w:hAnsi="仿宋" w:eastAsia="仿宋" w:cs="仿宋"/>
          <w:color w:val="000000"/>
          <w:sz w:val="24"/>
          <w:szCs w:val="24"/>
        </w:rPr>
        <w:t xml:space="preserve">具有同等法律效力。</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98"/>
        <w:outlineLvl w:val="9"/>
        <w:rPr>
          <w:rFonts w:hint="eastAsia" w:ascii="仿宋" w:hAnsi="仿宋" w:eastAsia="仿宋" w:cs="仿宋"/>
          <w:color w:val="000000"/>
          <w:sz w:val="24"/>
          <w:szCs w:val="24"/>
        </w:rPr>
      </w:pPr>
      <w:r>
        <w:rPr>
          <w:rFonts w:hint="eastAsia" w:ascii="仿宋" w:hAnsi="仿宋" w:eastAsia="仿宋" w:cs="仿宋"/>
          <w:b/>
          <w:bCs/>
          <w:color w:val="000000"/>
          <w:spacing w:val="4"/>
          <w:sz w:val="24"/>
          <w:szCs w:val="24"/>
          <w:lang w:val="en-US" w:eastAsia="zh-CN"/>
        </w:rPr>
        <w:t xml:space="preserve">第三十八条</w:t>
      </w:r>
      <w:r>
        <w:rPr>
          <w:rFonts w:hint="eastAsia" w:ascii="仿宋" w:hAnsi="仿宋" w:eastAsia="仿宋" w:cs="仿宋"/>
          <w:color w:val="000000"/>
          <w:spacing w:val="4"/>
          <w:sz w:val="24"/>
          <w:szCs w:val="24"/>
          <w:lang w:val="en-US" w:eastAsia="zh-CN"/>
        </w:rPr>
        <w:t xml:space="preserve"> </w:t>
      </w:r>
      <w:r>
        <w:rPr>
          <w:rFonts w:hint="eastAsia" w:ascii="仿宋" w:hAnsi="仿宋" w:eastAsia="仿宋" w:cs="仿宋"/>
          <w:color w:val="000000"/>
          <w:spacing w:val="4"/>
          <w:sz w:val="24"/>
          <w:szCs w:val="24"/>
        </w:rPr>
        <w:t xml:space="preserve">本合同</w:t>
      </w:r>
      <w:r>
        <w:rPr>
          <w:rFonts w:hint="eastAsia" w:ascii="仿宋" w:hAnsi="仿宋" w:eastAsia="仿宋" w:cs="仿宋"/>
          <w:color w:val="000000"/>
          <w:sz w:val="24"/>
          <w:szCs w:val="24"/>
        </w:rPr>
        <w:t xml:space="preserve">自双方法定代表人签字或盖章并加盖单位公章（或合同专用章）之日起生效。</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color w:val="000000"/>
          <w:sz w:val="24"/>
          <w:szCs w:val="24"/>
          <w:lang w:val="en-US" w:eastAsia="zh-CN" w:bidi="ar-SA"/>
        </w:rPr>
      </w:pPr>
      <w:r>
        <w:rPr>
          <w:rFonts w:hint="eastAsia" w:ascii="仿宋" w:hAnsi="仿宋" w:eastAsia="仿宋" w:cs="仿宋"/>
          <w:b/>
          <w:bCs w:val="0"/>
          <w:color w:val="000000"/>
          <w:sz w:val="24"/>
          <w:szCs w:val="24"/>
          <w:lang w:val="en-US" w:eastAsia="zh-CN" w:bidi="ar-SA"/>
        </w:rPr>
        <w:t xml:space="preserve">第三十九条</w:t>
      </w:r>
      <w:r>
        <w:rPr>
          <w:rFonts w:hint="eastAsia" w:ascii="仿宋" w:hAnsi="仿宋" w:eastAsia="仿宋" w:cs="仿宋"/>
          <w:bCs/>
          <w:color w:val="000000"/>
          <w:sz w:val="24"/>
          <w:szCs w:val="24"/>
          <w:lang w:val="en-US" w:eastAsia="zh-CN" w:bidi="ar-SA"/>
        </w:rPr>
        <w:t xml:space="preserve"> 以下合同附件均为本合同不可分割的组成部分，与合同正文具有同等法律效力。二者有不一致的，以合同正文为准。本合同附件为：</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附件一 交付物清单</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附件二 服务水平协议</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附件三 信息科技外包安全保密协议</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附件四 网络和数据安全管理承诺书</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附件五 技术内容</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numPr>
          <w:ilvl w:val="0"/>
          <w:numId w:val="0"/>
        </w:numPr>
        <w:pBdr/>
        <w:bidi w:val="false"/>
        <w:spacing w:after="0" w:before="0" w:line="360" w:lineRule="auto"/>
        <w:ind w:left="680"/>
        <w:outlineLvl w:val="9"/>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（以下无正文）</w:t>
      </w:r>
      <w:r>
        <w:rPr>
          <w:rFonts w:hint="eastAsia" w:ascii="仿宋" w:hAnsi="仿宋" w:eastAsia="仿宋" w:cs="仿宋"/>
          <w:bCs/>
          <w:color w:val="000000"/>
          <w:sz w:val="24"/>
          <w:szCs w:val="24"/>
          <w:lang w:val="en-US" w:eastAsia="zh-CN" w:bidi="ar-SA"/>
        </w:rPr>
      </w:r>
    </w:p>
    <w:p>
      <w:pPr>
        <w:pStyle w:val="698"/>
        <w:pBdr/>
        <w:spacing/>
        <w:ind/>
        <w:rPr>
          <w:rFonts w:hint="eastAsia"/>
        </w:rPr>
      </w:pP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w:t>
      </w:r>
      <w:r>
        <w:rPr>
          <w:rFonts w:hint="eastAsia" w:ascii="仿宋" w:hAnsi="仿宋" w:eastAsia="仿宋" w:cs="仿宋"/>
          <w:color w:val="000000"/>
          <w:sz w:val="24"/>
          <w:szCs w:val="24"/>
          <w:u w:val="single"/>
        </w:rPr>
        <w:t xml:space="preserve">泰安银行股份有限公司</w:t>
      </w:r>
      <w:r>
        <w:rPr>
          <w:rFonts w:hint="eastAsia" w:ascii="仿宋" w:hAnsi="仿宋" w:eastAsia="仿宋" w:cs="仿宋"/>
          <w:color w:val="000000"/>
          <w:sz w:val="24"/>
          <w:szCs w:val="24"/>
        </w:rPr>
        <w:t xml:space="preserve"> (盖章)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法定代表人：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年    月    日</w:t>
      </w:r>
      <w:r>
        <w:rPr>
          <w:rFonts w:hint="eastAsia" w:ascii="仿宋" w:hAnsi="仿宋" w:eastAsia="仿宋" w:cs="仿宋"/>
          <w:color w:val="000000"/>
          <w:sz w:val="24"/>
          <w:szCs w:val="24"/>
        </w:rPr>
      </w:r>
    </w:p>
    <w:p>
      <w:pPr>
        <w:pStyle w:val="698"/>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Style w:val="698"/>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lang w:eastAsia="zh-CN"/>
        </w:rPr>
      </w:pPr>
      <w:r>
        <w:rPr>
          <w:rFonts w:hint="eastAsia"/>
          <w:lang w:eastAsia="zh-CN"/>
        </w:rPr>
      </w:r>
      <w:r>
        <w:rPr>
          <w:rFonts w:hint="eastAsia"/>
          <w:lang w:eastAsia="zh-CN"/>
        </w:rPr>
      </w:r>
    </w:p>
    <w:p>
      <w:pPr>
        <w:pBdr/>
        <w:spacing/>
        <w:ind/>
        <w:rPr>
          <w:rFonts w:hint="eastAsia"/>
        </w:rPr>
      </w:pP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w:t>
      </w:r>
      <w:r>
        <w:rPr>
          <w:rFonts w:hint="eastAsia" w:ascii="仿宋" w:hAnsi="仿宋" w:eastAsia="仿宋" w:cs="仿宋"/>
          <w:i w:val="0"/>
          <w:iCs w:val="0"/>
          <w:color w:val="000000"/>
          <w:sz w:val="24"/>
          <w:szCs w:val="24"/>
          <w:u w:val="single"/>
          <w:lang w:val="en-US" w:eastAsia="zh-CN" w:bidi="ar"/>
        </w:rPr>
        <w:t xml:space="preserve">中电信数智科技有限公司山东分公司</w:t>
      </w:r>
      <w:r>
        <w:rPr>
          <w:rFonts w:hint="eastAsia" w:ascii="仿宋" w:hAnsi="仿宋" w:eastAsia="仿宋" w:cs="仿宋"/>
          <w:color w:val="000000"/>
          <w:sz w:val="24"/>
          <w:szCs w:val="24"/>
        </w:rPr>
        <w:t xml:space="preserve">（盖章）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法定代表人：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44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年    月    日</w:t>
      </w:r>
      <w:r>
        <w:rPr>
          <w:rFonts w:hint="eastAsia" w:ascii="仿宋" w:hAnsi="仿宋" w:eastAsia="仿宋" w:cs="仿宋"/>
          <w:color w:val="000000"/>
          <w:sz w:val="24"/>
          <w:szCs w:val="24"/>
        </w:rPr>
      </w:r>
    </w:p>
    <w:p>
      <w:pPr>
        <w:pBdr/>
        <w:spacing w:line="500" w:lineRule="exact"/>
        <w:ind/>
        <w:jc w:val="left"/>
        <w:outlineLvl w:val="0"/>
        <w:rPr>
          <w:rFonts w:ascii="仿宋_GB2312" w:hAnsi="宋体" w:eastAsia="仿宋_GB2312"/>
          <w:b/>
          <w:color w:val="000000"/>
          <w:sz w:val="30"/>
          <w:szCs w:val="30"/>
        </w:rPr>
      </w:pPr>
      <w:r>
        <w:rPr>
          <w:rFonts w:ascii="仿宋_GB2312" w:hAnsi="宋体" w:eastAsia="仿宋_GB2312"/>
          <w:color w:val="000000"/>
          <w:sz w:val="30"/>
          <w:szCs w:val="30"/>
        </w:rPr>
        <w:br w:type="page" w:clear="all"/>
      </w:r>
      <w:r>
        <w:rPr>
          <w:rFonts w:hint="eastAsia" w:ascii="仿宋_GB2312" w:hAnsi="宋体" w:eastAsia="仿宋_GB2312"/>
          <w:b/>
          <w:color w:val="000000"/>
          <w:sz w:val="30"/>
          <w:szCs w:val="30"/>
        </w:rPr>
        <w:t xml:space="preserve">附件一                    交付物清单</w:t>
      </w:r>
      <w:r>
        <w:rPr>
          <w:rFonts w:ascii="仿宋_GB2312" w:hAnsi="宋体" w:eastAsia="仿宋_GB2312"/>
          <w:b/>
          <w:color w:val="000000"/>
          <w:sz w:val="30"/>
          <w:szCs w:val="30"/>
        </w:rPr>
      </w:r>
    </w:p>
    <w:tbl>
      <w:tblPr>
        <w:tblStyle w:val="701"/>
        <w:jc w:val="center"/>
        <w:tblInd w:w="0" w:type="dxa"/>
        <w:tblW w:w="10386"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09"/>
        <w:gridCol w:w="7588"/>
        <w:gridCol w:w="1155"/>
        <w:gridCol w:w="1134"/>
      </w:tblGrid>
      <w:tr>
        <w:trPr>
          <w:jc w:val="center"/>
        </w:trPr>
        <w:tc>
          <w:tcPr>
            <w:tcBorders/>
            <w:tcW w:w="509"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序号</w:t>
            </w:r>
            <w:r>
              <w:rPr>
                <w:rFonts w:ascii="仿宋_GB2312" w:eastAsia="仿宋_GB2312"/>
                <w:b/>
                <w:color w:val="000000"/>
                <w:sz w:val="24"/>
              </w:rPr>
            </w:r>
          </w:p>
        </w:tc>
        <w:tc>
          <w:tcPr>
            <w:tcBorders/>
            <w:tcW w:w="7588"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交付物名称</w:t>
            </w:r>
            <w:r>
              <w:rPr>
                <w:rFonts w:ascii="仿宋_GB2312" w:eastAsia="仿宋_GB2312"/>
                <w:b/>
                <w:color w:val="000000"/>
                <w:sz w:val="24"/>
              </w:rPr>
            </w:r>
          </w:p>
        </w:tc>
        <w:tc>
          <w:tcPr>
            <w:tcBorders/>
            <w:tcW w:w="1155"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新建/改造类应用开发项目提供资料</w:t>
            </w:r>
            <w:r>
              <w:rPr>
                <w:rFonts w:ascii="仿宋_GB2312" w:eastAsia="仿宋_GB2312"/>
                <w:b/>
                <w:color w:val="000000"/>
                <w:sz w:val="24"/>
              </w:rPr>
            </w:r>
          </w:p>
        </w:tc>
        <w:tc>
          <w:tcPr>
            <w:tcBorders/>
            <w:tcW w:w="1134"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优化类应用开发项目提供资料</w:t>
            </w:r>
            <w:r>
              <w:rPr>
                <w:rFonts w:ascii="仿宋_GB2312" w:eastAsia="仿宋_GB2312"/>
                <w:b/>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提供商尽职调查报告（包括企业简介，法人代表情况，营业证照扫描件，企业技术实力及资质证书，行业经验及成功案例，内部控制情况，管理能力，持续经营情况，经审计的最近三年的财务年报表等；</w:t>
            </w:r>
            <w:r>
              <w:rPr>
                <w:rFonts w:hint="eastAsia" w:ascii="仿宋_GB2312" w:eastAsia="仿宋_GB2312"/>
                <w:b/>
                <w:color w:val="000000"/>
                <w:sz w:val="24"/>
              </w:rPr>
              <w:t xml:space="preserve">适用于重要外包服务</w:t>
            </w:r>
            <w:r>
              <w:rPr>
                <w:rFonts w:hint="eastAsia" w:ascii="仿宋_GB2312" w:eastAsia="仿宋_GB2312"/>
                <w:color w:val="000000"/>
                <w:sz w:val="24"/>
              </w:rPr>
              <w:t xml:space="preserve">）</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2</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公司风险自评估和第三方风险评估报告，或第三方全面审计报告（不是财务审计报告）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3</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《外包服务应急预案》（包含但不限于外包人员备份措施、外包服务中断应急措施，以及提供商服务质量不能满足合同要求时保障甲方获取其服务资源最高级优先权的应急措施等内容）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4</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《外包服务提供商季度检查报告》（</w:t>
            </w:r>
            <w:r>
              <w:rPr>
                <w:rFonts w:hint="eastAsia" w:ascii="仿宋_GB2312" w:eastAsia="仿宋_GB2312"/>
                <w:b/>
                <w:color w:val="000000"/>
                <w:sz w:val="24"/>
              </w:rPr>
              <w:t xml:space="preserve">适用本合同外包服务属于重要外包的</w:t>
            </w:r>
            <w:r>
              <w:rPr>
                <w:rFonts w:hint="eastAsia" w:ascii="仿宋_GB2312" w:eastAsia="仿宋_GB2312"/>
                <w:color w:val="000000"/>
                <w:sz w:val="24"/>
              </w:rPr>
              <w:t xml:space="preserve">，乙方须每季度开展自身技术和行业经验、内部控制和管理能力检查，以及持续经营状况等方面的内部自查或外部检查工作并出具报告）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5</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系统规格说明书（包括但不限于开发方法、系统架构设计、数据库设计、网络架构设计等内容。）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6</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安装手册（包含操作系统、数据库、双机软件、通讯软件、应用程序等的硬件配置要求、安装参数、版本要求、安装过程等）</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7</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应用维护手册/更新维护手册（包含应用启停、数据库启停、应用及数据库备份、双机启停、密钥配置、应用和端口的监测、网络的监测等内容）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8</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数据库详细设计（数据库表结构及字典）</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9</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业务操作手册</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Height w:val="274"/>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10</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测试方案或测试案例</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11</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项目测试验收报告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12</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源代码文件</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13</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系统应急预案</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14</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系统数据库脱敏脚本（包含所有涉及客户信息的表和字段）</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15</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项目验收报告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16</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bCs/>
                <w:color w:val="000000"/>
                <w:sz w:val="24"/>
              </w:rPr>
              <w:t xml:space="preserve">项目或产品开发过程中所使用的全部开源软件和组件清单（清单内容应至少包含开源软件和组件的名称、版本号、用途及来源地址等信息）</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17</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按照监管要求、甲方外包管理和项目管理等内控要求，需提供的其它文档资料。</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bl>
    <w:p>
      <w:pPr>
        <w:keepNext w:val="false"/>
        <w:keepLines w:val="false"/>
        <w:pageBreakBefore w:val="false"/>
        <w:pBdr/>
        <w:bidi w:val="false"/>
        <w:spacing w:line="360" w:lineRule="auto"/>
        <w:ind/>
        <w:outlineLvl w:val="0"/>
        <w:rPr>
          <w:rFonts w:ascii="仿宋_GB2312" w:hAnsi="宋体" w:eastAsia="仿宋_GB2312"/>
          <w:b/>
          <w:color w:val="000000"/>
          <w:sz w:val="30"/>
          <w:szCs w:val="30"/>
        </w:rPr>
      </w:pPr>
      <w:r>
        <w:rPr>
          <w:rFonts w:ascii="仿宋_GB2312" w:hAnsi="宋体" w:eastAsia="仿宋_GB2312"/>
          <w:color w:val="000000"/>
          <w:sz w:val="24"/>
        </w:rPr>
        <w:br w:type="page" w:clear="all"/>
      </w:r>
      <w:r>
        <w:rPr>
          <w:rFonts w:hint="eastAsia" w:ascii="仿宋_GB2312" w:hAnsi="宋体" w:eastAsia="仿宋_GB2312"/>
          <w:b/>
          <w:color w:val="000000"/>
          <w:sz w:val="30"/>
          <w:szCs w:val="30"/>
        </w:rPr>
        <w:t xml:space="preserve">附件二                  服务水平协议</w:t>
      </w:r>
      <w:r>
        <w:rPr>
          <w:rFonts w:ascii="仿宋_GB2312" w:hAnsi="宋体" w:eastAsia="仿宋_GB2312"/>
          <w:b/>
          <w:color w:val="000000"/>
          <w:sz w:val="30"/>
          <w:szCs w:val="30"/>
        </w:rPr>
      </w:r>
    </w:p>
    <w:p>
      <w:pPr>
        <w:keepNext w:val="false"/>
        <w:keepLines w:val="false"/>
        <w:pageBreakBefore w:val="false"/>
        <w:pBdr/>
        <w:bidi w:val="false"/>
        <w:spacing w:line="360" w:lineRule="auto"/>
        <w:ind/>
        <w:rPr>
          <w:rFonts w:ascii="仿宋_GB2312" w:hAnsi="宋体" w:eastAsia="仿宋_GB2312"/>
          <w:bCs/>
          <w:color w:val="000000"/>
          <w:sz w:val="24"/>
          <w:u w:val="single"/>
        </w:rPr>
      </w:pP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本协议与服务合同具有同等法律效力。</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本协议对</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在提供系统外包服务期间的服务质量进行约定和控制。</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向</w:t>
      </w: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提供服务期间，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承诺在系统处理服务水平、问题响应和解决、需求响应和解决等方面提供高质量的服务。为保障服务质量，按照下面双方约定的服务标准和罚则，乙方同意并自觉接受甲方的考核和罚责。</w:t>
      </w:r>
      <w:r>
        <w:rPr>
          <w:rFonts w:ascii="仿宋_GB2312" w:hAnsi="宋体" w:eastAsia="仿宋_GB2312"/>
          <w:color w:val="000000"/>
          <w:sz w:val="24"/>
        </w:rPr>
      </w:r>
    </w:p>
    <w:p>
      <w:pPr>
        <w:keepNext w:val="false"/>
        <w:keepLines w:val="false"/>
        <w:pageBreakBefore w:val="false"/>
        <w:numPr>
          <w:ilvl w:val="0"/>
          <w:numId w:val="0"/>
        </w:numPr>
        <w:pBdr/>
        <w:bidi w:val="false"/>
        <w:spacing w:line="360" w:lineRule="auto"/>
        <w:ind/>
        <w:outlineLvl w:val="1"/>
        <w:rPr>
          <w:rFonts w:ascii="仿宋_GB2312" w:hAnsi="宋体" w:eastAsia="仿宋_GB2312"/>
          <w:b/>
          <w:color w:val="000000"/>
          <w:sz w:val="24"/>
          <w:szCs w:val="24"/>
        </w:rPr>
      </w:pPr>
      <w:r>
        <w:rPr>
          <w:rFonts w:hint="eastAsia" w:ascii="仿宋_GB2312" w:hAnsi="宋体" w:eastAsia="仿宋_GB2312"/>
          <w:b/>
          <w:color w:val="000000"/>
          <w:sz w:val="24"/>
          <w:szCs w:val="24"/>
        </w:rPr>
        <w:t xml:space="preserve">1</w:t>
      </w:r>
      <w:r>
        <w:rPr>
          <w:rFonts w:hint="eastAsia" w:ascii="仿宋_GB2312" w:hAnsi="宋体" w:eastAsia="仿宋_GB2312"/>
          <w:b/>
          <w:color w:val="000000"/>
          <w:sz w:val="24"/>
          <w:szCs w:val="24"/>
          <w:lang w:eastAsia="zh-CN"/>
        </w:rPr>
        <w:t xml:space="preserve">.</w:t>
      </w:r>
      <w:r>
        <w:rPr>
          <w:rFonts w:hint="eastAsia" w:ascii="仿宋_GB2312" w:hAnsi="宋体" w:eastAsia="仿宋_GB2312"/>
          <w:b/>
          <w:color w:val="000000"/>
          <w:sz w:val="24"/>
          <w:szCs w:val="24"/>
        </w:rPr>
        <w:t xml:space="preserve">系统处理服务标准</w:t>
      </w:r>
      <w:r>
        <w:rPr>
          <w:rFonts w:ascii="仿宋_GB2312" w:hAnsi="宋体" w:eastAsia="仿宋_GB2312"/>
          <w:b/>
          <w:color w:val="000000"/>
          <w:sz w:val="24"/>
          <w:szCs w:val="24"/>
        </w:rPr>
      </w:r>
    </w:p>
    <w:p>
      <w:pPr>
        <w:keepNext w:val="false"/>
        <w:keepLines w:val="false"/>
        <w:pageBreakBefore w:val="false"/>
        <w:pBdr/>
        <w:bidi w:val="false"/>
        <w:spacing w:line="360" w:lineRule="auto"/>
        <w:ind w:firstLine="120" w:left="359"/>
        <w:rPr>
          <w:rFonts w:ascii="仿宋_GB2312" w:hAnsi="宋体" w:eastAsia="仿宋_GB2312"/>
          <w:color w:val="000000"/>
          <w:sz w:val="24"/>
        </w:rPr>
      </w:pPr>
      <w:r>
        <w:rPr>
          <w:rFonts w:hint="eastAsia" w:ascii="仿宋_GB2312" w:hAnsi="宋体" w:eastAsia="仿宋_GB2312"/>
          <w:color w:val="000000"/>
          <w:sz w:val="24"/>
        </w:rPr>
        <w:t xml:space="preserve">乙方向甲方</w:t>
      </w:r>
      <w:r>
        <w:rPr>
          <w:rFonts w:hint="eastAsia" w:ascii="仿宋_GB2312" w:hAnsi="宋体" w:eastAsia="仿宋_GB2312" w:cs="Arial Unicode MS"/>
          <w:color w:val="000000"/>
          <w:sz w:val="24"/>
        </w:rPr>
        <w:t xml:space="preserve">提供的</w:t>
      </w:r>
      <w:r>
        <w:rPr>
          <w:rFonts w:hint="eastAsia" w:ascii="仿宋_GB2312" w:hAnsi="宋体" w:eastAsia="仿宋_GB2312"/>
          <w:color w:val="000000"/>
          <w:sz w:val="24"/>
        </w:rPr>
        <w:t xml:space="preserve">系统外包服务，必须达到以下标准。</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系统集成服务</w:t>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在开发类项目中，乙方应提供系统集成安装服务，即由乙方派出有经验的工程师进行项目的操作系统、中间件、数据库、应用程序的安装、配置和调试，并根据实际情况协助甲方将上述程序升级为可用的最新版本。</w:t>
      </w:r>
      <w:r>
        <w:rPr>
          <w:rFonts w:ascii="仿宋_GB2312" w:hAnsi="宋体" w:eastAsia="仿宋_GB2312"/>
          <w:bCs/>
          <w:color w:val="000000"/>
          <w:sz w:val="24"/>
        </w:rPr>
      </w:r>
    </w:p>
    <w:p>
      <w:pPr>
        <w:keepNext w:val="false"/>
        <w:keepLines w:val="false"/>
        <w:pageBreakBefore w:val="false"/>
        <w:pBdr/>
        <w:tabs>
          <w:tab w:val="left" w:leader="none" w:pos="780"/>
        </w:tabs>
        <w:bidi w:val="false"/>
        <w:spacing w:line="360" w:lineRule="auto"/>
        <w:ind w:right="225" w:firstLine="480"/>
        <w:rPr>
          <w:rFonts w:ascii="仿宋_GB2312" w:hAnsi="宋体" w:eastAsia="仿宋_GB2312"/>
          <w:bCs/>
          <w:color w:val="000000"/>
          <w:sz w:val="24"/>
        </w:rPr>
      </w:pPr>
      <w:r>
        <w:rPr>
          <w:rFonts w:hint="eastAsia" w:ascii="仿宋_GB2312" w:hAnsi="宋体" w:eastAsia="仿宋_GB2312"/>
          <w:bCs/>
          <w:color w:val="000000"/>
          <w:sz w:val="24"/>
        </w:rPr>
        <w:t xml:space="preserve">如乙方服务不包括系统集成，则甲方按照统一系统集成方案实施安装和配置。乙方视为同意甲方方案，承担后续一切维护责任，不得因安装配置原因产生维护纠纷。因系统集成原因造成系统可用率下降的，按照违约金条款执行。</w:t>
      </w:r>
      <w:r>
        <w:rPr>
          <w:rFonts w:ascii="仿宋_GB2312" w:hAnsi="宋体" w:eastAsia="仿宋_GB2312"/>
          <w:bCs/>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联机系统的可用率</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每月99.9%的时间内联机系统可用</w:t>
      </w:r>
      <w:r>
        <w:rPr>
          <w:rFonts w:hint="eastAsia" w:ascii="仿宋_GB2312" w:hAnsi="宋体" w:eastAsia="仿宋_GB2312"/>
          <w:iCs/>
          <w:color w:val="000000"/>
          <w:sz w:val="24"/>
        </w:rPr>
        <w:t xml:space="preserve">计算</w:t>
      </w:r>
      <w:r>
        <w:rPr>
          <w:rFonts w:hint="eastAsia" w:ascii="仿宋_GB2312" w:hAnsi="宋体" w:eastAsia="仿宋_GB2312"/>
          <w:bCs/>
          <w:iCs/>
          <w:color w:val="000000"/>
          <w:sz w:val="24"/>
        </w:rPr>
        <w:t xml:space="preserve">联机系统的可用率</w:t>
      </w:r>
      <w:r>
        <w:rPr>
          <w:rFonts w:hint="eastAsia" w:ascii="仿宋_GB2312" w:hAnsi="宋体" w:eastAsia="仿宋_GB2312"/>
          <w:iCs/>
          <w:color w:val="000000"/>
          <w:sz w:val="24"/>
        </w:rPr>
        <w:t xml:space="preserve">，排除系统软件和硬件升级、增加外围设备和系统、例行维护、日常批处理等正常的、</w:t>
      </w:r>
      <w:r>
        <w:rPr>
          <w:rFonts w:hint="eastAsia" w:ascii="仿宋_GB2312" w:hAnsi="宋体" w:eastAsia="仿宋_GB2312"/>
          <w:color w:val="000000"/>
          <w:sz w:val="24"/>
        </w:rPr>
        <w:t xml:space="preserve">常规</w:t>
      </w:r>
      <w:r>
        <w:rPr>
          <w:rFonts w:hint="eastAsia" w:ascii="仿宋_GB2312" w:hAnsi="宋体" w:eastAsia="仿宋_GB2312"/>
          <w:iCs/>
          <w:color w:val="000000"/>
          <w:sz w:val="24"/>
        </w:rPr>
        <w:t xml:space="preserve">的、可预见的事件所带来的影响。对于不可预见事件带来的影响，双方另行约定。</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联机用户响应时间</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甲方操作员终端操作等待时间90%的终端操作界面（包含从系统到操作员</w:t>
      </w:r>
      <w:r>
        <w:rPr>
          <w:rFonts w:hint="eastAsia" w:ascii="仿宋_GB2312" w:hAnsi="宋体" w:eastAsia="仿宋_GB2312" w:cs="Arial Unicode MS"/>
          <w:color w:val="000000"/>
          <w:sz w:val="24"/>
        </w:rPr>
        <w:t xml:space="preserve">终端</w:t>
      </w:r>
      <w:r>
        <w:rPr>
          <w:rFonts w:hint="eastAsia" w:ascii="仿宋_GB2312" w:hAnsi="宋体" w:eastAsia="仿宋_GB2312"/>
          <w:color w:val="000000"/>
          <w:sz w:val="24"/>
        </w:rPr>
        <w:t xml:space="preserve">的通讯时间）在2秒之内响应</w:t>
      </w:r>
      <w:r>
        <w:rPr>
          <w:rFonts w:hint="eastAsia" w:ascii="仿宋_GB2312" w:hAnsi="宋体" w:eastAsia="仿宋_GB2312"/>
          <w:color w:val="000000"/>
          <w:sz w:val="24"/>
          <w:lang w:eastAsia="zh-CN"/>
        </w:rPr>
        <w:t xml:space="preserve">。</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color w:val="000000"/>
          <w:sz w:val="24"/>
          <w:u w:val="single"/>
        </w:rPr>
        <w:t xml:space="preserve">系统</w:t>
      </w:r>
      <w:r>
        <w:rPr>
          <w:rFonts w:hint="eastAsia" w:ascii="仿宋_GB2312" w:hAnsi="宋体" w:eastAsia="仿宋_GB2312"/>
          <w:bCs/>
          <w:color w:val="000000"/>
          <w:sz w:val="24"/>
          <w:u w:val="single"/>
        </w:rPr>
        <w:t xml:space="preserve">处理容量</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乙方提供的系统外包处理服务能支持甲方合同期内的业务目标。乙方保证乙方的服务不会因为甲方的业务增长而受到影响。</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color w:val="000000"/>
          <w:sz w:val="24"/>
          <w:u w:val="single"/>
        </w:rPr>
      </w:pPr>
      <w:r>
        <w:rPr>
          <w:rFonts w:hint="eastAsia" w:ascii="仿宋_GB2312" w:hAnsi="宋体" w:eastAsia="仿宋_GB2312"/>
          <w:color w:val="000000"/>
          <w:sz w:val="24"/>
          <w:u w:val="single"/>
        </w:rPr>
        <w:t xml:space="preserve">测试环境保障</w:t>
      </w:r>
      <w:r>
        <w:rPr>
          <w:rFonts w:ascii="仿宋_GB2312" w:hAnsi="宋体" w:eastAsia="仿宋_GB2312"/>
          <w:color w:val="000000"/>
          <w:sz w:val="24"/>
          <w:u w:val="single"/>
        </w:rPr>
      </w:r>
    </w:p>
    <w:p>
      <w:pPr>
        <w:keepNext w:val="false"/>
        <w:keepLines w:val="false"/>
        <w:pageBreakBefore w:val="false"/>
        <w:pBdr/>
        <w:bidi w:val="false"/>
        <w:spacing w:line="360" w:lineRule="auto"/>
        <w:ind w:left="420"/>
        <w:rPr>
          <w:rFonts w:ascii="仿宋_GB2312" w:hAnsi="宋体" w:eastAsia="仿宋_GB2312"/>
          <w:color w:val="000000"/>
          <w:szCs w:val="24"/>
        </w:rPr>
      </w:pPr>
      <w:r>
        <w:rPr>
          <w:rFonts w:hint="eastAsia" w:ascii="仿宋_GB2312" w:hAnsi="宋体" w:eastAsia="仿宋_GB2312"/>
          <w:color w:val="000000"/>
          <w:sz w:val="24"/>
        </w:rPr>
        <w:t xml:space="preserve">乙方提供系统外包服务中，协助甲方提供进行全面测试的联机测试环境。</w:t>
      </w:r>
      <w:r>
        <w:rPr>
          <w:rFonts w:ascii="仿宋_GB2312" w:hAnsi="宋体" w:eastAsia="仿宋_GB2312"/>
          <w:color w:val="000000"/>
          <w:szCs w:val="24"/>
        </w:rPr>
      </w:r>
    </w:p>
    <w:p>
      <w:pPr>
        <w:keepNext w:val="false"/>
        <w:keepLines w:val="false"/>
        <w:pageBreakBefore w:val="false"/>
        <w:numPr>
          <w:ilvl w:val="0"/>
          <w:numId w:val="0"/>
        </w:numPr>
        <w:pBdr/>
        <w:bidi w:val="false"/>
        <w:spacing w:line="360" w:lineRule="auto"/>
        <w:ind/>
        <w:outlineLvl w:val="1"/>
        <w:rPr>
          <w:rFonts w:hint="eastAsia" w:ascii="仿宋_GB2312" w:hAnsi="宋体" w:eastAsia="仿宋_GB2312" w:cs="Times New Roman"/>
          <w:b/>
          <w:color w:val="000000"/>
          <w:sz w:val="24"/>
          <w:szCs w:val="24"/>
        </w:rPr>
      </w:pPr>
      <w:r>
        <w:rPr>
          <w:rFonts w:hint="eastAsia" w:ascii="仿宋_GB2312" w:hAnsi="宋体" w:eastAsia="仿宋_GB2312" w:cs="Times New Roman"/>
          <w:b/>
          <w:color w:val="000000"/>
          <w:sz w:val="24"/>
          <w:szCs w:val="24"/>
          <w:lang w:val="en-US" w:eastAsia="zh-CN"/>
        </w:rPr>
        <w:t xml:space="preserve">2.</w:t>
      </w:r>
      <w:r>
        <w:rPr>
          <w:rFonts w:hint="eastAsia" w:ascii="仿宋_GB2312" w:hAnsi="宋体" w:eastAsia="仿宋_GB2312" w:cs="Times New Roman"/>
          <w:b/>
          <w:color w:val="000000"/>
          <w:sz w:val="24"/>
          <w:szCs w:val="24"/>
        </w:rPr>
        <w:t xml:space="preserve">问题管理服务标准</w:t>
      </w:r>
      <w:r>
        <w:rPr>
          <w:rFonts w:hint="eastAsia" w:ascii="仿宋_GB2312" w:hAnsi="宋体" w:eastAsia="仿宋_GB2312" w:cs="Times New Roman"/>
          <w:b/>
          <w:color w:val="000000"/>
          <w:sz w:val="24"/>
          <w:szCs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问题管理服务标准包含问题严重等级分类、问题响应时间、问题解决时间等环节。对于乙方负责维护范围之内的硬件设备、应用系统、相关联之业务辅助系统等各个环节出现问题，均为本服务标准考核的范围。</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对于不是乙方负责维护范围之内出现的问题，乙方有责任和义务积极响应并协助和配合各方查清问题所在，排除故障，解决问题。</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rPr>
      </w:pPr>
      <w:r>
        <w:rPr>
          <w:rFonts w:hint="eastAsia" w:ascii="仿宋_GB2312" w:hAnsi="宋体" w:eastAsia="仿宋_GB2312"/>
          <w:b/>
          <w:bCs w:val="0"/>
          <w:color w:val="000000"/>
          <w:sz w:val="24"/>
          <w:u w:val="none"/>
          <w:lang w:val="en-US" w:eastAsia="zh-CN"/>
        </w:rPr>
        <w:t xml:space="preserve">2.1</w:t>
      </w:r>
      <w:r>
        <w:rPr>
          <w:rFonts w:hint="eastAsia" w:ascii="仿宋_GB2312" w:hAnsi="宋体" w:eastAsia="仿宋_GB2312"/>
          <w:bCs/>
          <w:color w:val="000000"/>
          <w:sz w:val="24"/>
          <w:u w:val="single"/>
        </w:rPr>
        <w:t xml:space="preserve">一级问题</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一级问题描述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级问题指的是关键性问题，一级问题的出现，将严重影响甲方业务运作，可能或已经造成甲方业务重大损失。一级问题出现，主要是乙方系统：（1）不能使用或受到严重影响；或（2）不能运行或不可调整地失衡。一级问题典型案例：</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系统不能正常使用</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w:t>
      </w:r>
      <w:r>
        <w:rPr>
          <w:rFonts w:hint="eastAsia" w:ascii="仿宋_GB2312" w:hAnsi="宋体" w:eastAsia="仿宋_GB2312"/>
          <w:bCs/>
          <w:color w:val="000000"/>
          <w:sz w:val="24"/>
        </w:rPr>
        <w:t xml:space="preserve">系统</w:t>
      </w:r>
      <w:r>
        <w:rPr>
          <w:rFonts w:hint="eastAsia" w:ascii="仿宋_GB2312" w:hAnsi="宋体" w:eastAsia="仿宋_GB2312"/>
          <w:color w:val="000000"/>
          <w:sz w:val="24"/>
        </w:rPr>
        <w:t xml:space="preserve">之间的专线掉线，备份线路不能正常使用</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甲方与乙方之间的传输软件不能正常工作导致关键的传输发生迟滞</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不能进行批处理，或者批处理时间超出约定时间，影响整个作业或部分关键作业不能继续</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甲方仿真终端和/或网路应用程序接口不能正常访问乙方系统</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联机系统发生故障</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由维护引起的乙方系统的严重错误</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未产生报表（仅指系统产生的运营类报表）</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乙方系统失衡</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系统成功率下降到90％（含）以下</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对于甲方提交给乙方响应的一级问题，乙方应该100％在30分钟内做出响应，以甲方收到乙方对问题的确认信息和问题日志编号为准。由甲方提交给乙方响应中心的一级问题，95％问题需要乙方在2小时内提供临时解决方案，并在24小时之内予以彻底解决。对于余下的5％问题，必须在24小时之内提供临时解决方案，并在72小时之内予以彻底解决。</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241"/>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2.2</w:t>
      </w:r>
      <w:r>
        <w:rPr>
          <w:rFonts w:hint="eastAsia" w:ascii="仿宋_GB2312" w:hAnsi="宋体" w:eastAsia="仿宋_GB2312"/>
          <w:bCs/>
          <w:color w:val="000000"/>
          <w:sz w:val="24"/>
          <w:u w:val="single"/>
        </w:rPr>
        <w:t xml:space="preserve">二级问题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二级问题描述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hint="eastAsia" w:ascii="仿宋_GB2312" w:hAnsi="宋体" w:eastAsia="仿宋_GB2312"/>
          <w:bCs/>
          <w:color w:val="000000"/>
          <w:sz w:val="24"/>
        </w:rPr>
        <w:t xml:space="preserve">表明所报告的是重大但非关键性的问题。此类问题意味着乙方系统能够运行但是某些功能不能正常工作。此类问题仅影响少数几个用户，和/或者降低系统性能。以下为二级</w:t>
      </w:r>
      <w:r>
        <w:rPr>
          <w:rFonts w:hint="eastAsia" w:ascii="仿宋_GB2312" w:hAnsi="宋体" w:eastAsia="仿宋_GB2312"/>
          <w:color w:val="000000"/>
          <w:sz w:val="24"/>
        </w:rPr>
        <w:t xml:space="preserve">问题的一些案例：</w:t>
      </w:r>
      <w:r>
        <w:rPr>
          <w:rFonts w:ascii="仿宋_GB2312" w:hAnsi="宋体" w:eastAsia="仿宋_GB2312"/>
          <w:color w:val="000000"/>
          <w:sz w:val="24"/>
        </w:rPr>
      </w:r>
    </w:p>
    <w:p>
      <w:pPr>
        <w:keepNext w:val="false"/>
        <w:keepLines w:val="false"/>
        <w:pageBreakBefore w:val="false"/>
        <w:numPr>
          <w:ilvl w:val="0"/>
          <w:numId w:val="5"/>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系统异常终止，但没有影响关键作业使用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通过解决方案解决，并能保证系统正常使用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和</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之间线路中断，备份线路可以使用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非关键报表未被提交</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bCs/>
          <w:color w:val="000000"/>
          <w:sz w:val="24"/>
        </w:rPr>
      </w:pPr>
      <w:r>
        <w:rPr>
          <w:rFonts w:hint="eastAsia" w:ascii="仿宋_GB2312" w:hAnsi="宋体" w:eastAsia="仿宋_GB2312"/>
          <w:color w:val="000000"/>
          <w:sz w:val="24"/>
        </w:rPr>
        <w:t xml:space="preserve">系统成功率在95％（含）－90％之间</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由甲方提交给乙方响应中心的二级问题，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95％问题</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应在4小时内提供状态更新信息或临时解决方案，48小时之内彻底解决；余下5％的问题，应在24小时之内提供状态更新或临时解决方案，5天之内彻底解决。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2.3</w:t>
      </w:r>
      <w:r>
        <w:rPr>
          <w:rFonts w:hint="eastAsia" w:ascii="仿宋_GB2312" w:hAnsi="宋体" w:eastAsia="仿宋_GB2312"/>
          <w:bCs/>
          <w:color w:val="000000"/>
          <w:sz w:val="24"/>
          <w:u w:val="single"/>
        </w:rPr>
        <w:t xml:space="preserve">三级问题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三级问题描述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级问题表明所报告的是次要问题。此类问题发生时乙方系统能够正常运行，问题产生的影响是有限的且不对整体运行产生关键性的影响。这些问题包括诸如文档之类的问题。对于这些问题，能够提供备选的处理方法，或者由于问题不够重要以至于不需要备选方案。在正常的业务进程中，此类系统缺陷将被得到尽快解决。以下为三级问题的一些案例：</w:t>
      </w:r>
      <w:r>
        <w:rPr>
          <w:rFonts w:ascii="仿宋_GB2312" w:hAnsi="宋体" w:eastAsia="仿宋_GB2312"/>
          <w:color w:val="000000"/>
          <w:sz w:val="24"/>
        </w:rPr>
      </w:r>
    </w:p>
    <w:p>
      <w:pPr>
        <w:keepNext w:val="false"/>
        <w:keepLines w:val="false"/>
        <w:pageBreakBefore w:val="false"/>
        <w:numPr>
          <w:ilvl w:val="0"/>
          <w:numId w:val="7"/>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系统可以运行，但不平稳</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个别辅助功能无法正常使用</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不影响作业的显示错误</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印刷错误</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Cs w:val="24"/>
          <w:lang w:eastAsia="zh-CN"/>
        </w:rPr>
      </w:pPr>
      <w:r>
        <w:rPr>
          <w:rFonts w:hint="eastAsia" w:ascii="仿宋_GB2312" w:hAnsi="宋体" w:eastAsia="仿宋_GB2312"/>
          <w:color w:val="000000"/>
          <w:sz w:val="24"/>
        </w:rPr>
        <w:t xml:space="preserve">不影响甲方日常营运的问题</w:t>
      </w:r>
      <w:r>
        <w:rPr>
          <w:rFonts w:ascii="仿宋_GB2312" w:hAnsi="宋体" w:eastAsia="仿宋_GB2312"/>
          <w:color w:val="000000"/>
          <w:szCs w:val="24"/>
          <w:lang w:eastAsia="zh-CN"/>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由甲方提交给乙方响应中心的三级问题，</w:t>
      </w:r>
      <w:r>
        <w:rPr>
          <w:rFonts w:hint="eastAsia" w:ascii="仿宋_GB2312" w:hAnsi="宋体" w:eastAsia="仿宋_GB2312"/>
          <w:bCs/>
          <w:color w:val="000000"/>
          <w:sz w:val="24"/>
        </w:rPr>
        <w:t xml:space="preserve">乙方应该100％在30分钟内做出响应，以甲方收到乙方对问题的确认信息和问题日志编号为准。</w:t>
      </w:r>
      <w:r>
        <w:rPr>
          <w:rFonts w:hint="eastAsia" w:ascii="仿宋_GB2312" w:hAnsi="宋体" w:eastAsia="仿宋_GB2312"/>
          <w:color w:val="000000"/>
          <w:sz w:val="24"/>
        </w:rPr>
        <w:t xml:space="preserve">对于每月由甲方提交给乙方响应中心的三级问题，90％问题乙方应在2个工作日内提供状态更新信息或临时解决方案，4个工作日内彻底解决；余下10％，在4个工作日内提供状态更新信息或临时解决方案，10个工作日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2.4</w:t>
      </w:r>
      <w:r>
        <w:rPr>
          <w:rFonts w:hint="eastAsia" w:ascii="仿宋_GB2312" w:hAnsi="宋体" w:eastAsia="仿宋_GB2312"/>
          <w:bCs/>
          <w:color w:val="000000"/>
          <w:sz w:val="24"/>
          <w:u w:val="single"/>
        </w:rPr>
        <w:t xml:space="preserve">四级问题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四级问题描述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四级问题表明所报告的是一般性问题。此类问题发生时乙方系统正常运行，对甲方作业几乎无影响或根本不影响，主要是咨询和服务类的问题。典型的四级问题案例：</w:t>
      </w:r>
      <w:r>
        <w:rPr>
          <w:rFonts w:ascii="仿宋_GB2312" w:hAnsi="宋体" w:eastAsia="仿宋_GB2312"/>
          <w:color w:val="000000"/>
          <w:sz w:val="24"/>
        </w:rPr>
      </w:r>
    </w:p>
    <w:p>
      <w:pPr>
        <w:keepNext w:val="false"/>
        <w:keepLines w:val="false"/>
        <w:pageBreakBefore w:val="false"/>
        <w:numPr>
          <w:ilvl w:val="0"/>
          <w:numId w:val="9"/>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系统操作性问题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其他咨询类问题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其他系统、线路故障，需要甲方配合解决的问题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甲方需要乙方协助解决的问题</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由甲方提交给乙方响应中心的四级问题，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由甲方提交给乙方响应中心的四级问题的属于</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能够解决或解释的问题，90％问题乙方应在2个工作日内提供状态更新信息或临时解决方案，5个工作日内彻底解决；余下10％，在3个工作日内提供状态更新信息或临时解决方案，8个工作日内彻底解决。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3.</w:t>
      </w:r>
      <w:r>
        <w:rPr>
          <w:rFonts w:hint="eastAsia" w:ascii="仿宋_GB2312" w:hAnsi="宋体" w:eastAsia="仿宋_GB2312"/>
          <w:b/>
          <w:bCs w:val="0"/>
          <w:color w:val="000000"/>
          <w:sz w:val="24"/>
        </w:rPr>
        <w:t xml:space="preserve">需求管理服务标准</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3.1</w:t>
      </w:r>
      <w:r>
        <w:rPr>
          <w:rFonts w:hint="eastAsia" w:ascii="仿宋_GB2312" w:hAnsi="宋体" w:eastAsia="仿宋_GB2312"/>
          <w:bCs/>
          <w:color w:val="000000"/>
          <w:sz w:val="24"/>
          <w:u w:val="single"/>
        </w:rPr>
        <w:t xml:space="preserve">需求确定</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需求管理内容包括需求变更和新需求，需求管理过程按照需求管理流程进行组织、计划、控制和实施。由于问题引发的新需求或者需求变更，按照问题管理服务标准规定的比率和时限进行考核。对于其他新需求或需求变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承诺，按照项目难易程度不同，制定实施计划和实施方案。</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3.2</w:t>
      </w:r>
      <w:r>
        <w:rPr>
          <w:rFonts w:hint="eastAsia" w:ascii="仿宋_GB2312" w:hAnsi="宋体" w:eastAsia="仿宋_GB2312"/>
          <w:bCs/>
          <w:color w:val="000000"/>
          <w:sz w:val="24"/>
          <w:u w:val="single"/>
        </w:rPr>
        <w:t xml:space="preserve">响应时间和解决时间标准</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响应时间：</w:t>
      </w:r>
      <w:r>
        <w:rPr>
          <w:rFonts w:hint="eastAsia" w:ascii="仿宋_GB2312" w:hAnsi="宋体" w:eastAsia="仿宋_GB2312"/>
          <w:color w:val="000000"/>
          <w:sz w:val="24"/>
        </w:rPr>
        <w:t xml:space="preserve">为保障项目实施进度，75％的需求，必须在2－5工作日内提供实施方案并提交相关人员批准实施，在方案确定后，要在2-5个工作日内提交实施计划并开始实施。余下25％需求在15个工作日内提出实施方案。</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s="Arial"/>
          <w:color w:val="000000"/>
          <w:sz w:val="24"/>
        </w:rPr>
      </w:pPr>
      <w:r>
        <w:rPr>
          <w:rFonts w:hint="eastAsia" w:ascii="仿宋_GB2312" w:hAnsi="宋体" w:eastAsia="仿宋_GB2312"/>
          <w:bCs/>
          <w:color w:val="000000"/>
          <w:sz w:val="24"/>
        </w:rPr>
        <w:t xml:space="preserve">解决时间：甲乙双方</w:t>
      </w:r>
      <w:r>
        <w:rPr>
          <w:rFonts w:hint="eastAsia" w:ascii="仿宋_GB2312" w:hAnsi="宋体" w:eastAsia="仿宋_GB2312"/>
          <w:color w:val="000000"/>
          <w:sz w:val="24"/>
        </w:rPr>
        <w:t xml:space="preserve">按照每个项目工作量和难易程度的不同，分别约定的上线日期。</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保证按时项目上线率不得低于90％，项目延期不能超过5个工作日。</w:t>
      </w:r>
      <w:r>
        <w:rPr>
          <w:rFonts w:ascii="仿宋_GB2312" w:hAnsi="宋体" w:eastAsia="仿宋_GB2312" w:cs="Arial"/>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bookmarkStart w:id="2" w:name="_Toc59255223"/>
      <w:r>
        <w:rPr>
          <w:rFonts w:hint="eastAsia" w:ascii="仿宋_GB2312" w:hAnsi="宋体" w:eastAsia="仿宋_GB2312"/>
          <w:b/>
          <w:bCs w:val="0"/>
          <w:color w:val="000000"/>
          <w:sz w:val="24"/>
          <w:lang w:val="en-US" w:eastAsia="zh-CN"/>
        </w:rPr>
        <w:t xml:space="preserve">4.</w:t>
      </w:r>
      <w:r>
        <w:rPr>
          <w:rFonts w:hint="eastAsia" w:ascii="仿宋_GB2312" w:hAnsi="宋体" w:eastAsia="仿宋_GB2312"/>
          <w:b/>
          <w:bCs w:val="0"/>
          <w:color w:val="000000"/>
          <w:sz w:val="24"/>
        </w:rPr>
        <w:t xml:space="preserve">其他定义</w:t>
      </w:r>
      <w:bookmarkEnd w:id="2"/>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3" w:name="_Toc59255224"/>
      <w:r>
        <w:rPr>
          <w:rFonts w:hint="eastAsia" w:ascii="仿宋_GB2312" w:hAnsi="宋体" w:eastAsia="仿宋_GB2312"/>
          <w:b/>
          <w:bCs w:val="0"/>
          <w:color w:val="000000"/>
          <w:sz w:val="24"/>
          <w:u w:val="none"/>
          <w:lang w:val="en-US" w:eastAsia="zh-CN"/>
        </w:rPr>
        <w:t xml:space="preserve">4.1</w:t>
      </w:r>
      <w:r>
        <w:rPr>
          <w:rFonts w:hint="eastAsia" w:ascii="仿宋_GB2312" w:hAnsi="宋体" w:eastAsia="仿宋_GB2312"/>
          <w:bCs/>
          <w:color w:val="000000"/>
          <w:sz w:val="24"/>
          <w:u w:val="single"/>
        </w:rPr>
        <w:t xml:space="preserve">例行维护</w:t>
      </w:r>
      <w:bookmarkEnd w:id="3"/>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iCs/>
          <w:color w:val="000000"/>
          <w:sz w:val="24"/>
        </w:rPr>
      </w:pPr>
      <w:r>
        <w:rPr>
          <w:rFonts w:hint="eastAsia" w:ascii="仿宋_GB2312" w:hAnsi="宋体" w:eastAsia="仿宋_GB2312"/>
          <w:color w:val="000000"/>
          <w:sz w:val="24"/>
        </w:rPr>
        <w:t xml:space="preserve">每季度典型的例行维护不能超过2次，用时不能超过1个小时，在系统正式上线6个月内，用时不能超过2个小时。乙方进行例行维护，事先必须以书面形式通知甲方，并征得甲方同意后在双方约定的夜间时间进行。如果甲方在24小时内未提出任何不同意见，则视为同意。任何维护的时间如果改变，都将通过客户服务经理事先通知客户银行。超出本条款的约定，乙方将接受服务标准的考核和罚则。</w:t>
      </w:r>
      <w:r>
        <w:rPr>
          <w:rFonts w:ascii="仿宋_GB2312" w:hAnsi="宋体" w:eastAsia="仿宋_GB2312"/>
          <w:bCs/>
          <w:i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4" w:name="_Toc59255225"/>
      <w:r>
        <w:rPr>
          <w:rFonts w:hint="eastAsia" w:ascii="仿宋_GB2312" w:hAnsi="宋体" w:eastAsia="仿宋_GB2312"/>
          <w:b/>
          <w:bCs w:val="0"/>
          <w:color w:val="000000"/>
          <w:sz w:val="24"/>
          <w:u w:val="none"/>
          <w:lang w:val="en-US" w:eastAsia="zh-CN"/>
        </w:rPr>
        <w:t xml:space="preserve">4.2</w:t>
      </w:r>
      <w:r>
        <w:rPr>
          <w:rFonts w:hint="eastAsia" w:ascii="仿宋_GB2312" w:hAnsi="宋体" w:eastAsia="仿宋_GB2312"/>
          <w:bCs/>
          <w:color w:val="000000"/>
          <w:sz w:val="24"/>
          <w:u w:val="single"/>
        </w:rPr>
        <w:t xml:space="preserve">版本更新</w:t>
      </w:r>
      <w:bookmarkEnd w:id="4"/>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版本升级的过程中，升级将集中在同一时间或连续进行，时间选择要避免交易高峰期，以降低对业务的影响。这方面信息将会在版本升级前，由客户服务经理向客户银行提供影响说明文件和具体升级时间。乙方进行版本更新时间每月原则上不能超过1次，必须在2小时之内完成。超出本条款的约定，乙方将接受服务标准的考核和罚则。</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4.3</w:t>
      </w:r>
      <w:r>
        <w:rPr>
          <w:rFonts w:hint="eastAsia" w:ascii="仿宋_GB2312" w:hAnsi="宋体" w:eastAsia="仿宋_GB2312"/>
          <w:bCs/>
          <w:color w:val="000000"/>
          <w:sz w:val="24"/>
          <w:u w:val="single"/>
        </w:rPr>
        <w:t xml:space="preserve">新需求上线</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乙方按照甲方提出的新的业务需求修改系统程序，换版上线后起两周内，为试用期，试用期内，新需求确定范围内的功能出现问题，乙方有责任进行修改直至新需求正常使用。</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4.4</w:t>
      </w:r>
      <w:r>
        <w:rPr>
          <w:rFonts w:hint="eastAsia" w:ascii="仿宋_GB2312" w:hAnsi="宋体" w:eastAsia="仿宋_GB2312"/>
          <w:bCs/>
          <w:color w:val="000000"/>
          <w:sz w:val="24"/>
          <w:u w:val="single"/>
        </w:rPr>
        <w:t xml:space="preserve">系统整改</w:t>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为提高系统的安全性，乙方应在开发类项目实施初期，协助甲方将操作系统、中间件、数据库、应用程序升级为可用的最新版本。对于开发类服务和维保类服务，甲方因安全需要进行系统整改时，乙方必须配合整改，并承诺必要时给予现场技术支持。需乙方限期整改的问题，乙方必须在甲方规定时间内提交整改计划并实施。</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4.5</w:t>
      </w:r>
      <w:r>
        <w:rPr>
          <w:rFonts w:hint="eastAsia" w:ascii="仿宋_GB2312" w:hAnsi="宋体" w:eastAsia="仿宋_GB2312"/>
          <w:bCs/>
          <w:color w:val="000000"/>
          <w:sz w:val="24"/>
          <w:u w:val="single"/>
        </w:rPr>
        <w:t xml:space="preserve">第三方责任排除</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在服务存续时间内，由乙方所不能控制的第三方原因所造成服务水准的下降，不列入系统处理服务标准考核之内。乙方应尽可能采取一切行动，降低由此给甲方所带来的不便、影响和损失。</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5.</w:t>
      </w:r>
      <w:r>
        <w:rPr>
          <w:rFonts w:hint="eastAsia" w:ascii="仿宋_GB2312" w:hAnsi="宋体" w:eastAsia="仿宋_GB2312"/>
          <w:b/>
          <w:bCs w:val="0"/>
          <w:color w:val="000000"/>
          <w:sz w:val="24"/>
        </w:rPr>
        <w:t xml:space="preserve">违约金条款</w:t>
      </w:r>
      <w:r>
        <w:rPr>
          <w:rFonts w:ascii="仿宋_GB2312" w:hAnsi="宋体" w:eastAsia="仿宋_GB2312"/>
          <w:bCs/>
          <w:color w:val="000000"/>
          <w:sz w:val="24"/>
        </w:rPr>
      </w:r>
    </w:p>
    <w:p>
      <w:pPr>
        <w:keepNext w:val="false"/>
        <w:keepLines w:val="false"/>
        <w:pageBreakBefore w:val="false"/>
        <w:widowControl w:val="true"/>
        <w:numPr>
          <w:ilvl w:val="0"/>
          <w:numId w:val="0"/>
        </w:numPr>
        <w:pBdr/>
        <w:tabs>
          <w:tab w:val="left" w:leader="none" w:pos="420"/>
        </w:tabs>
        <w:bidi w:val="false"/>
        <w:spacing w:line="360" w:lineRule="auto"/>
        <w:ind w:firstLine="482"/>
        <w:jc w:val="left"/>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5.1</w:t>
      </w:r>
      <w:r>
        <w:rPr>
          <w:rFonts w:hint="eastAsia" w:ascii="仿宋_GB2312" w:hAnsi="宋体" w:eastAsia="仿宋_GB2312"/>
          <w:bCs/>
          <w:color w:val="000000"/>
          <w:sz w:val="24"/>
          <w:u w:val="single"/>
        </w:rPr>
        <w:t xml:space="preserve">项目实施服务违约金条款</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由于乙方原因造成系统服务未在双方约定的时间内上线。甲方有权按照每递延一日2000元（人民币贰仟圆整）收取违约金（违约金金额与合同正文相关条款冲突的，以两者中金额较大的数值为准），如果累计递延时间超过90天，甲方有权终止合同。</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5.2</w:t>
      </w:r>
      <w:r>
        <w:rPr>
          <w:rFonts w:hint="eastAsia" w:ascii="仿宋_GB2312" w:hAnsi="宋体" w:eastAsia="仿宋_GB2312"/>
          <w:bCs/>
          <w:color w:val="000000"/>
          <w:sz w:val="24"/>
          <w:u w:val="single"/>
        </w:rPr>
        <w:t xml:space="preserve">系统处理服务违约金条款</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在试运行期间，双方实施系统处理服务水平考核，但仅仅作为优化工作流程和改良系统性能的依据，甲方不依据本附件进行罚责。但自甲方验收之日起，甲方将按照本附件约定的条款进行考核。</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具体条件和标准：</w:t>
      </w:r>
      <w:r>
        <w:rPr>
          <w:rFonts w:hint="eastAsia" w:ascii="仿宋_GB2312" w:hAnsi="宋体" w:eastAsia="仿宋_GB2312"/>
          <w:color w:val="000000"/>
          <w:sz w:val="24"/>
        </w:rPr>
        <w:t xml:space="preserve">（见下表）</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p>
    <w:tbl>
      <w:tblPr>
        <w:tblStyle w:val="701"/>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94"/>
        <w:gridCol w:w="6"/>
        <w:gridCol w:w="5880"/>
      </w:tblGrid>
      <w:tr>
        <w:trPr>
          <w:cantSplit/>
        </w:trPr>
        <w:tc>
          <w:tcPr>
            <w:shd w:val="clear" w:color="auto" w:fill="e6e6e6"/>
            <w:tcBorders/>
            <w:tcW w:w="2394"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违约指标项</w:t>
            </w:r>
            <w:r>
              <w:rPr>
                <w:rFonts w:ascii="仿宋_GB2312" w:hAnsi="宋体" w:eastAsia="仿宋_GB2312"/>
                <w:color w:val="000000"/>
                <w:sz w:val="24"/>
              </w:rPr>
            </w:r>
          </w:p>
        </w:tc>
        <w:tc>
          <w:tcPr>
            <w:gridSpan w:val="2"/>
            <w:shd w:val="clear" w:color="auto" w:fill="e6e6e6"/>
            <w:tcBorders/>
            <w:tcW w:w="5886"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联机系统的可用率</w:t>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第一次，违约金基数*2％（下同）；连续第二次，5％，连续第三次，10％，连续第四个次月，20％且甲方有权按照主合同进行终止合同处理，而乙方需承担甲方因这系统关闭带来之损失。</w:t>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联机用户响应时间</w:t>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第一次，0.5％；连续第二次，1％，连续第三次，2％，连续第四次，10％，且按照主合同进行终止合同处理，而乙方需承担甲方因这系统关闭带来之损失。</w:t>
            </w:r>
            <w:r>
              <w:rPr>
                <w:rFonts w:ascii="仿宋_GB2312" w:hAnsi="宋体" w:eastAsia="仿宋_GB2312"/>
                <w:color w:val="000000"/>
                <w:sz w:val="24"/>
              </w:rPr>
            </w:r>
          </w:p>
        </w:tc>
      </w:tr>
    </w:tbl>
    <w:p>
      <w:pPr>
        <w:pStyle w:val="707"/>
        <w:keepNext w:val="false"/>
        <w:keepLines w:val="false"/>
        <w:pageBreakBefore w:val="false"/>
        <w:pBdr/>
        <w:bidi w:val="false"/>
        <w:spacing w:after="0" w:line="360" w:lineRule="auto"/>
        <w:ind w:left="0"/>
        <w:rPr>
          <w:rFonts w:ascii="仿宋_GB2312" w:hAnsi="宋体" w:eastAsia="仿宋_GB2312"/>
          <w:bCs/>
          <w:color w:val="000000"/>
          <w:szCs w:val="24"/>
        </w:rPr>
      </w:pPr>
      <w:r>
        <w:rPr>
          <w:rFonts w:hint="eastAsia" w:ascii="仿宋_GB2312" w:hAnsi="宋体" w:eastAsia="仿宋_GB2312"/>
          <w:bCs/>
          <w:color w:val="000000"/>
          <w:szCs w:val="24"/>
        </w:rPr>
        <w:t xml:space="preserve">说明： </w:t>
      </w:r>
      <w:r>
        <w:rPr>
          <w:rFonts w:ascii="仿宋_GB2312" w:hAnsi="宋体" w:eastAsia="仿宋_GB2312"/>
          <w:bCs/>
          <w:color w:val="000000"/>
          <w:szCs w:val="24"/>
        </w:rPr>
      </w:r>
    </w:p>
    <w:p>
      <w:pPr>
        <w:pStyle w:val="707"/>
        <w:keepNext w:val="false"/>
        <w:keepLines w:val="false"/>
        <w:pageBreakBefore w:val="false"/>
        <w:numPr>
          <w:ilvl w:val="0"/>
          <w:numId w:val="11"/>
        </w:numPr>
        <w:pBdr/>
        <w:tabs>
          <w:tab w:val="left" w:leader="none" w:pos="360"/>
          <w:tab w:val="clear" w:leader="none" w:pos="1560"/>
        </w:tabs>
        <w:bidi w:val="false"/>
        <w:spacing w:after="0" w:line="360" w:lineRule="auto"/>
        <w:ind w:hanging="360" w:left="360"/>
        <w:rPr>
          <w:rFonts w:ascii="仿宋_GB2312" w:hAnsi="宋体" w:eastAsia="仿宋_GB2312"/>
          <w:color w:val="000000"/>
          <w:sz w:val="24"/>
        </w:rPr>
      </w:pPr>
      <w:r>
        <w:rPr>
          <w:rFonts w:hint="eastAsia" w:ascii="仿宋_GB2312" w:hAnsi="宋体" w:eastAsia="仿宋_GB2312"/>
          <w:bCs/>
          <w:color w:val="000000"/>
          <w:szCs w:val="24"/>
        </w:rPr>
        <w:t xml:space="preserve">“连续发生”是指合同期内或当次考察期内连续重复发生，如第一月、第二月连续发生。或第一天、第二天连续发生。</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5.3</w:t>
      </w:r>
      <w:r>
        <w:rPr>
          <w:rFonts w:hint="eastAsia" w:ascii="仿宋_GB2312" w:hAnsi="宋体" w:eastAsia="仿宋_GB2312"/>
          <w:bCs/>
          <w:color w:val="000000"/>
          <w:sz w:val="24"/>
          <w:u w:val="single"/>
        </w:rPr>
        <w:t xml:space="preserve">问题管理延时违约金条款</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乙方将每月向甲方汇报问题管理服务标准履行情况，甲方根据自身考核情况对报告进行修订，并将修订结果连同扣缴违约金和扣缴的原则一同发给乙方。</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甲乙双方一致同意，自系统上线之日起，甲乙双方按照本附件约定进行考核，自甲方正式验收之日起，甲乙双方将按照本附件约定的条款进行考核和罚责。</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罚金基数确定：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具体违约金条件</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甲方向乙方书面提交的问题，得到及时处理的比率未达到双方约定的指标。</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p>
    <w:tbl>
      <w:tblPr>
        <w:tblStyle w:val="701"/>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00"/>
        <w:gridCol w:w="6480"/>
      </w:tblGrid>
      <w:tr>
        <w:trPr>
          <w:cantSplit/>
        </w:trPr>
        <w:tc>
          <w:tcPr>
            <w:tcBorders>
              <w:right w:val="none" w:color="000000" w:sz="4" w:space="0"/>
            </w:tcBorders>
            <w:tcW w:w="180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一级问题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第一次，1％，第二次，2％，第三次，4％，第四次，50％，一月内发生五次以上甲方有权按照主合同第十条进行终止合同处理，而乙方需承担甲方因问题未能及时解决带来之损失。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第一次，1％，第二次，2％，第三次，4％，第四次，30％ 一月内发生五次以上甲方有权按照主合同第十条进行终止合同处理，而乙方需承担甲方因问题未能及时解决带来之损失。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三级问题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四级问题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p>
        </w:tc>
      </w:tr>
    </w:tbl>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5.4</w:t>
      </w:r>
      <w:r>
        <w:rPr>
          <w:rFonts w:hint="eastAsia" w:ascii="仿宋_GB2312" w:hAnsi="宋体" w:eastAsia="仿宋_GB2312"/>
          <w:bCs/>
          <w:color w:val="000000"/>
          <w:sz w:val="24"/>
          <w:u w:val="single"/>
        </w:rPr>
        <w:t xml:space="preserve">需求管理罚则</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乙方将每半年向甲方汇报需求管理服务标准履行情况，甲方根据自身考核情况对报告进行修订，并将修订结果连同扣缴违约金和扣缴的原则一同发给乙方。</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甲乙双方一致同意，自甲方正式验收之日起，甲方将按照本附件约定的条款进行考核和罚责。</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每月考核一次，当月处罚次月结算，过期不与追究。</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计算罚金的基数按照甲方应付乙方总的费用进行计算。本项指标半年考核计算，并在费用尾款中扣除。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违约金条件</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甲方通过书面向乙方提交的需求，通过双方协商确定实施方案和计划。自乙方书面答复起计算，上线达成率低于双方约定的标准承担违约金。</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p>
    <w:tbl>
      <w:tblPr>
        <w:tblStyle w:val="701"/>
        <w:tblInd w:w="108" w:type="dxa"/>
        <w:tblW w:w="864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60"/>
        <w:gridCol w:w="6480"/>
      </w:tblGrid>
      <w:tr>
        <w:trPr>
          <w:cantSplit/>
          <w:trHeight w:val="816"/>
        </w:trPr>
        <w:tc>
          <w:tcPr>
            <w:shd w:val="clear" w:color="auto" w:fill="e0e0e0"/>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p>
        </w:tc>
        <w:tc>
          <w:tcPr>
            <w:shd w:val="clear" w:color="auto" w:fill="e0e0e0"/>
            <w:tcBorders/>
            <w:tcW w:w="648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需求响应</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第一次，1％，第二次，2％，第三次，4％，第四次，10％</w:t>
            </w:r>
            <w:r>
              <w:rPr>
                <w:rFonts w:hint="eastAsia" w:ascii="仿宋_GB2312" w:hAnsi="宋体" w:eastAsia="仿宋_GB2312"/>
                <w:color w:val="000000"/>
                <w:sz w:val="24"/>
                <w:lang w:eastAsia="zh-CN"/>
              </w:rPr>
              <w:t xml:space="preserve">。</w:t>
            </w:r>
            <w:r>
              <w:rPr>
                <w:rFonts w:hint="eastAsia" w:ascii="仿宋_GB2312" w:hAnsi="宋体" w:eastAsia="仿宋_GB2312"/>
                <w:color w:val="000000"/>
                <w:sz w:val="24"/>
              </w:rPr>
              <w:t xml:space="preserve">一月内发生五次以上甲方有权按照主合同第十条进行终止合同处理，而乙方需承担甲方因需求未能及时上线带来之损失。全年总额不超过当年甲方支付乙方的需求变更开发费。</w:t>
            </w:r>
            <w:r>
              <w:rPr>
                <w:rFonts w:ascii="仿宋_GB2312" w:hAnsi="宋体" w:eastAsia="仿宋_GB2312"/>
                <w:color w:val="000000"/>
                <w:sz w:val="24"/>
              </w:rPr>
            </w:r>
          </w:p>
        </w:tc>
      </w:tr>
    </w:tbl>
    <w:p>
      <w:pPr>
        <w:keepNext w:val="false"/>
        <w:keepLines w:val="false"/>
        <w:pageBreakBefore w:val="false"/>
        <w:pBdr/>
        <w:bidi w:val="false"/>
        <w:spacing w:line="360" w:lineRule="auto"/>
        <w:ind/>
        <w:rPr>
          <w:rFonts w:ascii="仿宋_GB2312" w:hAnsi="宋体" w:eastAsia="仿宋_GB2312"/>
          <w:bCs/>
          <w:color w:val="000000"/>
          <w:sz w:val="24"/>
        </w:rPr>
      </w:pP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rPr>
          <w:rFonts w:hint="eastAsia" w:ascii="仿宋_GB2312" w:hAnsi="宋体" w:eastAsia="仿宋_GB2312"/>
          <w:b/>
          <w:bCs w:val="0"/>
          <w:color w:val="000000"/>
          <w:sz w:val="24"/>
          <w:lang w:val="en-US" w:eastAsia="zh-CN"/>
        </w:rPr>
      </w:pPr>
      <w:r>
        <w:rPr>
          <w:rFonts w:hint="eastAsia" w:ascii="仿宋_GB2312" w:hAnsi="宋体" w:eastAsia="仿宋_GB2312"/>
          <w:b/>
          <w:bCs w:val="0"/>
          <w:color w:val="000000"/>
          <w:sz w:val="24"/>
          <w:lang w:val="en-US" w:eastAsia="zh-CN"/>
        </w:rPr>
      </w:r>
      <w:r>
        <w:rPr>
          <w:rFonts w:hint="eastAsia" w:ascii="仿宋_GB2312" w:hAnsi="宋体" w:eastAsia="仿宋_GB2312"/>
          <w:b/>
          <w:bCs w:val="0"/>
          <w:color w:val="000000"/>
          <w:sz w:val="24"/>
          <w:lang w:val="en-US" w:eastAsia="zh-CN"/>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6.</w:t>
      </w:r>
      <w:r>
        <w:rPr>
          <w:rFonts w:hint="eastAsia" w:ascii="仿宋_GB2312" w:hAnsi="宋体" w:eastAsia="仿宋_GB2312"/>
          <w:b/>
          <w:bCs w:val="0"/>
          <w:color w:val="000000"/>
          <w:sz w:val="24"/>
        </w:rPr>
        <w:t xml:space="preserve">服务标准调整</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甲乙双方约定，外包服务期限截止前，双方管理层进行座谈（或电话沟通）。双方就各项服务标准的考核情况进行通报和分析，并及时增减或调整各项指标的标准，保证各项指标的科学性、合理性。</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keepNext w:val="false"/>
        <w:keepLines w:val="false"/>
        <w:pageBreakBefore w:val="false"/>
        <w:pBdr/>
        <w:bidi w:val="false"/>
        <w:spacing w:line="360" w:lineRule="auto"/>
        <w:ind/>
        <w:outlineLvl w:val="0"/>
        <w:rPr>
          <w:rFonts w:ascii="仿宋_GB2312" w:hAnsi="宋体" w:eastAsia="仿宋_GB2312"/>
          <w:b/>
          <w:color w:val="000000"/>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附件三              信息科技外包安全保密协议</w:t>
      </w:r>
      <w:r>
        <w:rPr>
          <w:rFonts w:ascii="仿宋_GB2312" w:hAnsi="宋体" w:eastAsia="仿宋_GB2312"/>
          <w:b/>
          <w:color w:val="000000"/>
          <w:sz w:val="24"/>
          <w:szCs w:val="24"/>
        </w:rPr>
      </w:r>
    </w:p>
    <w:p>
      <w:pPr>
        <w:pBdr/>
        <w:spacing w:line="360" w:lineRule="auto"/>
        <w:ind w:right="-624" w:firstLine="480"/>
        <w:rPr>
          <w:rFonts w:hint="eastAsia" w:ascii="仿宋_GB2312" w:hAnsi="宋体" w:eastAsia="仿宋_GB2312"/>
          <w:bCs/>
          <w:color w:val="000000"/>
          <w:sz w:val="24"/>
          <w:szCs w:val="24"/>
        </w:rPr>
      </w:pPr>
      <w:r>
        <w:rPr>
          <w:rFonts w:hint="eastAsia" w:ascii="仿宋_GB2312" w:hAnsi="宋体" w:eastAsia="仿宋_GB2312"/>
          <w:bCs/>
          <w:color w:val="000000"/>
          <w:sz w:val="24"/>
          <w:szCs w:val="24"/>
        </w:rPr>
      </w:r>
      <w:r>
        <w:rPr>
          <w:rFonts w:hint="eastAsia"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为规范和约束信息科技外包服务提供商和信息科技外包人员的安全保密意识，最大限度的保护泰安银行和服务提供商的共同利益，根据《中华人民共和国国家安全法》、《中华人民共和国网络安全法》和《中华人民共和国个人信息保护法》等法律法规规定。在项目合作过程中，甲方已经或将要向乙方提供或披露（或乙方可能获悉）甲方的某些秘密性、专有性或保密性信息（“保密信息”），且该保密信息属甲方合法所有或掌握。</w:t>
      </w:r>
      <w:r>
        <w:rPr>
          <w:rFonts w:ascii="仿宋_GB2312" w:hAnsi="宋体" w:eastAsia="仿宋_GB2312"/>
          <w:bCs/>
          <w:color w:val="000000"/>
          <w:sz w:val="24"/>
          <w:szCs w:val="24"/>
        </w:rPr>
      </w:r>
    </w:p>
    <w:p>
      <w:pPr>
        <w:pBdr/>
        <w:spacing w:line="360" w:lineRule="auto"/>
        <w:ind w:right="-624" w:firstLine="42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经双方协商，达成本协议。</w:t>
      </w:r>
      <w:r>
        <w:rPr>
          <w:rFonts w:ascii="仿宋_GB2312" w:hAnsi="宋体" w:eastAsia="仿宋_GB2312"/>
          <w:bCs/>
          <w:color w:val="000000"/>
          <w:sz w:val="24"/>
          <w:szCs w:val="24"/>
        </w:rPr>
      </w:r>
    </w:p>
    <w:p>
      <w:pPr>
        <w:pBdr/>
        <w:spacing w:line="360" w:lineRule="auto"/>
        <w:ind w:right="-624" w:firstLine="482"/>
        <w:outlineLvl w:val="1"/>
        <w:rPr>
          <w:rFonts w:ascii="仿宋_GB2312" w:hAnsi="宋体" w:eastAsia="仿宋_GB2312"/>
          <w:color w:val="000000"/>
          <w:sz w:val="24"/>
          <w:szCs w:val="24"/>
        </w:rPr>
      </w:pPr>
      <w:r>
        <w:rPr>
          <w:rFonts w:hint="eastAsia" w:ascii="仿宋_GB2312" w:hAnsi="宋体" w:eastAsia="仿宋_GB2312"/>
          <w:b/>
          <w:bCs/>
          <w:color w:val="000000"/>
          <w:sz w:val="24"/>
          <w:szCs w:val="24"/>
        </w:rPr>
        <w:t xml:space="preserve">一、保密范围及内容</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1、信息科技服务过程中形成的所有技术信息，包括各种交付件在内的技术文档和系统源程序。</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2、信息科技服务过程中形成的各种管理制度、工作流程、工具说明等资料信息。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3、信息科技服务过程中形成的所有会议决议、往来信函、对外联系书等项目信息。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4、信息科技服务过程中涉及的所有重要数据和客户个人信息。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5、属于泰安银行所有，向信息科技外包人员提供的所有相关技术资料和数据。</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6、信息科技服务过程中所涉及的与技术相关的图片、音像等资料信息。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7、信息科技外包人员利用泰安银行提供的开发、测试和办公等环境所形成的跟信息服务有关的各种资料和数据。</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8、信息科技服务中的各种属性信息，如环境规划、组织架构、成员通讯、人力资源等信息。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9、信息科技服务过程中获取的所有业务信息、市场信息和财务信息等。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10、所有纳入信息科技服务配置管理范围的资料信息。</w:t>
      </w:r>
      <w:r>
        <w:rPr>
          <w:rFonts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rPr>
      </w:pPr>
      <w:r>
        <w:rPr>
          <w:rFonts w:hint="eastAsia" w:ascii="仿宋_GB2312" w:hAnsi="宋体" w:eastAsia="仿宋_GB2312"/>
          <w:color w:val="000000"/>
          <w:sz w:val="24"/>
          <w:szCs w:val="24"/>
        </w:rPr>
        <w:t xml:space="preserve">11、保密信息可以以数据、文字及记载上述内容的文档、光盘、软件、图书等有形介质体现，也可通过口头等视听方式传递。</w:t>
      </w:r>
      <w:r>
        <w:rPr>
          <w:rFonts w:hint="eastAsia"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lang w:val="en-US" w:eastAsia="zh-CN"/>
        </w:rPr>
      </w:pPr>
      <w:r>
        <w:rPr>
          <w:rFonts w:hint="eastAsia" w:ascii="仿宋_GB2312" w:hAnsi="宋体" w:eastAsia="仿宋_GB2312"/>
          <w:color w:val="000000"/>
          <w:sz w:val="24"/>
          <w:szCs w:val="24"/>
          <w:lang w:val="en-US" w:eastAsia="zh-CN"/>
        </w:rPr>
        <w:t xml:space="preserve">12、其他可能涉及国家秘密、泰安银行及合作单位商业机密、用户个人隐私等信息。</w:t>
      </w:r>
      <w:r>
        <w:rPr>
          <w:rFonts w:hint="eastAsia" w:ascii="仿宋_GB2312" w:hAnsi="宋体" w:eastAsia="仿宋_GB2312"/>
          <w:color w:val="000000"/>
          <w:sz w:val="24"/>
          <w:szCs w:val="24"/>
          <w:lang w:val="en-US" w:eastAsia="zh-CN"/>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二、保密条款</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1、信息科技服务人员应对项目开发过程中形成的项目专有开发技术、文件资料、程序源码等信息及交付物严格保密，不得擅自以任何形式通过任何渠道对外泄露、提供或传播。</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2、信息科技服务人员对于通过秘密渠道获取的任何信息，均应严格保密，不得外泄。对于临时提供的信息资料，要有利用记录和期限，一旦使用完毕，必须立即归还并通知相关方知悉。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3、在信息科技服务过程中，对于阶段性的开发成果和提交物，信息服务人员负有保密义务，不得擅自对外发布或提供利用。</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4、信息科技服务人员不得擅自对外泄露服务的相关属性信息，如项目开发的组织架构、成员通讯、人力资源等；对信息服务过程中各种会议议题及形成的会议决议和重大决定均不得擅自外泄。</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5、信息科技服务人员在泰安银行提供的开发、测试和办公等环境下形成的各种技术成果，原则上其知识产权归泰安银行所有，在未经泰安银行同意之前，信息服务人员不得擅自对外提供或用于其他技术活动。</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6、信息科技服务人员在未经泰安银行同意的情况下，不得擅自将信息服务过程中的相关图片、声像、文字等资料用以任何形式、任何渠道的对外宣传或报道。</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服务人员在对外技术交流、私人交往和消息通信中，不得涉及本协议保密范围内的相关信息。在未经泰安银行书面许可的情况下，对于随意对外散布信息服务的相关信息的各种行为，泰安银行将保留追究法律责任的权利。</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8、服务提供商不得将泰安银行数据以任何形式转移、挪用或谋取双方合作合同约定以外的利益。</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9、在信息科技服务过程中，信息科技服务人员必须严格遵守相关合同约定，并与泰安银行签订个人安全保密承诺书；若中途出现人员变更等情况，应立即通知泰安银行备案，并重新签订个人安全保密承诺书。</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10、在信息科技服务过程结束后，信息科技服务人员必须在泰安银行的监督下，对取得的本协议“第一条 保密范围及内容”涉及到的所有资料信息和数据进行销毁。</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三、知识产权声明</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在信息科技服务过程中由信息科技服务人员在泰安银行提供的开发、测试和办公等环境下形成的各种技术成果，其知识产权归泰安银行所有；对于信息科技服务人员无偿提供给泰安银行使用的所有信息资料，泰安银行享有独家使用的专有权。</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四、保密期限</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保密期限自本协议生效时起至保密内容完全公开时止，保密义务不因信息科技服务的终止而终止；双方的保密义务不因双方合作合同和本协议的解除、终止、撤销及无效而免除。</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五、违约责任</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所有信息科技服务人员,如有任何违反本协议的,泰安银行按照相关合同规定和本协议规定追究其法律责任且有权随时终止合同。服务提供商不得将泰安银行的源代码等保密信息上传至互联网等公共平台，否则视为侵权，泰安银行有权追究服务提供商的相关责任；若服务提供商违反本条约定的保密义务，则服务提供商须按照双方合作合同金额的30%支付违约金，并赔偿泰安银行因此所受到的全部损失。</w:t>
      </w:r>
      <w:r>
        <w:rPr>
          <w:rFonts w:hint="eastAsia" w:ascii="仿宋_GB2312" w:hAnsi="宋体" w:eastAsia="仿宋_GB2312"/>
          <w:color w:val="000000"/>
          <w:sz w:val="24"/>
          <w:szCs w:val="24"/>
          <w:lang w:val="en-US" w:eastAsia="zh-CN"/>
        </w:rPr>
        <w:t xml:space="preserve">包括但不限于：直接损失、可得利益损失、支付给第三方的赔偿费用/违约金/罚款、调查取证费用/公证费/鉴定费用、诉讼仲裁费用、保全费用、律师费用、维权费用以及其他合理费用。</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六、法律适用和争议解决</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双方因履行本协议而发生的争议，应协商、调解解决。协商、调解不成的，确定按以下方式处理：</w:t>
      </w:r>
      <w:r>
        <w:rPr>
          <w:rFonts w:ascii="仿宋_GB2312" w:hAnsi="宋体" w:eastAsia="仿宋_GB2312"/>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1、依法向泰安银行所在地人民法院起诉；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2、信息科技服务形式选择跨境方式的，服务提供商承诺依法向泰安银行所在地人民法院起诉并按照中国法律解决纠纷。</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七、协议生效及其他</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1、双方必须同时遵守本协议内容和外包服务合同中的保密条款内容，最终解释权归泰安银行所有。</w:t>
      </w:r>
      <w:r>
        <w:rPr>
          <w:rFonts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2、本协议自</w:t>
      </w:r>
      <w:r>
        <w:rPr>
          <w:rFonts w:hint="eastAsia" w:ascii="仿宋_GB2312" w:hAnsi="宋体" w:eastAsia="仿宋_GB2312"/>
          <w:bCs/>
          <w:color w:val="000000"/>
          <w:sz w:val="24"/>
          <w:szCs w:val="24"/>
          <w:lang w:eastAsia="zh-CN"/>
        </w:rPr>
        <w:t xml:space="preserve">双方</w:t>
      </w:r>
      <w:r>
        <w:rPr>
          <w:rFonts w:hint="eastAsia" w:ascii="仿宋_GB2312" w:hAnsi="宋体" w:eastAsia="仿宋_GB2312"/>
          <w:bCs/>
          <w:color w:val="000000"/>
          <w:sz w:val="24"/>
          <w:szCs w:val="24"/>
        </w:rPr>
        <w:t xml:space="preserve">法定代表人签字或盖章并加盖单位公章（或合同专用章）之日起生效。本协议签署前，泰安银行已经向服务提供商提供或披露的本协议范围内的保密信息也受本协议约束，此时本协议于该保密信息等提供或披露时发生效力。</w:t>
      </w:r>
      <w:r>
        <w:rPr>
          <w:rFonts w:ascii="仿宋_GB2312" w:hAnsi="宋体" w:eastAsia="仿宋_GB2312"/>
          <w:bCs/>
          <w:color w:val="000000"/>
          <w:sz w:val="24"/>
          <w:szCs w:val="24"/>
        </w:rPr>
      </w:r>
    </w:p>
    <w:p>
      <w:pPr>
        <w:pBdr/>
        <w:spacing w:line="360" w:lineRule="auto"/>
        <w:ind w:right="-624" w:firstLine="480"/>
        <w:rPr>
          <w:rFonts w:hint="eastAsia"/>
          <w:sz w:val="24"/>
          <w:szCs w:val="24"/>
          <w:lang w:eastAsia="zh-CN"/>
        </w:rPr>
      </w:pPr>
      <w:r>
        <w:rPr>
          <w:rFonts w:hint="eastAsia" w:ascii="仿宋_GB2312" w:hAnsi="宋体" w:eastAsia="仿宋_GB2312"/>
          <w:bCs/>
          <w:color w:val="000000"/>
          <w:sz w:val="24"/>
          <w:szCs w:val="24"/>
        </w:rPr>
        <w:t xml:space="preserve">3、本协议一式</w:t>
      </w:r>
      <w:r>
        <w:rPr>
          <w:rFonts w:hint="eastAsia" w:ascii="仿宋_GB2312" w:hAnsi="宋体" w:eastAsia="仿宋_GB2312"/>
          <w:bCs/>
          <w:color w:val="000000"/>
          <w:sz w:val="24"/>
          <w:szCs w:val="24"/>
          <w:lang w:val="en-US" w:eastAsia="zh-CN"/>
        </w:rPr>
        <w:t xml:space="preserve">陆</w:t>
      </w:r>
      <w:r>
        <w:rPr>
          <w:rFonts w:hint="eastAsia" w:ascii="仿宋_GB2312" w:hAnsi="宋体" w:eastAsia="仿宋_GB2312"/>
          <w:bCs/>
          <w:color w:val="000000"/>
          <w:sz w:val="24"/>
          <w:szCs w:val="24"/>
        </w:rPr>
        <w:t xml:space="preserve">份，甲乙双方各执贰份，</w:t>
      </w:r>
      <w:r>
        <w:rPr>
          <w:rFonts w:hint="eastAsia" w:ascii="仿宋_GB2312" w:hAnsi="宋体" w:eastAsia="仿宋_GB2312"/>
          <w:bCs/>
          <w:color w:val="000000"/>
          <w:sz w:val="24"/>
          <w:szCs w:val="24"/>
          <w:lang w:val="en-US" w:eastAsia="zh-CN"/>
        </w:rPr>
        <w:t xml:space="preserve">代理贰份，</w:t>
      </w:r>
      <w:r>
        <w:rPr>
          <w:rFonts w:hint="eastAsia" w:ascii="仿宋_GB2312" w:hAnsi="宋体" w:eastAsia="仿宋_GB2312"/>
          <w:bCs/>
          <w:color w:val="000000"/>
          <w:sz w:val="24"/>
          <w:szCs w:val="24"/>
        </w:rPr>
        <w:t xml:space="preserve">具有同等法律效力。</w:t>
      </w:r>
      <w:r>
        <w:rPr>
          <w:rFonts w:hint="eastAsia"/>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甲方（盖章）：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乙方（盖章）： </w:t>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法定代表人：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法定代表人：</w:t>
      </w:r>
      <w:r>
        <w:rPr>
          <w:rFonts w:hint="eastAsia" w:ascii="仿宋_GB2312" w:hAnsi="宋体" w:eastAsia="仿宋_GB2312" w:cs="Times New Roman"/>
          <w:bCs/>
          <w:color w:val="000000"/>
          <w:sz w:val="24"/>
          <w:szCs w:val="24"/>
          <w:lang w:eastAsia="zh-CN"/>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cs="Times New Roman"/>
          <w:bCs/>
          <w:color w:val="000000"/>
          <w:sz w:val="24"/>
          <w:szCs w:val="24"/>
          <w:lang w:eastAsia="zh-CN"/>
        </w:rPr>
        <w:t xml:space="preserve">签字日期：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签字日期：</w:t>
      </w:r>
      <w:r>
        <w:rPr>
          <w:rFonts w:ascii="仿宋_GB2312" w:hAnsi="宋体" w:eastAsia="仿宋_GB2312"/>
          <w:bCs/>
          <w:color w:val="000000"/>
          <w:sz w:val="24"/>
          <w:szCs w:val="24"/>
        </w:rPr>
      </w:r>
    </w:p>
    <w:p>
      <w:pPr>
        <w:keepNext w:val="false"/>
        <w:keepLines w:val="false"/>
        <w:pageBreakBefore w:val="false"/>
        <w:pBdr/>
        <w:bidi w:val="false"/>
        <w:spacing w:line="360" w:lineRule="auto"/>
        <w:ind/>
        <w:outlineLvl w:val="0"/>
        <w:rPr>
          <w:rFonts w:hint="eastAsia"/>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附件四           </w:t>
      </w:r>
      <w:r>
        <w:rPr>
          <w:rFonts w:hint="eastAsia" w:ascii="仿宋_GB2312" w:hAnsi="宋体" w:eastAsia="仿宋_GB2312"/>
          <w:b/>
          <w:color w:val="000000"/>
          <w:sz w:val="30"/>
          <w:szCs w:val="30"/>
          <w:lang w:val="en-US" w:eastAsia="zh-CN"/>
        </w:rPr>
        <w:t xml:space="preserve">      </w:t>
      </w:r>
      <w:r>
        <w:rPr>
          <w:rFonts w:hint="eastAsia" w:ascii="仿宋_GB2312" w:hAnsi="宋体" w:eastAsia="仿宋_GB2312"/>
          <w:b/>
          <w:color w:val="000000"/>
          <w:sz w:val="30"/>
          <w:szCs w:val="30"/>
        </w:rPr>
        <w:t xml:space="preserve">网络</w:t>
      </w:r>
      <w:r>
        <w:rPr>
          <w:rFonts w:hint="eastAsia" w:ascii="仿宋_GB2312" w:hAnsi="宋体" w:eastAsia="仿宋_GB2312"/>
          <w:b/>
          <w:color w:val="000000"/>
          <w:sz w:val="30"/>
          <w:szCs w:val="30"/>
          <w:lang w:eastAsia="zh-CN"/>
        </w:rPr>
        <w:t xml:space="preserve">和数据</w:t>
      </w:r>
      <w:r>
        <w:rPr>
          <w:rFonts w:hint="eastAsia" w:ascii="仿宋_GB2312" w:hAnsi="宋体" w:eastAsia="仿宋_GB2312"/>
          <w:b/>
          <w:color w:val="000000"/>
          <w:sz w:val="30"/>
          <w:szCs w:val="30"/>
        </w:rPr>
        <w:t xml:space="preserve">安全管理承诺书</w:t>
      </w:r>
      <w:r>
        <w:rPr>
          <w:rFonts w:hint="eastAsia"/>
          <w:sz w:val="24"/>
          <w:szCs w:val="24"/>
        </w:rPr>
      </w:r>
    </w:p>
    <w:p>
      <w:pPr>
        <w:pBdr/>
        <w:spacing w:line="360" w:lineRule="auto"/>
        <w:ind w:firstLine="480"/>
        <w:rPr>
          <w:rFonts w:hint="eastAsia" w:ascii="仿宋_GB2312" w:hAnsi="宋体" w:eastAsia="仿宋_GB2312"/>
          <w:color w:val="000000"/>
          <w:sz w:val="24"/>
        </w:rPr>
      </w:pPr>
      <w:r>
        <w:rPr>
          <w:rFonts w:hint="eastAsia" w:ascii="仿宋_GB2312" w:hAnsi="宋体" w:eastAsia="仿宋_GB2312"/>
          <w:color w:val="000000"/>
          <w:sz w:val="24"/>
        </w:rPr>
      </w:r>
      <w:r>
        <w:rPr>
          <w:rFonts w:hint="eastAsia"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本单位</w:t>
      </w:r>
      <w:r>
        <w:rPr>
          <w:rFonts w:hint="eastAsia" w:ascii="仿宋_GB2312" w:hAnsi="宋体" w:eastAsia="仿宋_GB2312"/>
          <w:color w:val="000000"/>
          <w:sz w:val="24"/>
          <w:lang w:eastAsia="zh-CN"/>
        </w:rPr>
        <w:t xml:space="preserve">作为乙方单位，为泰安银行提供技术服务并</w:t>
      </w:r>
      <w:r>
        <w:rPr>
          <w:rFonts w:hint="eastAsia" w:ascii="仿宋_GB2312" w:hAnsi="宋体" w:eastAsia="仿宋_GB2312"/>
          <w:color w:val="000000"/>
          <w:sz w:val="24"/>
        </w:rPr>
        <w:t xml:space="preserve">郑重承诺遵守本承诺书的有关条款，如有违反有关条款的行为，本单位承担由此带来的一切民事、行政和刑事责任。</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一、本单位承诺遵守国家和贵单位有关信息安全、网络安全</w:t>
      </w:r>
      <w:r>
        <w:rPr>
          <w:rFonts w:hint="eastAsia" w:ascii="仿宋_GB2312" w:hAnsi="宋体" w:eastAsia="仿宋_GB2312"/>
          <w:color w:val="000000"/>
          <w:sz w:val="24"/>
          <w:lang w:eastAsia="zh-CN"/>
        </w:rPr>
        <w:t xml:space="preserve">、数据安全</w:t>
      </w:r>
      <w:r>
        <w:rPr>
          <w:rFonts w:hint="eastAsia" w:ascii="仿宋_GB2312" w:hAnsi="宋体" w:eastAsia="仿宋_GB2312"/>
          <w:color w:val="000000"/>
          <w:sz w:val="24"/>
        </w:rPr>
        <w:t xml:space="preserve">等有关法律、法规和行政规章制度、文件的规定。</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二、本单位保证不利用网络危害国家安全、泄露客户秘密，不侵犯国家和客户的合法权益，不从事违法犯罪活动。</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三、本单位承诺健全各项网络安全管理制度和项目质量安全管控制度，落实各项安全保护技术措施。</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四、本单位承诺网络安全管理措施完备，接受国家监管机构和贵单位的监督检查。</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五、本单位承诺在项目开发过程中不使用非授权或者贵单位非授权的第三方软件，如因侵权造成的损失由本单位承担。</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六、本单位承诺内部人员不将贵单位文档、数据、信息、程序（代码）、相关配置文件等上传至互联网，特别是网盘、文库、论坛、下载站等公共下载渠道。</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七、本单位承诺不留存任何涉及贵单位的项目资料、客户信息和敏感技术文件等涉密资料。如留存贵单位项目资料等涉密信息，本单位保证相关信息的安全，承诺不会发生信息泄密事件。</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八、本单位承诺对产品采取严格的安全检查、测试和评审措施，确保交付的产品不存在设计缺陷和程序漏洞。</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九、本单位承诺采取有效的网络区域隔离措施，对用于存放个人敏感数据的服务器建立完善的访问控制措施并进行严格的数据拷贝限制。</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十、如因本单位原因发生客户资料泄密事件，本单位承诺将承担全部责任并赔偿全部损失，同时承诺立即采取应急措施，保留有关原始记录，在24小时内向政府监管部门报告，</w:t>
      </w:r>
      <w:r>
        <w:rPr>
          <w:rFonts w:hint="eastAsia" w:ascii="仿宋_GB2312" w:hAnsi="宋体" w:eastAsia="仿宋_GB2312"/>
          <w:color w:val="000000"/>
          <w:sz w:val="24"/>
          <w:lang w:val="en-US" w:eastAsia="zh-CN"/>
        </w:rPr>
        <w:t xml:space="preserve">并保证于2小时内书面通知到贵单位</w:t>
      </w:r>
      <w:r>
        <w:rPr>
          <w:rFonts w:hint="eastAsia" w:ascii="仿宋_GB2312" w:hAnsi="宋体" w:eastAsia="仿宋_GB2312"/>
          <w:color w:val="000000"/>
          <w:sz w:val="24"/>
        </w:rPr>
        <w:t xml:space="preserve">。</w:t>
      </w:r>
      <w:r>
        <w:rPr>
          <w:rFonts w:ascii="仿宋_GB2312" w:hAnsi="宋体" w:eastAsia="仿宋_GB2312"/>
          <w:color w:val="000000"/>
          <w:sz w:val="24"/>
        </w:rPr>
      </w:r>
    </w:p>
    <w:p>
      <w:pPr>
        <w:pBdr/>
        <w:spacing w:line="360" w:lineRule="auto"/>
        <w:ind w:firstLine="480"/>
        <w:jc w:val="both"/>
        <w:rPr>
          <w:rFonts w:hint="eastAsia"/>
        </w:rPr>
      </w:pPr>
      <w:r>
        <w:rPr>
          <w:rFonts w:hint="eastAsia" w:ascii="仿宋_GB2312" w:hAnsi="宋体" w:eastAsia="仿宋_GB2312"/>
          <w:color w:val="000000"/>
          <w:sz w:val="24"/>
        </w:rPr>
        <w:t xml:space="preserve">十一、若违反本承诺书有关条款和相关法律法规的，本单位直接承担相应法律责任，造成财产损失的，由本单位直接赔偿；同时贵单位有权终止或解除服务协议。</w:t>
      </w:r>
      <w:r>
        <w:rPr>
          <w:rFonts w:hint="eastAsia"/>
        </w:rPr>
      </w:r>
    </w:p>
    <w:p>
      <w:pPr>
        <w:pBdr/>
        <w:spacing w:line="360" w:lineRule="auto"/>
        <w:ind w:firstLine="4080"/>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单位</w:t>
      </w:r>
      <w:r>
        <w:rPr>
          <w:rFonts w:hint="eastAsia" w:ascii="仿宋_GB2312" w:hAnsi="宋体" w:eastAsia="仿宋_GB2312" w:cs="Times New Roman"/>
          <w:color w:val="000000"/>
          <w:sz w:val="24"/>
          <w:lang w:eastAsia="zh-CN"/>
        </w:rPr>
        <w:t xml:space="preserve">名称（盖章）</w:t>
      </w: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lang w:val="en-US" w:eastAsia="zh-CN"/>
        </w:rPr>
        <w:t xml:space="preserve">                      </w:t>
      </w:r>
      <w:r>
        <w:rPr>
          <w:rFonts w:hint="eastAsia" w:ascii="仿宋_GB2312" w:hAnsi="宋体" w:eastAsia="仿宋_GB2312" w:cs="Times New Roman"/>
          <w:color w:val="000000"/>
          <w:sz w:val="24"/>
        </w:rPr>
        <w:t xml:space="preserve">日      期：</w:t>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br w:type="page" w:clear="all"/>
      </w:r>
      <w:r>
        <w:rPr>
          <w:rFonts w:hint="eastAsia" w:ascii="仿宋_GB2312" w:hAnsi="宋体" w:eastAsia="仿宋_GB2312" w:cs="Times New Roman"/>
          <w:color w:val="000000"/>
          <w:sz w:val="24"/>
        </w:rPr>
      </w:r>
    </w:p>
    <w:p>
      <w:pPr>
        <w:keepNext w:val="false"/>
        <w:keepLines w:val="false"/>
        <w:pageBreakBefore w:val="false"/>
        <w:pBdr/>
        <w:bidi w:val="false"/>
        <w:spacing w:line="360" w:lineRule="auto"/>
        <w:ind/>
        <w:outlineLvl w:val="0"/>
        <w:rPr>
          <w:rFonts w:hint="eastAsia" w:ascii="仿宋_GB2312" w:hAnsi="宋体" w:eastAsia="仿宋_GB2312"/>
          <w:b/>
          <w:color w:val="000000"/>
          <w:sz w:val="30"/>
          <w:szCs w:val="30"/>
          <w:lang w:val="en-US" w:eastAsia="zh-CN"/>
        </w:rPr>
      </w:pPr>
      <w:r>
        <w:rPr>
          <w:rFonts w:hint="eastAsia" w:ascii="仿宋_GB2312" w:hAnsi="宋体" w:eastAsia="仿宋_GB2312"/>
          <w:b/>
          <w:color w:val="000000"/>
          <w:sz w:val="30"/>
          <w:szCs w:val="30"/>
          <w:lang w:val="en-US" w:eastAsia="zh-CN"/>
        </w:rPr>
        <w:t xml:space="preserve">附件五                       技术内容</w:t>
      </w:r>
      <w:r>
        <w:rPr>
          <w:rFonts w:hint="eastAsia" w:ascii="仿宋_GB2312" w:hAnsi="宋体" w:eastAsia="仿宋_GB2312"/>
          <w:b/>
          <w:color w:val="000000"/>
          <w:sz w:val="30"/>
          <w:szCs w:val="30"/>
          <w:lang w:val="en-US" w:eastAsia="zh-CN"/>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 AI 算力服务内容：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作为 AI 中台的核心算力支撑，通过高性能硬件部署与规范管理，保障多模型并行运行、算力弹性扩展及业务连续性，为后续智能体应用提供稳定算力保障。具体要求如下：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 部署 GPU 服务器2台（</w:t>
      </w:r>
      <w:r>
        <w:rPr>
          <w:rFonts w:hint="eastAsia" w:ascii="仿宋_GB2312" w:hAnsi="宋体" w:eastAsia="仿宋_GB2312" w:cs="Times New Roman"/>
          <w:color w:val="000000"/>
          <w:sz w:val="24"/>
          <w:szCs w:val="20"/>
          <w:highlight w:val="yellow"/>
          <w:lang w:val="en-US" w:eastAsia="zh-CN" w:bidi="ar-SA"/>
        </w:rPr>
        <w:t xml:space="preserve">须按应标文件中获得授权的品牌提供，</w:t>
      </w:r>
      <w:r>
        <w:rPr>
          <w:rFonts w:hint="eastAsia" w:ascii="仿宋_GB2312" w:hAnsi="宋体" w:eastAsia="仿宋_GB2312" w:cs="Times New Roman"/>
          <w:color w:val="000000"/>
          <w:sz w:val="24"/>
          <w:szCs w:val="20"/>
          <w:lang w:val="en-US" w:eastAsia="zh-CN" w:bidi="ar-SA"/>
        </w:rPr>
        <w:t xml:space="preserve">以购买服务的模式，服务满3年设备所有权归甲方），单台含4张 NVIDIA L20 或同级别及以上显卡+192G 显存；单台支持最大 128个并发推理任务，满足至少 5 个智能体同时全行运行；支持算力弹性扩展，扩展周期≤7 个工作日；</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1.2服务器安装于总行指定机房，机房符合国家数据中心设计规范；接入内网并与核心系统、数据中台网段兼容；通过联盟 DMZ 区与外数平台交互，满足等保安全要求；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1.3兼容主流开源大模型，支持多类型大模型并行部署；提供可视化管理界面，支持模型全生命周期管理及资源占用监控，自动生成算力使用报表；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1.4单台服务器故障时，剩余服务器可承接大部分业务负载，故障恢复及时；定期备份模型配置、运行参数，防止数据丢失；</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1.5算力服务技术参数要求</w:t>
      </w:r>
      <w:r>
        <w:rPr>
          <w:rFonts w:hint="eastAsia" w:ascii="仿宋_GB2312" w:hAnsi="宋体" w:eastAsia="仿宋_GB2312" w:cs="Times New Roman"/>
          <w:color w:val="000000"/>
          <w:sz w:val="24"/>
          <w:szCs w:val="20"/>
          <w:lang w:val="en-US" w:eastAsia="zh-CN" w:bidi="ar-SA"/>
        </w:rPr>
      </w:r>
    </w:p>
    <w:tbl>
      <w:tblPr>
        <w:tblStyle w:val="706"/>
        <w:jc w:val="center"/>
        <w:tblInd w:w="0" w:type="dxa"/>
        <w:tblW w:w="9125"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8421"/>
      </w:tblGrid>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 w:name="_Toc490"/>
            <w:r>
              <w:rPr>
                <w:rFonts w:hint="eastAsia" w:ascii="仿宋_GB2312" w:hAnsi="宋体" w:eastAsia="仿宋_GB2312" w:cs="Times New Roman"/>
                <w:color w:val="000000"/>
                <w:sz w:val="24"/>
                <w:szCs w:val="20"/>
                <w:lang w:val="en-US" w:eastAsia="zh-CN" w:bidi="ar-SA"/>
              </w:rPr>
              <w:t xml:space="preserve">项目</w:t>
            </w:r>
            <w:bookmarkEnd w:id="5"/>
            <w:r/>
            <w:r>
              <w:rPr>
                <w:rFonts w:hint="eastAsia" w:ascii="仿宋_GB2312" w:hAnsi="宋体" w:eastAsia="仿宋_GB2312" w:cs="Times New Roman"/>
                <w:color w:val="000000"/>
                <w:sz w:val="24"/>
                <w:szCs w:val="20"/>
                <w:lang w:val="en-US" w:eastAsia="zh-CN" w:bidi="ar-SA"/>
              </w:rPr>
            </w:r>
          </w:p>
        </w:tc>
        <w:tc>
          <w:tcPr>
            <w:tcBorders/>
            <w:tcW w:w="842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 w:name="_Toc6364"/>
            <w:r>
              <w:rPr>
                <w:rFonts w:hint="eastAsia" w:ascii="仿宋_GB2312" w:hAnsi="宋体" w:eastAsia="仿宋_GB2312" w:cs="Times New Roman"/>
                <w:color w:val="000000"/>
                <w:sz w:val="24"/>
                <w:szCs w:val="20"/>
                <w:lang w:val="en-US" w:eastAsia="zh-CN" w:bidi="ar-SA"/>
              </w:rPr>
              <w:t xml:space="preserve">规格参数</w:t>
            </w:r>
            <w:bookmarkEnd w:id="6"/>
            <w:r/>
            <w:r>
              <w:rPr>
                <w:rFonts w:hint="eastAsia" w:ascii="仿宋_GB2312" w:hAnsi="宋体" w:eastAsia="仿宋_GB2312" w:cs="Times New Roman"/>
                <w:color w:val="000000"/>
                <w:sz w:val="24"/>
                <w:szCs w:val="20"/>
                <w:lang w:val="en-US" w:eastAsia="zh-CN" w:bidi="ar-SA"/>
              </w:rPr>
            </w:r>
          </w:p>
        </w:tc>
      </w:tr>
      <w:tr>
        <w:trPr>
          <w:jc w:val="center"/>
          <w:trHeight w:val="90"/>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7" w:name="_Toc14599"/>
            <w:r>
              <w:rPr>
                <w:rFonts w:hint="eastAsia" w:ascii="仿宋_GB2312" w:hAnsi="宋体" w:eastAsia="仿宋_GB2312" w:cs="Times New Roman"/>
                <w:color w:val="000000"/>
                <w:sz w:val="24"/>
                <w:szCs w:val="20"/>
                <w:lang w:val="en-US" w:eastAsia="zh-CN" w:bidi="ar-SA"/>
              </w:rPr>
              <w:t xml:space="preserve">兼</w:t>
            </w:r>
            <w:bookmarkEnd w:id="7"/>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8" w:name="_Toc4656"/>
            <w:r>
              <w:rPr>
                <w:rFonts w:hint="eastAsia" w:ascii="仿宋_GB2312" w:hAnsi="宋体" w:eastAsia="仿宋_GB2312" w:cs="Times New Roman"/>
                <w:color w:val="000000"/>
                <w:sz w:val="24"/>
                <w:szCs w:val="20"/>
                <w:lang w:val="en-US" w:eastAsia="zh-CN" w:bidi="ar-SA"/>
              </w:rPr>
              <w:t xml:space="preserve">容</w:t>
            </w:r>
            <w:bookmarkEnd w:id="8"/>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 w:name="_Toc24490"/>
            <w:r>
              <w:rPr>
                <w:rFonts w:hint="eastAsia" w:ascii="仿宋_GB2312" w:hAnsi="宋体" w:eastAsia="仿宋_GB2312" w:cs="Times New Roman"/>
                <w:color w:val="000000"/>
                <w:sz w:val="24"/>
                <w:szCs w:val="20"/>
                <w:lang w:val="en-US" w:eastAsia="zh-CN" w:bidi="ar-SA"/>
              </w:rPr>
              <w:t xml:space="preserve">性</w:t>
            </w:r>
            <w:bookmarkEnd w:id="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 w:name="_Toc6795"/>
            <w:r>
              <w:rPr>
                <w:rFonts w:hint="eastAsia" w:ascii="仿宋_GB2312" w:hAnsi="宋体" w:eastAsia="仿宋_GB2312" w:cs="Times New Roman"/>
                <w:color w:val="000000"/>
                <w:sz w:val="24"/>
                <w:szCs w:val="20"/>
                <w:lang w:val="en-US" w:eastAsia="zh-CN" w:bidi="ar-SA"/>
              </w:rPr>
              <w:t xml:space="preserve">要</w:t>
            </w:r>
            <w:bookmarkEnd w:id="1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1" w:name="_Toc13676"/>
            <w:r>
              <w:rPr>
                <w:rFonts w:hint="eastAsia" w:ascii="仿宋_GB2312" w:hAnsi="宋体" w:eastAsia="仿宋_GB2312" w:cs="Times New Roman"/>
                <w:color w:val="000000"/>
                <w:sz w:val="24"/>
                <w:szCs w:val="20"/>
                <w:lang w:val="en-US" w:eastAsia="zh-CN" w:bidi="ar-SA"/>
              </w:rPr>
              <w:t xml:space="preserve">求</w:t>
            </w:r>
            <w:bookmarkEnd w:id="11"/>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2" w:name="_Toc8683"/>
            <w:r>
              <w:rPr>
                <w:rFonts w:hint="eastAsia" w:ascii="仿宋_GB2312" w:hAnsi="宋体" w:eastAsia="仿宋_GB2312" w:cs="Times New Roman"/>
                <w:color w:val="000000"/>
                <w:sz w:val="24"/>
                <w:szCs w:val="20"/>
                <w:lang w:val="en-US" w:eastAsia="zh-CN" w:bidi="ar-SA"/>
              </w:rPr>
              <w:t xml:space="preserve">1.支持Nvdia H系列、A系列、V系列，T系列，P系列，L系列卡的算力切分池化，包括且不限于H800，H100，A800，A100，A40，V100，A30，T4，P4，L20等。</w:t>
            </w:r>
            <w:bookmarkEnd w:id="1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3" w:name="_Toc1525"/>
            <w:r>
              <w:rPr>
                <w:rFonts w:hint="eastAsia" w:ascii="仿宋_GB2312" w:hAnsi="宋体" w:eastAsia="仿宋_GB2312" w:cs="Times New Roman"/>
                <w:color w:val="000000"/>
                <w:sz w:val="24"/>
                <w:szCs w:val="20"/>
                <w:lang w:val="en-US" w:eastAsia="zh-CN" w:bidi="ar-SA"/>
              </w:rPr>
              <w:t xml:space="preserve">2.支持国产海光、华为昇腾、天数、摩尔线程、中科可控智能卡的算力切分池化。</w:t>
            </w:r>
            <w:bookmarkEnd w:id="1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4" w:name="_Toc31351"/>
            <w:r>
              <w:rPr>
                <w:rFonts w:hint="eastAsia" w:ascii="仿宋_GB2312" w:hAnsi="宋体" w:eastAsia="仿宋_GB2312" w:cs="Times New Roman"/>
                <w:color w:val="000000"/>
                <w:sz w:val="24"/>
                <w:szCs w:val="20"/>
                <w:lang w:val="en-US" w:eastAsia="zh-CN" w:bidi="ar-SA"/>
              </w:rPr>
              <w:t xml:space="preserve">3.支持Openeuler、CentOS、Ubuntu、麒麟、统信UOS等主流操作系统。</w:t>
            </w:r>
            <w:bookmarkEnd w:id="1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5" w:name="_Toc9089"/>
            <w:r>
              <w:rPr>
                <w:rFonts w:hint="eastAsia" w:ascii="仿宋_GB2312" w:hAnsi="宋体" w:eastAsia="仿宋_GB2312" w:cs="Times New Roman"/>
                <w:color w:val="000000"/>
                <w:sz w:val="24"/>
                <w:szCs w:val="20"/>
                <w:lang w:val="en-US" w:eastAsia="zh-CN" w:bidi="ar-SA"/>
              </w:rPr>
              <w:t xml:space="preserve">4.支持Pytorch, tensorflow, MPI, paddlepaddle等主流AI框架。</w:t>
            </w:r>
            <w:bookmarkEnd w:id="1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6" w:name="_Toc7006"/>
            <w:r>
              <w:rPr>
                <w:rFonts w:hint="eastAsia" w:ascii="仿宋_GB2312" w:hAnsi="宋体" w:eastAsia="仿宋_GB2312" w:cs="Times New Roman"/>
                <w:color w:val="000000"/>
                <w:sz w:val="24"/>
                <w:szCs w:val="20"/>
                <w:lang w:val="en-US" w:eastAsia="zh-CN" w:bidi="ar-SA"/>
              </w:rPr>
              <w:t xml:space="preserve">5.同一个节点上的多个应用可以使用不同的CUDA版本，兼容性和物理GPU卡保持完全一致；兼容全系CUDA 9至CUDA 12版本，AI应用无需重新编译、重新适配.</w:t>
            </w:r>
            <w:bookmarkEnd w:id="1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7" w:name="_Toc1736"/>
            <w:r>
              <w:rPr>
                <w:rFonts w:hint="eastAsia" w:ascii="仿宋_GB2312" w:hAnsi="宋体" w:eastAsia="仿宋_GB2312" w:cs="Times New Roman"/>
                <w:color w:val="000000"/>
                <w:sz w:val="24"/>
                <w:szCs w:val="20"/>
                <w:lang w:val="en-US" w:eastAsia="zh-CN" w:bidi="ar-SA"/>
              </w:rPr>
              <w:t xml:space="preserve">6.满足企业级大模型训推一体机功能和性能要求，提供硬件设备、资源管理、模型训练、推理部署、安全能力、运维能力、管理平台、服务性能等管理功能。</w:t>
            </w:r>
            <w:bookmarkEnd w:id="1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8" w:name="_Toc1976"/>
            <w:r>
              <w:rPr>
                <w:rFonts w:hint="eastAsia" w:ascii="仿宋_GB2312" w:hAnsi="宋体" w:eastAsia="仿宋_GB2312" w:cs="Times New Roman"/>
                <w:color w:val="000000"/>
                <w:sz w:val="24"/>
                <w:szCs w:val="20"/>
                <w:lang w:val="en-US" w:eastAsia="zh-CN" w:bidi="ar-SA"/>
              </w:rPr>
              <w:t xml:space="preserve">7.满足在面向 DeepSeek 大模型服务场景下的硬件设备、资源管理、模型训练、推理部署、安全能力、运维能力、管理平台、服务性能等管理功能。</w:t>
            </w:r>
            <w:bookmarkEnd w:id="18"/>
            <w:r/>
            <w:r>
              <w:rPr>
                <w:rFonts w:hint="eastAsia" w:ascii="仿宋_GB2312" w:hAnsi="宋体" w:eastAsia="仿宋_GB2312" w:cs="Times New Roman"/>
                <w:color w:val="000000"/>
                <w:sz w:val="24"/>
                <w:szCs w:val="20"/>
                <w:lang w:val="en-US" w:eastAsia="zh-CN" w:bidi="ar-SA"/>
              </w:rPr>
            </w:r>
          </w:p>
        </w:tc>
      </w:tr>
      <w:tr>
        <w:trPr>
          <w:jc w:val="center"/>
          <w:trHeight w:val="206"/>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9" w:name="_Toc18131"/>
            <w:r>
              <w:rPr>
                <w:rFonts w:hint="eastAsia" w:ascii="仿宋_GB2312" w:hAnsi="宋体" w:eastAsia="仿宋_GB2312" w:cs="Times New Roman"/>
                <w:color w:val="000000"/>
                <w:sz w:val="24"/>
                <w:szCs w:val="20"/>
                <w:lang w:val="en-US" w:eastAsia="zh-CN" w:bidi="ar-SA"/>
              </w:rPr>
              <w:t xml:space="preserve">算</w:t>
            </w:r>
            <w:bookmarkEnd w:id="1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0" w:name="_Toc24943"/>
            <w:r>
              <w:rPr>
                <w:rFonts w:hint="eastAsia" w:ascii="仿宋_GB2312" w:hAnsi="宋体" w:eastAsia="仿宋_GB2312" w:cs="Times New Roman"/>
                <w:color w:val="000000"/>
                <w:sz w:val="24"/>
                <w:szCs w:val="20"/>
                <w:lang w:val="en-US" w:eastAsia="zh-CN" w:bidi="ar-SA"/>
              </w:rPr>
              <w:t xml:space="preserve">力</w:t>
            </w:r>
            <w:bookmarkEnd w:id="2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1" w:name="_Toc28866"/>
            <w:r>
              <w:rPr>
                <w:rFonts w:hint="eastAsia" w:ascii="仿宋_GB2312" w:hAnsi="宋体" w:eastAsia="仿宋_GB2312" w:cs="Times New Roman"/>
                <w:color w:val="000000"/>
                <w:sz w:val="24"/>
                <w:szCs w:val="20"/>
                <w:lang w:val="en-US" w:eastAsia="zh-CN" w:bidi="ar-SA"/>
              </w:rPr>
              <w:t xml:space="preserve">切</w:t>
            </w:r>
            <w:bookmarkEnd w:id="2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2" w:name="_Toc12415"/>
            <w:r>
              <w:rPr>
                <w:rFonts w:hint="eastAsia" w:ascii="仿宋_GB2312" w:hAnsi="宋体" w:eastAsia="仿宋_GB2312" w:cs="Times New Roman"/>
                <w:color w:val="000000"/>
                <w:sz w:val="24"/>
                <w:szCs w:val="20"/>
                <w:lang w:val="en-US" w:eastAsia="zh-CN" w:bidi="ar-SA"/>
              </w:rPr>
              <w:t xml:space="preserve">分</w:t>
            </w:r>
            <w:bookmarkEnd w:id="2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3" w:name="_Toc18075"/>
            <w:r>
              <w:rPr>
                <w:rFonts w:hint="eastAsia" w:ascii="仿宋_GB2312" w:hAnsi="宋体" w:eastAsia="仿宋_GB2312" w:cs="Times New Roman"/>
                <w:color w:val="000000"/>
                <w:sz w:val="24"/>
                <w:szCs w:val="20"/>
                <w:lang w:val="en-US" w:eastAsia="zh-CN" w:bidi="ar-SA"/>
              </w:rPr>
              <w:t xml:space="preserve">和</w:t>
            </w:r>
            <w:bookmarkEnd w:id="2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4" w:name="_Toc26882"/>
            <w:r>
              <w:rPr>
                <w:rFonts w:hint="eastAsia" w:ascii="仿宋_GB2312" w:hAnsi="宋体" w:eastAsia="仿宋_GB2312" w:cs="Times New Roman"/>
                <w:color w:val="000000"/>
                <w:sz w:val="24"/>
                <w:szCs w:val="20"/>
                <w:lang w:val="en-US" w:eastAsia="zh-CN" w:bidi="ar-SA"/>
              </w:rPr>
              <w:t xml:space="preserve">超</w:t>
            </w:r>
            <w:bookmarkEnd w:id="2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5" w:name="_Toc25993"/>
            <w:r>
              <w:rPr>
                <w:rFonts w:hint="eastAsia" w:ascii="仿宋_GB2312" w:hAnsi="宋体" w:eastAsia="仿宋_GB2312" w:cs="Times New Roman"/>
                <w:color w:val="000000"/>
                <w:sz w:val="24"/>
                <w:szCs w:val="20"/>
                <w:lang w:val="en-US" w:eastAsia="zh-CN" w:bidi="ar-SA"/>
              </w:rPr>
              <w:t xml:space="preserve">分</w:t>
            </w:r>
            <w:bookmarkEnd w:id="2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6" w:name="_Toc20206"/>
            <w:r>
              <w:rPr>
                <w:rFonts w:hint="eastAsia" w:ascii="仿宋_GB2312" w:hAnsi="宋体" w:eastAsia="仿宋_GB2312" w:cs="Times New Roman"/>
                <w:color w:val="000000"/>
                <w:sz w:val="24"/>
                <w:szCs w:val="20"/>
                <w:lang w:val="en-US" w:eastAsia="zh-CN" w:bidi="ar-SA"/>
              </w:rPr>
              <w:t xml:space="preserve">要</w:t>
            </w:r>
            <w:bookmarkEnd w:id="26"/>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7" w:name="_Toc5954"/>
            <w:r>
              <w:rPr>
                <w:rFonts w:hint="eastAsia" w:ascii="仿宋_GB2312" w:hAnsi="宋体" w:eastAsia="仿宋_GB2312" w:cs="Times New Roman"/>
                <w:color w:val="000000"/>
                <w:sz w:val="24"/>
                <w:szCs w:val="20"/>
                <w:lang w:val="en-US" w:eastAsia="zh-CN" w:bidi="ar-SA"/>
              </w:rPr>
              <w:t xml:space="preserve">求</w:t>
            </w:r>
            <w:bookmarkEnd w:id="27"/>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8" w:name="_Toc3181"/>
            <w:r>
              <w:rPr>
                <w:rFonts w:hint="eastAsia" w:ascii="仿宋_GB2312" w:hAnsi="宋体" w:eastAsia="仿宋_GB2312" w:cs="Times New Roman"/>
                <w:color w:val="000000"/>
                <w:sz w:val="24"/>
                <w:szCs w:val="20"/>
                <w:lang w:val="en-US" w:eastAsia="zh-CN" w:bidi="ar-SA"/>
              </w:rPr>
              <w:t xml:space="preserve">1.支持按照算力切分vGPU，一张GPU卡内的vGPU算力可以不一致，最小颗粒度1%，切分范围1%~100%。</w:t>
            </w:r>
            <w:bookmarkEnd w:id="2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9" w:name="_Toc28522"/>
            <w:r>
              <w:rPr>
                <w:rFonts w:hint="eastAsia" w:ascii="仿宋_GB2312" w:hAnsi="宋体" w:eastAsia="仿宋_GB2312" w:cs="Times New Roman"/>
                <w:color w:val="000000"/>
                <w:sz w:val="24"/>
                <w:szCs w:val="20"/>
                <w:lang w:val="en-US" w:eastAsia="zh-CN" w:bidi="ar-SA"/>
              </w:rPr>
              <w:t xml:space="preserve">2.支持算力超分，总额超过100%的申请可以调度到同一张GPU卡运行。由于每个模型推理的请求相对比较随机，配合最低保障功能，可以实现多个模型共享一张卡，在多模型请求不均时，可大幅提升推理性能和卡的资源利用率。</w:t>
            </w:r>
            <w:bookmarkEnd w:id="2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0" w:name="_Toc14381"/>
            <w:r>
              <w:rPr>
                <w:rFonts w:hint="eastAsia" w:ascii="仿宋_GB2312" w:hAnsi="宋体" w:eastAsia="仿宋_GB2312" w:cs="Times New Roman"/>
                <w:color w:val="000000"/>
                <w:sz w:val="24"/>
                <w:szCs w:val="20"/>
                <w:lang w:val="en-US" w:eastAsia="zh-CN" w:bidi="ar-SA"/>
              </w:rPr>
              <w:t xml:space="preserve">3.支持以下算力隔离模式，包括性能优先模式，隔离优先模式，最低保障模式，且可以在线灵活热切换算力隔离模式，不影响业务。</w:t>
            </w:r>
            <w:bookmarkEnd w:id="3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1" w:name="_Toc7460"/>
            <w:r>
              <w:rPr>
                <w:rFonts w:hint="eastAsia" w:ascii="仿宋_GB2312" w:hAnsi="宋体" w:eastAsia="仿宋_GB2312" w:cs="Times New Roman"/>
                <w:color w:val="000000"/>
                <w:sz w:val="24"/>
                <w:szCs w:val="20"/>
                <w:lang w:val="en-US" w:eastAsia="zh-CN" w:bidi="ar-SA"/>
              </w:rPr>
              <w:t xml:space="preserve">4.支持性能优先模式，也称为自由竞争模式，不限制容器的vGPU的算力，高优先级任务可以抢占低优先级任务的算力资源，容器应用可以使用整卡的剩余算力，对应用的延时没有任何影响。多个相同优先级的任务同时运行在同一张显卡时，每个任务在极端情况下获得的算力为1/N。</w:t>
            </w:r>
            <w:bookmarkEnd w:id="3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2" w:name="_Toc13099"/>
            <w:r>
              <w:rPr>
                <w:rFonts w:hint="eastAsia" w:ascii="仿宋_GB2312" w:hAnsi="宋体" w:eastAsia="仿宋_GB2312" w:cs="Times New Roman"/>
                <w:color w:val="000000"/>
                <w:sz w:val="24"/>
                <w:szCs w:val="20"/>
                <w:lang w:val="en-US" w:eastAsia="zh-CN" w:bidi="ar-SA"/>
              </w:rPr>
              <w:t xml:space="preserve">5.支持固定比例模式，可以设置算力上限，GPU一虚多场景下应用同时运行的每个算力分配误差在10%以内。</w:t>
            </w:r>
            <w:bookmarkEnd w:id="3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3" w:name="_Toc23103"/>
            <w:r>
              <w:rPr>
                <w:rFonts w:hint="eastAsia" w:ascii="仿宋_GB2312" w:hAnsi="宋体" w:eastAsia="仿宋_GB2312" w:cs="Times New Roman"/>
                <w:color w:val="000000"/>
                <w:sz w:val="24"/>
                <w:szCs w:val="20"/>
                <w:lang w:val="en-US" w:eastAsia="zh-CN" w:bidi="ar-SA"/>
              </w:rPr>
              <w:t xml:space="preserve">6.支持最低保障模式，当其它虚拟卡空闲时可以使用整卡的剩余算力最大化地复用算力资源，当所有虚拟卡使用率达到申请算力时，严格按照申请量分配算力。</w:t>
            </w:r>
            <w:bookmarkEnd w:id="33"/>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4" w:name="_Toc16826"/>
            <w:r>
              <w:rPr>
                <w:rFonts w:hint="eastAsia" w:ascii="仿宋_GB2312" w:hAnsi="宋体" w:eastAsia="仿宋_GB2312" w:cs="Times New Roman"/>
                <w:color w:val="000000"/>
                <w:sz w:val="24"/>
                <w:szCs w:val="20"/>
                <w:lang w:val="en-US" w:eastAsia="zh-CN" w:bidi="ar-SA"/>
              </w:rPr>
              <w:t xml:space="preserve">显存切分和超分要求</w:t>
            </w:r>
            <w:bookmarkEnd w:id="34"/>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5" w:name="_Toc27797"/>
            <w:r>
              <w:rPr>
                <w:rFonts w:hint="eastAsia" w:ascii="仿宋_GB2312" w:hAnsi="宋体" w:eastAsia="仿宋_GB2312" w:cs="Times New Roman"/>
                <w:color w:val="000000"/>
                <w:sz w:val="24"/>
                <w:szCs w:val="20"/>
                <w:lang w:val="en-US" w:eastAsia="zh-CN" w:bidi="ar-SA"/>
              </w:rPr>
              <w:t xml:space="preserve">1.支持按照显存大小切分vGPU，一张GPU卡内的vGPU显存大小可以不一致，应用实际使用的显存值不能超过其申请的上限值。其中显存维度最小申请单位不超过1MB。</w:t>
            </w:r>
            <w:bookmarkEnd w:id="3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6" w:name="_Toc8660"/>
            <w:r>
              <w:rPr>
                <w:rFonts w:hint="eastAsia" w:ascii="仿宋_GB2312" w:hAnsi="宋体" w:eastAsia="仿宋_GB2312" w:cs="Times New Roman"/>
                <w:color w:val="000000"/>
                <w:sz w:val="24"/>
                <w:szCs w:val="20"/>
                <w:lang w:val="en-US" w:eastAsia="zh-CN" w:bidi="ar-SA"/>
              </w:rPr>
              <w:t xml:space="preserve">2.针对应用的需求，支持指定应用显存分配策略，开启超分后默认从内存上分配，需要使用数据时动态迁移； 同时支持在创建容器是指定在卡上分配显存。</w:t>
            </w:r>
            <w:bookmarkEnd w:id="3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7" w:name="_Toc5014"/>
            <w:r>
              <w:rPr>
                <w:rFonts w:hint="eastAsia" w:ascii="仿宋_GB2312" w:hAnsi="宋体" w:eastAsia="仿宋_GB2312" w:cs="Times New Roman"/>
                <w:color w:val="000000"/>
                <w:sz w:val="24"/>
                <w:szCs w:val="20"/>
                <w:lang w:val="en-US" w:eastAsia="zh-CN" w:bidi="ar-SA"/>
              </w:rPr>
              <w:t xml:space="preserve">3.容器可挂载多张VGPU虚拟卡，每张虚拟卡分别对应一个物理卡。</w:t>
            </w:r>
            <w:bookmarkEnd w:id="37"/>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8" w:name="_Toc12544"/>
            <w:r>
              <w:rPr>
                <w:rFonts w:hint="eastAsia" w:ascii="仿宋_GB2312" w:hAnsi="宋体" w:eastAsia="仿宋_GB2312" w:cs="Times New Roman"/>
                <w:color w:val="000000"/>
                <w:sz w:val="24"/>
                <w:szCs w:val="20"/>
                <w:lang w:val="en-US" w:eastAsia="zh-CN" w:bidi="ar-SA"/>
              </w:rPr>
              <w:t xml:space="preserve">算</w:t>
            </w:r>
            <w:bookmarkEnd w:id="38"/>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9" w:name="_Toc19233"/>
            <w:r>
              <w:rPr>
                <w:rFonts w:hint="eastAsia" w:ascii="仿宋_GB2312" w:hAnsi="宋体" w:eastAsia="仿宋_GB2312" w:cs="Times New Roman"/>
                <w:color w:val="000000"/>
                <w:sz w:val="24"/>
                <w:szCs w:val="20"/>
                <w:lang w:val="en-US" w:eastAsia="zh-CN" w:bidi="ar-SA"/>
              </w:rPr>
              <w:t xml:space="preserve">力</w:t>
            </w:r>
            <w:bookmarkEnd w:id="3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0" w:name="_Toc1612"/>
            <w:r>
              <w:rPr>
                <w:rFonts w:hint="eastAsia" w:ascii="仿宋_GB2312" w:hAnsi="宋体" w:eastAsia="仿宋_GB2312" w:cs="Times New Roman"/>
                <w:color w:val="000000"/>
                <w:sz w:val="24"/>
                <w:szCs w:val="20"/>
                <w:lang w:val="en-US" w:eastAsia="zh-CN" w:bidi="ar-SA"/>
              </w:rPr>
              <w:t xml:space="preserve">远</w:t>
            </w:r>
            <w:bookmarkEnd w:id="4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1" w:name="_Toc22031"/>
            <w:r>
              <w:rPr>
                <w:rFonts w:hint="eastAsia" w:ascii="仿宋_GB2312" w:hAnsi="宋体" w:eastAsia="仿宋_GB2312" w:cs="Times New Roman"/>
                <w:color w:val="000000"/>
                <w:sz w:val="24"/>
                <w:szCs w:val="20"/>
                <w:lang w:val="en-US" w:eastAsia="zh-CN" w:bidi="ar-SA"/>
              </w:rPr>
              <w:t xml:space="preserve">程</w:t>
            </w:r>
            <w:bookmarkEnd w:id="4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2" w:name="_Toc18732"/>
            <w:r>
              <w:rPr>
                <w:rFonts w:hint="eastAsia" w:ascii="仿宋_GB2312" w:hAnsi="宋体" w:eastAsia="仿宋_GB2312" w:cs="Times New Roman"/>
                <w:color w:val="000000"/>
                <w:sz w:val="24"/>
                <w:szCs w:val="20"/>
                <w:lang w:val="en-US" w:eastAsia="zh-CN" w:bidi="ar-SA"/>
              </w:rPr>
              <w:t xml:space="preserve">调</w:t>
            </w:r>
            <w:bookmarkEnd w:id="4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3" w:name="_Toc22040"/>
            <w:r>
              <w:rPr>
                <w:rFonts w:hint="eastAsia" w:ascii="仿宋_GB2312" w:hAnsi="宋体" w:eastAsia="仿宋_GB2312" w:cs="Times New Roman"/>
                <w:color w:val="000000"/>
                <w:sz w:val="24"/>
                <w:szCs w:val="20"/>
                <w:lang w:val="en-US" w:eastAsia="zh-CN" w:bidi="ar-SA"/>
              </w:rPr>
              <w:t xml:space="preserve">用</w:t>
            </w:r>
            <w:bookmarkEnd w:id="4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4" w:name="_Toc5179"/>
            <w:r>
              <w:rPr>
                <w:rFonts w:hint="eastAsia" w:ascii="仿宋_GB2312" w:hAnsi="宋体" w:eastAsia="仿宋_GB2312" w:cs="Times New Roman"/>
                <w:color w:val="000000"/>
                <w:sz w:val="24"/>
                <w:szCs w:val="20"/>
                <w:lang w:val="en-US" w:eastAsia="zh-CN" w:bidi="ar-SA"/>
              </w:rPr>
              <w:t xml:space="preserve">要</w:t>
            </w:r>
            <w:bookmarkEnd w:id="4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5" w:name="_Toc9222"/>
            <w:r>
              <w:rPr>
                <w:rFonts w:hint="eastAsia" w:ascii="仿宋_GB2312" w:hAnsi="宋体" w:eastAsia="仿宋_GB2312" w:cs="Times New Roman"/>
                <w:color w:val="000000"/>
                <w:sz w:val="24"/>
                <w:szCs w:val="20"/>
                <w:lang w:val="en-US" w:eastAsia="zh-CN" w:bidi="ar-SA"/>
              </w:rPr>
              <w:t xml:space="preserve">求</w:t>
            </w:r>
            <w:bookmarkEnd w:id="45"/>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6" w:name="_Toc27452"/>
            <w:r>
              <w:rPr>
                <w:rFonts w:hint="eastAsia" w:ascii="仿宋_GB2312" w:hAnsi="宋体" w:eastAsia="仿宋_GB2312" w:cs="Times New Roman"/>
                <w:color w:val="000000"/>
                <w:sz w:val="24"/>
                <w:szCs w:val="20"/>
                <w:lang w:val="en-US" w:eastAsia="zh-CN" w:bidi="ar-SA"/>
              </w:rPr>
              <w:t xml:space="preserve">1.支持英伟达远程调用，在CPU节点上远程调用使用英伟达GPU节点上的显卡，实现应用和算力分离，支持通过远程调用的英伟达显卡部署deepseek/qwen等大模型。</w:t>
            </w:r>
            <w:bookmarkEnd w:id="4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7" w:name="_Toc29259"/>
            <w:r>
              <w:rPr>
                <w:rFonts w:hint="eastAsia" w:ascii="仿宋_GB2312" w:hAnsi="宋体" w:eastAsia="仿宋_GB2312" w:cs="Times New Roman"/>
                <w:color w:val="000000"/>
                <w:sz w:val="24"/>
                <w:szCs w:val="20"/>
                <w:lang w:val="en-US" w:eastAsia="zh-CN" w:bidi="ar-SA"/>
              </w:rPr>
              <w:t xml:space="preserve">2.支持昇腾远程调用，在CPU节点上远程调用使用华为昇腾NPU节点上的显卡，实现应用和算力分离，支持通过远程调用的华为昇腾显卡部署deepseek/qwen等大模型。</w:t>
            </w:r>
            <w:bookmarkEnd w:id="4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8" w:name="_Toc17854"/>
            <w:r>
              <w:rPr>
                <w:rFonts w:hint="eastAsia" w:ascii="仿宋_GB2312" w:hAnsi="宋体" w:eastAsia="仿宋_GB2312" w:cs="Times New Roman"/>
                <w:color w:val="000000"/>
                <w:sz w:val="24"/>
                <w:szCs w:val="20"/>
                <w:lang w:val="en-US" w:eastAsia="zh-CN" w:bidi="ar-SA"/>
              </w:rPr>
              <w:t xml:space="preserve">3.支持跨机显卡聚合，支持通过远程调用实现跨机多卡聚合，一个容器挂载多个虚拟卡，并且多张卡来自多台不同的物理GPU/NPU服务器。</w:t>
            </w:r>
            <w:bookmarkEnd w:id="4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9" w:name="_Toc21874"/>
            <w:r>
              <w:rPr>
                <w:rFonts w:hint="eastAsia" w:ascii="仿宋_GB2312" w:hAnsi="宋体" w:eastAsia="仿宋_GB2312" w:cs="Times New Roman"/>
                <w:color w:val="000000"/>
                <w:sz w:val="24"/>
                <w:szCs w:val="20"/>
                <w:lang w:val="en-US" w:eastAsia="zh-CN" w:bidi="ar-SA"/>
              </w:rPr>
              <w:t xml:space="preserve">4.支持显卡动态挂载，不使用算力时自动卸载显卡，算力回归资源池；应用调用算力时自动挂载显卡，无需重启应用。</w:t>
            </w:r>
            <w:bookmarkEnd w:id="4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0" w:name="_Toc31832"/>
            <w:r>
              <w:rPr>
                <w:rFonts w:hint="eastAsia" w:ascii="仿宋_GB2312" w:hAnsi="宋体" w:eastAsia="仿宋_GB2312" w:cs="Times New Roman"/>
                <w:color w:val="000000"/>
                <w:sz w:val="24"/>
                <w:szCs w:val="20"/>
                <w:lang w:val="en-US" w:eastAsia="zh-CN" w:bidi="ar-SA"/>
              </w:rPr>
              <w:t xml:space="preserve">5.支持虚机远程调用，支持CPU虚机通过远程调用挂载显卡，使用远程GPU/NPU服务器上的显卡算力资源。</w:t>
            </w:r>
            <w:bookmarkEnd w:id="50"/>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1" w:name="_Toc26896"/>
            <w:r>
              <w:rPr>
                <w:rFonts w:hint="eastAsia" w:ascii="仿宋_GB2312" w:hAnsi="宋体" w:eastAsia="仿宋_GB2312" w:cs="Times New Roman"/>
                <w:color w:val="000000"/>
                <w:sz w:val="24"/>
                <w:szCs w:val="20"/>
                <w:lang w:val="en-US" w:eastAsia="zh-CN" w:bidi="ar-SA"/>
              </w:rPr>
              <w:t xml:space="preserve">算</w:t>
            </w:r>
            <w:bookmarkEnd w:id="5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2" w:name="_Toc5213"/>
            <w:r>
              <w:rPr>
                <w:rFonts w:hint="eastAsia" w:ascii="仿宋_GB2312" w:hAnsi="宋体" w:eastAsia="仿宋_GB2312" w:cs="Times New Roman"/>
                <w:color w:val="000000"/>
                <w:sz w:val="24"/>
                <w:szCs w:val="20"/>
                <w:lang w:val="en-US" w:eastAsia="zh-CN" w:bidi="ar-SA"/>
              </w:rPr>
              <w:t xml:space="preserve">力</w:t>
            </w:r>
            <w:bookmarkEnd w:id="5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3" w:name="_Toc15629"/>
            <w:r>
              <w:rPr>
                <w:rFonts w:hint="eastAsia" w:ascii="仿宋_GB2312" w:hAnsi="宋体" w:eastAsia="仿宋_GB2312" w:cs="Times New Roman"/>
                <w:color w:val="000000"/>
                <w:sz w:val="24"/>
                <w:szCs w:val="20"/>
                <w:lang w:val="en-US" w:eastAsia="zh-CN" w:bidi="ar-SA"/>
              </w:rPr>
              <w:t xml:space="preserve">调</w:t>
            </w:r>
            <w:bookmarkEnd w:id="5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4" w:name="_Toc1638"/>
            <w:r>
              <w:rPr>
                <w:rFonts w:hint="eastAsia" w:ascii="仿宋_GB2312" w:hAnsi="宋体" w:eastAsia="仿宋_GB2312" w:cs="Times New Roman"/>
                <w:color w:val="000000"/>
                <w:sz w:val="24"/>
                <w:szCs w:val="20"/>
                <w:lang w:val="en-US" w:eastAsia="zh-CN" w:bidi="ar-SA"/>
              </w:rPr>
              <w:t xml:space="preserve">度</w:t>
            </w:r>
            <w:bookmarkEnd w:id="5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5" w:name="_Toc22156"/>
            <w:r>
              <w:rPr>
                <w:rFonts w:hint="eastAsia" w:ascii="仿宋_GB2312" w:hAnsi="宋体" w:eastAsia="仿宋_GB2312" w:cs="Times New Roman"/>
                <w:color w:val="000000"/>
                <w:sz w:val="24"/>
                <w:szCs w:val="20"/>
                <w:lang w:val="en-US" w:eastAsia="zh-CN" w:bidi="ar-SA"/>
              </w:rPr>
              <w:t xml:space="preserve">要</w:t>
            </w:r>
            <w:bookmarkEnd w:id="5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6" w:name="_Toc15932"/>
            <w:r>
              <w:rPr>
                <w:rFonts w:hint="eastAsia" w:ascii="仿宋_GB2312" w:hAnsi="宋体" w:eastAsia="仿宋_GB2312" w:cs="Times New Roman"/>
                <w:color w:val="000000"/>
                <w:sz w:val="24"/>
                <w:szCs w:val="20"/>
                <w:lang w:val="en-US" w:eastAsia="zh-CN" w:bidi="ar-SA"/>
              </w:rPr>
              <w:t xml:space="preserve">求</w:t>
            </w:r>
            <w:bookmarkEnd w:id="56"/>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7" w:name="_Toc10422"/>
            <w:r>
              <w:rPr>
                <w:rFonts w:hint="eastAsia" w:ascii="仿宋_GB2312" w:hAnsi="宋体" w:eastAsia="仿宋_GB2312" w:cs="Times New Roman"/>
                <w:color w:val="000000"/>
                <w:sz w:val="24"/>
                <w:szCs w:val="20"/>
                <w:lang w:val="en-US" w:eastAsia="zh-CN" w:bidi="ar-SA"/>
              </w:rPr>
              <w:t xml:space="preserve">1.支持节点/显卡双维度binpack/spread（紧凑和平铺）调度策略。</w:t>
            </w:r>
            <w:bookmarkEnd w:id="5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8" w:name="_Toc18137"/>
            <w:r>
              <w:rPr>
                <w:rFonts w:hint="eastAsia" w:ascii="仿宋_GB2312" w:hAnsi="宋体" w:eastAsia="仿宋_GB2312" w:cs="Times New Roman"/>
                <w:color w:val="000000"/>
                <w:sz w:val="24"/>
                <w:szCs w:val="20"/>
                <w:lang w:val="en-US" w:eastAsia="zh-CN" w:bidi="ar-SA"/>
              </w:rPr>
              <w:t xml:space="preserve">2.支持为容器调度指定GPU卡类型、型号和节点调度。</w:t>
            </w:r>
            <w:bookmarkEnd w:id="5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9" w:name="_Toc19761"/>
            <w:r>
              <w:rPr>
                <w:rFonts w:hint="eastAsia" w:ascii="仿宋_GB2312" w:hAnsi="宋体" w:eastAsia="仿宋_GB2312" w:cs="Times New Roman"/>
                <w:color w:val="000000"/>
                <w:sz w:val="24"/>
                <w:szCs w:val="20"/>
                <w:lang w:val="en-US" w:eastAsia="zh-CN" w:bidi="ar-SA"/>
              </w:rPr>
              <w:t xml:space="preserve">3.支持算力分级，分为低优和高优，在算力出现竞争时，高优Pod可以抢占低优Pod的算力，高优任务暂不使用GPU时，低优任务可以继续使用GPU。</w:t>
            </w:r>
            <w:bookmarkEnd w:id="5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0" w:name="_Toc27541"/>
            <w:r>
              <w:rPr>
                <w:rFonts w:hint="eastAsia" w:ascii="仿宋_GB2312" w:hAnsi="宋体" w:eastAsia="仿宋_GB2312" w:cs="Times New Roman"/>
                <w:color w:val="000000"/>
                <w:sz w:val="24"/>
                <w:szCs w:val="20"/>
                <w:lang w:val="en-US" w:eastAsia="zh-CN" w:bidi="ar-SA"/>
              </w:rPr>
              <w:t xml:space="preserve">4.支持昇腾 HCCS, 英伟达 NVLINK，寒武纪 MLU-Link，PCIE拓扑感知。</w:t>
            </w:r>
            <w:bookmarkEnd w:id="6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1" w:name="_Toc16659"/>
            <w:r>
              <w:rPr>
                <w:rFonts w:hint="eastAsia" w:ascii="仿宋_GB2312" w:hAnsi="宋体" w:eastAsia="仿宋_GB2312" w:cs="Times New Roman"/>
                <w:color w:val="000000"/>
                <w:sz w:val="24"/>
                <w:szCs w:val="20"/>
                <w:lang w:val="en-US" w:eastAsia="zh-CN" w:bidi="ar-SA"/>
              </w:rPr>
              <w:t xml:space="preserve">5.支持机架、Pod、机房、区域拓扑感知。</w:t>
            </w:r>
            <w:bookmarkEnd w:id="6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2" w:name="_Toc8137"/>
            <w:r>
              <w:rPr>
                <w:rFonts w:hint="eastAsia" w:ascii="仿宋_GB2312" w:hAnsi="宋体" w:eastAsia="仿宋_GB2312" w:cs="Times New Roman"/>
                <w:color w:val="000000"/>
                <w:sz w:val="24"/>
                <w:szCs w:val="20"/>
                <w:lang w:val="en-US" w:eastAsia="zh-CN" w:bidi="ar-SA"/>
              </w:rPr>
              <w:t xml:space="preserve">6.支持队列调度:（1）支持按部门划分资源组，资源组可以跨节点组分配资源</w:t>
            </w:r>
            <w:r>
              <w:rPr>
                <w:rFonts w:hint="eastAsia" w:ascii="仿宋_GB2312" w:hAnsi="宋体" w:eastAsia="仿宋_GB2312" w:cs="Times New Roman"/>
                <w:color w:val="000000"/>
                <w:sz w:val="24"/>
                <w:szCs w:val="20"/>
                <w:lang w:val="en-US" w:eastAsia="zh-CN" w:bidi="ar-SA"/>
              </w:rPr>
              <w:t xml:space="preserve">，代表一个部门的最大资源使用量；资源组内划分队列，授权给项目或用户组使用。（2）支持资源组内资源抢占，通过 min&amp;max 机制实现弹性配额，同一资源组内的队列可以借用资源做超额分配，确保整个资源组的利用率最大化。（3）支持修改优先级，任务按优先级调整排队顺序。支持资源自动释放，训练结束或超时，资源自动回收。支持开发机自动关机，算力利用率低于预设阈值达到一定时间时，平台自动关闭Notebook开发机，显卡资源释放回归资源池。支持PytorchJob/TensorflowJob/DeepSpeed等工作负载。</w:t>
            </w:r>
            <w:bookmarkEnd w:id="62"/>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3" w:name="_Toc21125"/>
            <w:r>
              <w:rPr>
                <w:rFonts w:hint="eastAsia" w:ascii="仿宋_GB2312" w:hAnsi="宋体" w:eastAsia="仿宋_GB2312" w:cs="Times New Roman"/>
                <w:color w:val="000000"/>
                <w:sz w:val="24"/>
                <w:szCs w:val="20"/>
                <w:lang w:val="en-US" w:eastAsia="zh-CN" w:bidi="ar-SA"/>
              </w:rPr>
              <w:t xml:space="preserve">算</w:t>
            </w:r>
            <w:bookmarkEnd w:id="6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4" w:name="_Toc18533"/>
            <w:r>
              <w:rPr>
                <w:rFonts w:hint="eastAsia" w:ascii="仿宋_GB2312" w:hAnsi="宋体" w:eastAsia="仿宋_GB2312" w:cs="Times New Roman"/>
                <w:color w:val="000000"/>
                <w:sz w:val="24"/>
                <w:szCs w:val="20"/>
                <w:lang w:val="en-US" w:eastAsia="zh-CN" w:bidi="ar-SA"/>
              </w:rPr>
              <w:t xml:space="preserve">力</w:t>
            </w:r>
            <w:bookmarkEnd w:id="6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5" w:name="_Toc3194"/>
            <w:r>
              <w:rPr>
                <w:rFonts w:hint="eastAsia" w:ascii="仿宋_GB2312" w:hAnsi="宋体" w:eastAsia="仿宋_GB2312" w:cs="Times New Roman"/>
                <w:color w:val="000000"/>
                <w:sz w:val="24"/>
                <w:szCs w:val="20"/>
                <w:lang w:val="en-US" w:eastAsia="zh-CN" w:bidi="ar-SA"/>
              </w:rPr>
              <w:t xml:space="preserve">管</w:t>
            </w:r>
            <w:bookmarkEnd w:id="6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6" w:name="_Toc8009"/>
            <w:r>
              <w:rPr>
                <w:rFonts w:hint="eastAsia" w:ascii="仿宋_GB2312" w:hAnsi="宋体" w:eastAsia="仿宋_GB2312" w:cs="Times New Roman"/>
                <w:color w:val="000000"/>
                <w:sz w:val="24"/>
                <w:szCs w:val="20"/>
                <w:lang w:val="en-US" w:eastAsia="zh-CN" w:bidi="ar-SA"/>
              </w:rPr>
              <w:t xml:space="preserve">理</w:t>
            </w:r>
            <w:bookmarkEnd w:id="66"/>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7" w:name="_Toc6437"/>
            <w:r>
              <w:rPr>
                <w:rFonts w:hint="eastAsia" w:ascii="仿宋_GB2312" w:hAnsi="宋体" w:eastAsia="仿宋_GB2312" w:cs="Times New Roman"/>
                <w:color w:val="000000"/>
                <w:sz w:val="24"/>
                <w:szCs w:val="20"/>
                <w:lang w:val="en-US" w:eastAsia="zh-CN" w:bidi="ar-SA"/>
              </w:rPr>
              <w:t xml:space="preserve">要</w:t>
            </w:r>
            <w:bookmarkEnd w:id="67"/>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8" w:name="_Toc26214"/>
            <w:r>
              <w:rPr>
                <w:rFonts w:hint="eastAsia" w:ascii="仿宋_GB2312" w:hAnsi="宋体" w:eastAsia="仿宋_GB2312" w:cs="Times New Roman"/>
                <w:color w:val="000000"/>
                <w:sz w:val="24"/>
                <w:szCs w:val="20"/>
                <w:lang w:val="en-US" w:eastAsia="zh-CN" w:bidi="ar-SA"/>
              </w:rPr>
              <w:t xml:space="preserve">求</w:t>
            </w:r>
            <w:bookmarkEnd w:id="68"/>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9" w:name="_Toc6418"/>
            <w:r>
              <w:rPr>
                <w:rFonts w:hint="eastAsia" w:ascii="仿宋_GB2312" w:hAnsi="宋体" w:eastAsia="仿宋_GB2312" w:cs="Times New Roman"/>
                <w:color w:val="000000"/>
                <w:sz w:val="24"/>
                <w:szCs w:val="20"/>
                <w:lang w:val="en-US" w:eastAsia="zh-CN" w:bidi="ar-SA"/>
              </w:rPr>
              <w:t xml:space="preserve">支持算力池管理：</w:t>
            </w:r>
            <w:bookmarkEnd w:id="6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0" w:name="_Toc4341"/>
            <w:r>
              <w:rPr>
                <w:rFonts w:hint="eastAsia" w:ascii="仿宋_GB2312" w:hAnsi="宋体" w:eastAsia="仿宋_GB2312" w:cs="Times New Roman"/>
                <w:color w:val="000000"/>
                <w:sz w:val="24"/>
                <w:szCs w:val="20"/>
                <w:lang w:val="en-US" w:eastAsia="zh-CN" w:bidi="ar-SA"/>
              </w:rPr>
              <w:t xml:space="preserve">（1）支持在算力池内添加或移除节点；</w:t>
            </w:r>
            <w:bookmarkEnd w:id="7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1" w:name="_Toc7178"/>
            <w:r>
              <w:rPr>
                <w:rFonts w:hint="eastAsia" w:ascii="仿宋_GB2312" w:hAnsi="宋体" w:eastAsia="仿宋_GB2312" w:cs="Times New Roman"/>
                <w:color w:val="000000"/>
                <w:sz w:val="24"/>
                <w:szCs w:val="20"/>
                <w:lang w:val="en-US" w:eastAsia="zh-CN" w:bidi="ar-SA"/>
              </w:rPr>
              <w:t xml:space="preserve">（2）支持查看算力池内的节点列表；</w:t>
            </w:r>
            <w:bookmarkEnd w:id="7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2" w:name="_Toc31550"/>
            <w:r>
              <w:rPr>
                <w:rFonts w:hint="eastAsia" w:ascii="仿宋_GB2312" w:hAnsi="宋体" w:eastAsia="仿宋_GB2312" w:cs="Times New Roman"/>
                <w:color w:val="000000"/>
                <w:sz w:val="24"/>
                <w:szCs w:val="20"/>
                <w:lang w:val="en-US" w:eastAsia="zh-CN" w:bidi="ar-SA"/>
              </w:rPr>
              <w:t xml:space="preserve">（3）支持查看算力池内的显卡列表；</w:t>
            </w:r>
            <w:bookmarkEnd w:id="7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3" w:name="_Toc4661"/>
            <w:r>
              <w:rPr>
                <w:rFonts w:hint="eastAsia" w:ascii="仿宋_GB2312" w:hAnsi="宋体" w:eastAsia="仿宋_GB2312" w:cs="Times New Roman"/>
                <w:color w:val="000000"/>
                <w:sz w:val="24"/>
                <w:szCs w:val="20"/>
                <w:lang w:val="en-US" w:eastAsia="zh-CN" w:bidi="ar-SA"/>
              </w:rPr>
              <w:t xml:space="preserve">（4）支持查看算力池内运行的任务及实例列表；</w:t>
            </w:r>
            <w:bookmarkEnd w:id="7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4" w:name="_Toc19914"/>
            <w:r>
              <w:rPr>
                <w:rFonts w:hint="eastAsia" w:ascii="仿宋_GB2312" w:hAnsi="宋体" w:eastAsia="仿宋_GB2312" w:cs="Times New Roman"/>
                <w:color w:val="000000"/>
                <w:sz w:val="24"/>
                <w:szCs w:val="20"/>
                <w:lang w:val="en-US" w:eastAsia="zh-CN" w:bidi="ar-SA"/>
              </w:rPr>
              <w:t xml:space="preserve">（5）支持查看绑定到当前算力池的资源组列表；</w:t>
            </w:r>
            <w:bookmarkEnd w:id="7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5" w:name="_Toc32524"/>
            <w:r>
              <w:rPr>
                <w:rFonts w:hint="eastAsia" w:ascii="仿宋_GB2312" w:hAnsi="宋体" w:eastAsia="仿宋_GB2312" w:cs="Times New Roman"/>
                <w:color w:val="000000"/>
                <w:sz w:val="24"/>
                <w:szCs w:val="20"/>
                <w:lang w:val="en-US" w:eastAsia="zh-CN" w:bidi="ar-SA"/>
              </w:rPr>
              <w:t xml:space="preserve">（6）支持配置算力池的调度策略，包括节点紧凑+显卡紧凑、节点紧凑+显卡均衡、节点均衡+显卡紧凑、节点均衡+显卡均衡。节点紧凑+显卡紧凑：优先用尽某台机器资源，优先用尽单张显卡计算资源。节点紧凑+显卡均衡：优先用尽某台机器资源，尽量保持单节点所有显卡均衡负载。节点均衡+显卡紧凑：保持所有节点已分配均衡， 优先用尽单张显卡计算资源。节点均衡+显卡均衡：保持所有节点已分配均衡，尽量保持单节点所有显卡均衡负载。</w:t>
            </w:r>
            <w:bookmarkEnd w:id="7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6" w:name="_Toc20214"/>
            <w:r>
              <w:rPr>
                <w:rFonts w:hint="eastAsia" w:ascii="仿宋_GB2312" w:hAnsi="宋体" w:eastAsia="仿宋_GB2312" w:cs="Times New Roman"/>
                <w:color w:val="000000"/>
                <w:sz w:val="24"/>
                <w:szCs w:val="20"/>
                <w:lang w:val="en-US" w:eastAsia="zh-CN" w:bidi="ar-SA"/>
              </w:rPr>
              <w:t xml:space="preserve">（7）支持查看算力池的物理卡、算力、显存的总量、分配量、使用量。</w:t>
            </w:r>
            <w:bookmarkEnd w:id="7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7" w:name="_Toc17689"/>
            <w:r>
              <w:rPr>
                <w:rFonts w:hint="eastAsia" w:ascii="仿宋_GB2312" w:hAnsi="宋体" w:eastAsia="仿宋_GB2312" w:cs="Times New Roman"/>
                <w:color w:val="000000"/>
                <w:sz w:val="24"/>
                <w:szCs w:val="20"/>
                <w:lang w:val="en-US" w:eastAsia="zh-CN" w:bidi="ar-SA"/>
              </w:rPr>
              <w:t xml:space="preserve">（8）支持算力池监控，包括算力/显存/CPU/内存/磁盘的总量、分配率、利用率。</w:t>
            </w:r>
            <w:bookmarkEnd w:id="7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8" w:name="_Toc15931"/>
            <w:r>
              <w:rPr>
                <w:rFonts w:hint="eastAsia" w:ascii="仿宋_GB2312" w:hAnsi="宋体" w:eastAsia="仿宋_GB2312" w:cs="Times New Roman"/>
                <w:color w:val="000000"/>
                <w:sz w:val="24"/>
                <w:szCs w:val="20"/>
                <w:lang w:val="en-US" w:eastAsia="zh-CN" w:bidi="ar-SA"/>
              </w:rPr>
              <w:t xml:space="preserve">2.支持节点管理：</w:t>
            </w:r>
            <w:bookmarkEnd w:id="7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9" w:name="_Toc22692"/>
            <w:r>
              <w:rPr>
                <w:rFonts w:hint="eastAsia" w:ascii="仿宋_GB2312" w:hAnsi="宋体" w:eastAsia="仿宋_GB2312" w:cs="Times New Roman"/>
                <w:color w:val="000000"/>
                <w:sz w:val="24"/>
                <w:szCs w:val="20"/>
                <w:lang w:val="en-US" w:eastAsia="zh-CN" w:bidi="ar-SA"/>
              </w:rPr>
              <w:t xml:space="preserve">（1）支持设置切分模式，算力超分系数，显存超分系数。</w:t>
            </w:r>
            <w:bookmarkEnd w:id="7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0" w:name="_Toc28333"/>
            <w:r>
              <w:rPr>
                <w:rFonts w:hint="eastAsia" w:ascii="仿宋_GB2312" w:hAnsi="宋体" w:eastAsia="仿宋_GB2312" w:cs="Times New Roman"/>
                <w:color w:val="000000"/>
                <w:sz w:val="24"/>
                <w:szCs w:val="20"/>
                <w:lang w:val="en-US" w:eastAsia="zh-CN" w:bidi="ar-SA"/>
              </w:rPr>
              <w:t xml:space="preserve">（2）支持对节点禁用调度或启用调度，禁用调度用于计划内维护，禁止新的AI负载调度到当前节点。</w:t>
            </w:r>
            <w:bookmarkEnd w:id="8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1" w:name="_Toc22704"/>
            <w:r>
              <w:rPr>
                <w:rFonts w:hint="eastAsia" w:ascii="仿宋_GB2312" w:hAnsi="宋体" w:eastAsia="仿宋_GB2312" w:cs="Times New Roman"/>
                <w:color w:val="000000"/>
                <w:sz w:val="24"/>
                <w:szCs w:val="20"/>
                <w:lang w:val="en-US" w:eastAsia="zh-CN" w:bidi="ar-SA"/>
              </w:rPr>
              <w:t xml:space="preserve">（3）支持查看节点上的显卡列表。</w:t>
            </w:r>
            <w:bookmarkEnd w:id="8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2" w:name="_Toc17024"/>
            <w:r>
              <w:rPr>
                <w:rFonts w:hint="eastAsia" w:ascii="仿宋_GB2312" w:hAnsi="宋体" w:eastAsia="仿宋_GB2312" w:cs="Times New Roman"/>
                <w:color w:val="000000"/>
                <w:sz w:val="24"/>
                <w:szCs w:val="20"/>
                <w:lang w:val="en-US" w:eastAsia="zh-CN" w:bidi="ar-SA"/>
              </w:rPr>
              <w:t xml:space="preserve">（4）支持查看节点上运行的任务及实例列表。</w:t>
            </w:r>
            <w:bookmarkEnd w:id="8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3" w:name="_Toc18678"/>
            <w:r>
              <w:rPr>
                <w:rFonts w:hint="eastAsia" w:ascii="仿宋_GB2312" w:hAnsi="宋体" w:eastAsia="仿宋_GB2312" w:cs="Times New Roman"/>
                <w:color w:val="000000"/>
                <w:sz w:val="24"/>
                <w:szCs w:val="20"/>
                <w:lang w:val="en-US" w:eastAsia="zh-CN" w:bidi="ar-SA"/>
              </w:rPr>
              <w:t xml:space="preserve">（5）支持对节点上运行的实例进行热迁移，迁移到其他节点或相同节点的其他显卡上。</w:t>
            </w:r>
            <w:bookmarkEnd w:id="8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4" w:name="_Toc30606"/>
            <w:r>
              <w:rPr>
                <w:rFonts w:hint="eastAsia" w:ascii="仿宋_GB2312" w:hAnsi="宋体" w:eastAsia="仿宋_GB2312" w:cs="Times New Roman"/>
                <w:color w:val="000000"/>
                <w:sz w:val="24"/>
                <w:szCs w:val="20"/>
                <w:lang w:val="en-US" w:eastAsia="zh-CN" w:bidi="ar-SA"/>
              </w:rPr>
              <w:t xml:space="preserve">（6）支持查看节点上算力、显存的总量、分配量、使用量。</w:t>
            </w:r>
            <w:bookmarkEnd w:id="8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5" w:name="_Toc15564"/>
            <w:r>
              <w:rPr>
                <w:rFonts w:hint="eastAsia" w:ascii="仿宋_GB2312" w:hAnsi="宋体" w:eastAsia="仿宋_GB2312" w:cs="Times New Roman"/>
                <w:color w:val="000000"/>
                <w:sz w:val="24"/>
                <w:szCs w:val="20"/>
                <w:lang w:val="en-US" w:eastAsia="zh-CN" w:bidi="ar-SA"/>
              </w:rPr>
              <w:t xml:space="preserve">（7）支持节点监控，包括算力/显存/CPU/内存/磁盘的总量、分配率、利用率。</w:t>
            </w:r>
            <w:bookmarkEnd w:id="8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6" w:name="_Toc30002"/>
            <w:r>
              <w:rPr>
                <w:rFonts w:hint="eastAsia" w:ascii="仿宋_GB2312" w:hAnsi="宋体" w:eastAsia="仿宋_GB2312" w:cs="Times New Roman"/>
                <w:color w:val="000000"/>
                <w:sz w:val="24"/>
                <w:szCs w:val="20"/>
                <w:lang w:val="en-US" w:eastAsia="zh-CN" w:bidi="ar-SA"/>
              </w:rPr>
              <w:t xml:space="preserve">3.支持显卡管理：</w:t>
            </w:r>
            <w:bookmarkEnd w:id="8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7" w:name="_Toc527"/>
            <w:r>
              <w:rPr>
                <w:rFonts w:hint="eastAsia" w:ascii="仿宋_GB2312" w:hAnsi="宋体" w:eastAsia="仿宋_GB2312" w:cs="Times New Roman"/>
                <w:color w:val="000000"/>
                <w:sz w:val="24"/>
                <w:szCs w:val="20"/>
                <w:lang w:val="en-US" w:eastAsia="zh-CN" w:bidi="ar-SA"/>
              </w:rPr>
              <w:t xml:space="preserve">（1）支持单个或者批量开启和关闭算力切分功能，支持查看显卡所属节点，显卡ID，显卡状态，显卡序号，节点组，显卡型号，vGPU个数数分配率，算力分配率，显存分配率。</w:t>
            </w:r>
            <w:bookmarkEnd w:id="8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8" w:name="_Toc3583"/>
            <w:r>
              <w:rPr>
                <w:rFonts w:hint="eastAsia" w:ascii="仿宋_GB2312" w:hAnsi="宋体" w:eastAsia="仿宋_GB2312" w:cs="Times New Roman"/>
                <w:color w:val="000000"/>
                <w:sz w:val="24"/>
                <w:szCs w:val="20"/>
                <w:lang w:val="en-US" w:eastAsia="zh-CN" w:bidi="ar-SA"/>
              </w:rPr>
              <w:t xml:space="preserve">（2）支持单卡或批量关闭/开启算力切分。</w:t>
            </w:r>
            <w:bookmarkEnd w:id="8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9" w:name="_Toc5255"/>
            <w:r>
              <w:rPr>
                <w:rFonts w:hint="eastAsia" w:ascii="仿宋_GB2312" w:hAnsi="宋体" w:eastAsia="仿宋_GB2312" w:cs="Times New Roman"/>
                <w:color w:val="000000"/>
                <w:sz w:val="24"/>
                <w:szCs w:val="20"/>
                <w:lang w:val="en-US" w:eastAsia="zh-CN" w:bidi="ar-SA"/>
              </w:rPr>
              <w:t xml:space="preserve">（3）支持查看显卡上运行的任务及实例列表。</w:t>
            </w:r>
            <w:bookmarkEnd w:id="8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0" w:name="_Toc31765"/>
            <w:r>
              <w:rPr>
                <w:rFonts w:hint="eastAsia" w:ascii="仿宋_GB2312" w:hAnsi="宋体" w:eastAsia="仿宋_GB2312" w:cs="Times New Roman"/>
                <w:color w:val="000000"/>
                <w:sz w:val="24"/>
                <w:szCs w:val="20"/>
                <w:lang w:val="en-US" w:eastAsia="zh-CN" w:bidi="ar-SA"/>
              </w:rPr>
              <w:t xml:space="preserve">（4）支持查看显卡上算力、显存的总量、分配量、使用量。</w:t>
            </w:r>
            <w:bookmarkEnd w:id="9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1" w:name="_Toc9579"/>
            <w:r>
              <w:rPr>
                <w:rFonts w:hint="eastAsia" w:ascii="仿宋_GB2312" w:hAnsi="宋体" w:eastAsia="仿宋_GB2312" w:cs="Times New Roman"/>
                <w:color w:val="000000"/>
                <w:sz w:val="24"/>
                <w:szCs w:val="20"/>
                <w:lang w:val="en-US" w:eastAsia="zh-CN" w:bidi="ar-SA"/>
              </w:rPr>
              <w:t xml:space="preserve">（5）支持显卡监控，包括算力/显存分配率、利用率，显卡功耗和温度；支持英伟达DCGM监控，包括nvlink带宽、PCIE带宽等指标。</w:t>
            </w:r>
            <w:bookmarkEnd w:id="91"/>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 智能体开发平台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 智能体开发平台是智能体快速构建的核心工具，涵盖低代码环境、模型管理、RAG 增强检索、Agent 工作流、集成能力、开发支持与工具六大功能模块，支持无代码 / 低代码人员高效开发智能体，同时满足多模型适配、知识库关联及行内系统集成需求。具体内容如下：</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70"/>
        <w:gridCol w:w="1683"/>
        <w:gridCol w:w="6609"/>
      </w:tblGrid>
      <w:tr>
        <w:trPr/>
        <w:tc>
          <w:tcPr>
            <w:tcBorders/>
            <w:tcW w:w="7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432"/>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低代码环境</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提供可视化拖拽式界面，支持无代码/低代码人员配置智能体；支持自定义节点开发（节点可复用分享）；提供实时预览功能；</w:t>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模型管理</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支持多模型适配切换（切换无需重开发）；提供金融领域微调模板；推理部署可一键生成 API 服务；实时监控模型性能，异常时自动报警；支持接入DeepSeek、文心、千问、星火等主流大模型以及词嵌入模型、重排序模型、意图识别模型、多模态模型（如OCR、NLP、ASR、TTS）等小模型的接入管理，支持统一的接入方式（兼容 OpenAI规范），支持模型路由和流量控制，支持图形化模型参数配置；</w:t>
            </w:r>
            <w:r>
              <w:rPr>
                <w:rFonts w:hint="eastAsia" w:ascii="仿宋_GB2312" w:hAnsi="宋体" w:eastAsia="仿宋_GB2312" w:cs="Times New Roman"/>
                <w:color w:val="000000"/>
                <w:sz w:val="24"/>
                <w:szCs w:val="20"/>
                <w:lang w:val="en-US" w:eastAsia="zh-CN" w:bidi="ar-SA"/>
              </w:rPr>
            </w:r>
          </w:p>
        </w:tc>
      </w:tr>
      <w:tr>
        <w:trPr>
          <w:trHeight w:val="1025"/>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RAG增强检索</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内置RAG引擎，关联企业级私有知识库、外部合规数据库，支持插件化接入第三方知识库；支持多模式检索，可自定义检索规则；基于检索结果生成内容并标注来源，检索相关性不足时自动二次检索；</w:t>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2" w:name="_Toc8162"/>
            <w:r>
              <w:rPr>
                <w:rFonts w:hint="eastAsia" w:ascii="仿宋_GB2312" w:hAnsi="宋体" w:eastAsia="仿宋_GB2312" w:cs="Times New Roman"/>
                <w:color w:val="000000"/>
                <w:sz w:val="24"/>
                <w:szCs w:val="20"/>
                <w:lang w:val="en-US" w:eastAsia="zh-CN" w:bidi="ar-SA"/>
              </w:rPr>
              <w:t xml:space="preserve">4</w:t>
            </w:r>
            <w:bookmarkEnd w:id="92"/>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3" w:name="_Toc23349"/>
            <w:r>
              <w:rPr>
                <w:rFonts w:hint="eastAsia" w:ascii="仿宋_GB2312" w:hAnsi="宋体" w:eastAsia="仿宋_GB2312" w:cs="Times New Roman"/>
                <w:color w:val="000000"/>
                <w:sz w:val="24"/>
                <w:szCs w:val="20"/>
                <w:lang w:val="en-US" w:eastAsia="zh-CN" w:bidi="ar-SA"/>
              </w:rPr>
              <w:t xml:space="preserve">Agent工作流</w:t>
            </w:r>
            <w:bookmarkEnd w:id="93"/>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4" w:name="_Toc6842"/>
            <w:r>
              <w:rPr>
                <w:rFonts w:hint="eastAsia" w:ascii="仿宋_GB2312" w:hAnsi="宋体" w:eastAsia="仿宋_GB2312" w:cs="Times New Roman"/>
                <w:color w:val="000000"/>
                <w:sz w:val="24"/>
                <w:szCs w:val="20"/>
                <w:lang w:val="en-US" w:eastAsia="zh-CN" w:bidi="ar-SA"/>
              </w:rPr>
              <w:t xml:space="preserve">支持Agent角色定义；支持多类型流程设计，保留流程版本快照；支持调用行内系统API及第三方工具函数；支持多轮对话上下文记忆；</w:t>
            </w:r>
            <w:bookmarkEnd w:id="94"/>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5" w:name="_Toc31331"/>
            <w:r>
              <w:rPr>
                <w:rFonts w:hint="eastAsia" w:ascii="仿宋_GB2312" w:hAnsi="宋体" w:eastAsia="仿宋_GB2312" w:cs="Times New Roman"/>
                <w:color w:val="000000"/>
                <w:sz w:val="24"/>
                <w:szCs w:val="20"/>
                <w:lang w:val="en-US" w:eastAsia="zh-CN" w:bidi="ar-SA"/>
              </w:rPr>
              <w:t xml:space="preserve">5</w:t>
            </w:r>
            <w:bookmarkEnd w:id="95"/>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6" w:name="_Toc26796"/>
            <w:r>
              <w:rPr>
                <w:rFonts w:hint="eastAsia" w:ascii="仿宋_GB2312" w:hAnsi="宋体" w:eastAsia="仿宋_GB2312" w:cs="Times New Roman"/>
                <w:color w:val="000000"/>
                <w:sz w:val="24"/>
                <w:szCs w:val="20"/>
                <w:lang w:val="en-US" w:eastAsia="zh-CN" w:bidi="ar-SA"/>
              </w:rPr>
              <w:t xml:space="preserve">集成能力</w:t>
            </w:r>
            <w:bookmarkEnd w:id="96"/>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7" w:name="_Toc32308"/>
            <w:r>
              <w:rPr>
                <w:rFonts w:hint="eastAsia" w:ascii="仿宋_GB2312" w:hAnsi="宋体" w:eastAsia="仿宋_GB2312" w:cs="Times New Roman"/>
                <w:color w:val="000000"/>
                <w:sz w:val="24"/>
                <w:szCs w:val="20"/>
                <w:lang w:val="en-US" w:eastAsia="zh-CN" w:bidi="ar-SA"/>
              </w:rPr>
              <w:t xml:space="preserve">与数据中台、MCP（ESB）系统深度对接，获取行内数据；将 AI 能力封装为标准化组件供其他系统调用；建立AI能力组件库并按业务领域、功能类型分类；</w:t>
            </w:r>
            <w:bookmarkEnd w:id="97"/>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8" w:name="_Toc17379"/>
            <w:r>
              <w:rPr>
                <w:rFonts w:hint="eastAsia" w:ascii="仿宋_GB2312" w:hAnsi="宋体" w:eastAsia="仿宋_GB2312" w:cs="Times New Roman"/>
                <w:color w:val="000000"/>
                <w:sz w:val="24"/>
                <w:szCs w:val="20"/>
                <w:lang w:val="en-US" w:eastAsia="zh-CN" w:bidi="ar-SA"/>
              </w:rPr>
              <w:t xml:space="preserve">6</w:t>
            </w:r>
            <w:bookmarkEnd w:id="98"/>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9" w:name="_Toc10672"/>
            <w:r>
              <w:rPr>
                <w:rFonts w:hint="eastAsia" w:ascii="仿宋_GB2312" w:hAnsi="宋体" w:eastAsia="仿宋_GB2312" w:cs="Times New Roman"/>
                <w:color w:val="000000"/>
                <w:sz w:val="24"/>
                <w:szCs w:val="20"/>
                <w:lang w:val="en-US" w:eastAsia="zh-CN" w:bidi="ar-SA"/>
              </w:rPr>
              <w:t xml:space="preserve">开发支持与工具</w:t>
            </w:r>
            <w:bookmarkEnd w:id="99"/>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0" w:name="_Toc13990"/>
            <w:r>
              <w:rPr>
                <w:rFonts w:hint="eastAsia" w:ascii="仿宋_GB2312" w:hAnsi="宋体" w:eastAsia="仿宋_GB2312" w:cs="Times New Roman"/>
                <w:color w:val="000000"/>
                <w:sz w:val="24"/>
                <w:szCs w:val="20"/>
                <w:lang w:val="en-US" w:eastAsia="zh-CN" w:bidi="ar-SA"/>
              </w:rPr>
              <w:t xml:space="preserve">提供多语言SDK工具包及API接口文档；提供可视化调试工具，流程失败时自动标注错误节点及解决方案；支持自动化测试（模拟用户交互场景）；</w:t>
            </w:r>
            <w:bookmarkEnd w:id="100"/>
            <w:r/>
            <w:r>
              <w:rPr>
                <w:rFonts w:hint="eastAsia" w:ascii="仿宋_GB2312" w:hAnsi="宋体" w:eastAsia="仿宋_GB2312" w:cs="Times New Roman"/>
                <w:color w:val="000000"/>
                <w:sz w:val="24"/>
                <w:szCs w:val="20"/>
                <w:lang w:val="en-US" w:eastAsia="zh-CN" w:bidi="ar-SA"/>
              </w:rPr>
            </w:r>
          </w:p>
        </w:tc>
      </w:tr>
      <w:tr>
        <w:trPr>
          <w:trHeight w:val="444"/>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1" w:name="_Toc27618"/>
            <w:r>
              <w:rPr>
                <w:rFonts w:hint="eastAsia" w:ascii="仿宋_GB2312" w:hAnsi="宋体" w:eastAsia="仿宋_GB2312" w:cs="Times New Roman"/>
                <w:color w:val="000000"/>
                <w:sz w:val="24"/>
                <w:szCs w:val="20"/>
                <w:lang w:val="en-US" w:eastAsia="zh-CN" w:bidi="ar-SA"/>
              </w:rPr>
              <w:t xml:space="preserve">7</w:t>
            </w:r>
            <w:bookmarkEnd w:id="101"/>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2" w:name="_Toc12874"/>
            <w:r>
              <w:rPr>
                <w:rFonts w:hint="eastAsia" w:ascii="仿宋_GB2312" w:hAnsi="宋体" w:eastAsia="仿宋_GB2312" w:cs="Times New Roman"/>
                <w:color w:val="000000"/>
                <w:sz w:val="24"/>
                <w:szCs w:val="20"/>
                <w:lang w:val="en-US" w:eastAsia="zh-CN" w:bidi="ar-SA"/>
              </w:rPr>
              <w:t xml:space="preserve">提示词工程</w:t>
            </w:r>
            <w:bookmarkEnd w:id="102"/>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3" w:name="_Toc32109"/>
            <w:r>
              <w:rPr>
                <w:rFonts w:hint="eastAsia" w:ascii="仿宋_GB2312" w:hAnsi="宋体" w:eastAsia="仿宋_GB2312" w:cs="Times New Roman"/>
                <w:color w:val="000000"/>
                <w:sz w:val="24"/>
                <w:szCs w:val="20"/>
                <w:lang w:val="en-US" w:eastAsia="zh-CN" w:bidi="ar-SA"/>
              </w:rPr>
              <w:t xml:space="preserve">平台内置丰富的提示词模版，支持自定义提示词、自动优化提示词、引入提示词模板；</w:t>
            </w:r>
            <w:bookmarkEnd w:id="103"/>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4" w:name="_Toc3812"/>
            <w:r>
              <w:rPr>
                <w:rFonts w:hint="eastAsia" w:ascii="仿宋_GB2312" w:hAnsi="宋体" w:eastAsia="仿宋_GB2312" w:cs="Times New Roman"/>
                <w:color w:val="000000"/>
                <w:sz w:val="24"/>
                <w:szCs w:val="20"/>
                <w:lang w:val="en-US" w:eastAsia="zh-CN" w:bidi="ar-SA"/>
              </w:rPr>
              <w:t xml:space="preserve">8</w:t>
            </w:r>
            <w:bookmarkEnd w:id="104"/>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5" w:name="_Toc22542"/>
            <w:r>
              <w:rPr>
                <w:rFonts w:hint="eastAsia" w:ascii="仿宋_GB2312" w:hAnsi="宋体" w:eastAsia="仿宋_GB2312" w:cs="Times New Roman"/>
                <w:color w:val="000000"/>
                <w:sz w:val="24"/>
                <w:szCs w:val="20"/>
                <w:lang w:val="en-US" w:eastAsia="zh-CN" w:bidi="ar-SA"/>
              </w:rPr>
              <w:t xml:space="preserve">安全监控及日志统计</w:t>
            </w:r>
            <w:bookmarkEnd w:id="105"/>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6" w:name="_Toc16719"/>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支持对不同模型、智能体进行流量控制，防止过度调用导致算力阻塞；</w:t>
            </w:r>
            <w:bookmarkEnd w:id="106"/>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 知识库管理平台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工程平台作为AI中台体系的智能化知识中枢工具，能够统一管理和查询各类知识资源，将行内知识库和外部采购的三方知识库进行统一纳管，构建全行级知识库，实现多模态数据的结构化管理和智能化应用，为业务场景提供精准的知识支撑与智能交互能力，提升知识获取效率，提高AI应用的准确性和可靠性，为业务人员提供便捷化、高效化、稳定化、社区化的一键式知识上传、管理、问答功能。</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428"/>
        <w:gridCol w:w="6897"/>
      </w:tblGrid>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6897"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1324"/>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知识库构建</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文档分段及自动清洗；提供标准API支持文档增删改查；提供知识库多级分类、文档标签及多模态数据管理等功能，支持不同类型大文件的批量上传、预览和多方式解析，支持多种类型数据库接入，支持重复性检查支持多方式文件导入（本地上传、在线导入），支持多格式文档转换处理；</w:t>
            </w:r>
            <w:r>
              <w:rPr>
                <w:rFonts w:hint="eastAsia" w:ascii="仿宋_GB2312" w:hAnsi="宋体" w:eastAsia="仿宋_GB2312" w:cs="Times New Roman"/>
                <w:color w:val="000000"/>
                <w:sz w:val="24"/>
                <w:szCs w:val="20"/>
                <w:lang w:val="en-US" w:eastAsia="zh-CN" w:bidi="ar-SA"/>
              </w:rPr>
            </w:r>
          </w:p>
        </w:tc>
      </w:tr>
      <w:tr>
        <w:trPr>
          <w:trHeight w:val="312"/>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检索设置</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支持多模式检索（高质量模式、经济模式）；支持向量/全文/混合检索；可配置检索参数；支持 Rerank 模型二次排序检索结果；</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知识处理</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满足不同类型指示下的自动、手动解析及切片方式，可查看编辑各文档的切片信息，支持知识召回测试和命中测试，可设置检索策略及重排序策略、扩展上下文信息；</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知识库管理</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支持多独立知识库实例及知识库群组绑定；支持文档批量操作（上传、编辑、删除、启用、禁用）；自动提取内置元数据，支持自定义元数据；划分多角色权限（管理员、编辑者、查看者）；</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知识应用</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 Agent 配置知识库检索，生成内容标注来源；对接现有数据库，实现结构化检索；实时监控检索相关指标，超阈值告警；记录相关日志，支持违禁语脱敏；可视化展示知识库、应用、组织关系；</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知识服务</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外部知识服务接口，支持API调用、网站嵌入、web网页分享等，与智能体开发平台打通，支持智能体开发过程使用平台原子能力、引用知识库内容。支持同步获取知识管理平台向量数据，支持将同步选择多个知识库作为智能体组件之一进行智能体开发；</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调试与评估</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支持模拟查询，展示不同检索方法/参数的召回结果；开启引用标注，支持跳转至对应片段；</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 AI应用中心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模块组成简要说明：AI应用中心是 AI 能力与智能体的集中展示、管理与访问入口，包含驾驶舱、智能体大厅、智能体管理、账号管理、RAG知识库管理五个子模块，实现数据监控可视化、智能体分类访问、权限精细化管控及知识库统一管理，支撑全行AI应用的高效落地。具体内容如下：</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704"/>
        <w:gridCol w:w="1740"/>
        <w:gridCol w:w="4881"/>
      </w:tblGrid>
      <w:tr>
        <w:trPr>
          <w:trHeight w:val="641"/>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704"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488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驾驶舱</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图表展示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支持多种图表类型，呈现算力、智能体调用量等数据；支持个性化定制（匹配银行VI、维度筛选）；交互响应及时，关键指标更新高效；</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报表展示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提供多类报表模板（中台运行、业务应用类）；支持多种格式导出（带内部水印）；支持在线编辑报表并保存模板；支持定时推送报表，可查询推送日志；</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异常预警</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配置中台及业务指标阈值，支持逻辑组合；触发预警时多渠道提醒；保留历史预警记录，规则调整生效及时；</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智能体大厅</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业务分类</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按核心业务领域分类，支持二级分类及自定义调整；统计各分类智能体使用数据，生成趋势报表；支持关键词搜索，结果按匹配度及使用频率排序；</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聊天智能体</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对接私有知识库，支持文本/语音咨询；支持多轮对话及上下文记忆；定期基于用户评价优化模型；支持英文基础对话；</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表单智能体</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拖拽组件搭建表单（设必填项、格式校验）并保存模板；支持多格式文件上传；统计表单相关数据，生成数据质量报告并导出；</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组件库集成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包含多类型功能组件；支持自定义组件开发；按类型/适用场景筛选组件，显示使用率与评分；</w:t>
            </w:r>
            <w:r>
              <w:rPr>
                <w:rFonts w:hint="eastAsia" w:ascii="仿宋_GB2312" w:hAnsi="宋体" w:eastAsia="仿宋_GB2312" w:cs="Times New Roman"/>
                <w:color w:val="000000"/>
                <w:sz w:val="24"/>
                <w:szCs w:val="20"/>
                <w:lang w:val="en-US" w:eastAsia="zh-CN" w:bidi="ar-SA"/>
              </w:rPr>
            </w:r>
          </w:p>
        </w:tc>
      </w:tr>
      <w:tr>
        <w:trPr/>
        <w:tc>
          <w:tcPr>
            <w:tcBorders/>
            <w:tcW w:w="737"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top"/>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一键创建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填写关键信息即可创建智能体，可修改参数并保存模板；提供创建向导、帮助文档及在线咨询；支持智能体预览；</w:t>
            </w:r>
            <w:r>
              <w:rPr>
                <w:rFonts w:hint="eastAsia" w:ascii="仿宋_GB2312" w:hAnsi="宋体" w:eastAsia="仿宋_GB2312" w:cs="Times New Roman"/>
                <w:color w:val="000000"/>
                <w:sz w:val="24"/>
                <w:szCs w:val="20"/>
                <w:lang w:val="en-US" w:eastAsia="zh-CN" w:bidi="ar-SA"/>
              </w:rPr>
            </w:r>
          </w:p>
        </w:tc>
      </w:tr>
      <w:tr>
        <w:trPr>
          <w:trHeight w:val="78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账号管理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组织架构</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搭建全行组织架构，支持增删改及批量导入；树形可视化展示，支持节点搜索；调整架构生成变更日志，权限自动同步；导出文件加密，共享时验证权限；</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人员账号管理</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支持账号全生命周期管理，操作留痕；支持批量操作（重置密码、调整组织、停用账号）；保留登录/操作日志；配置安全规则，支持手机验证码登录；</w:t>
            </w:r>
            <w:r>
              <w:rPr>
                <w:rFonts w:hint="eastAsia" w:ascii="仿宋_GB2312" w:hAnsi="宋体" w:eastAsia="仿宋_GB2312" w:cs="Times New Roman"/>
                <w:color w:val="000000"/>
                <w:sz w:val="24"/>
                <w:szCs w:val="20"/>
                <w:lang w:val="en-US" w:eastAsia="zh-CN" w:bidi="ar-SA"/>
              </w:rPr>
            </w:r>
          </w:p>
        </w:tc>
      </w:tr>
      <w:tr>
        <w:trPr>
          <w:trHeight w:val="90"/>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人员权限管理</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按“架构 + 角色”分配权限（含功能及数据范围）；支持权限审批，状态实时同步；支持角色权限继承，岗位变动时权限自动更新并保留记录；</w:t>
            </w:r>
            <w:r>
              <w:rPr>
                <w:rFonts w:hint="eastAsia" w:ascii="仿宋_GB2312" w:hAnsi="宋体" w:eastAsia="仿宋_GB2312" w:cs="Times New Roman"/>
                <w:color w:val="000000"/>
                <w:sz w:val="24"/>
                <w:szCs w:val="20"/>
                <w:lang w:val="en-US" w:eastAsia="zh-CN" w:bidi="ar-SA"/>
              </w:rPr>
            </w:r>
          </w:p>
        </w:tc>
      </w:tr>
      <w:tr>
        <w:trPr>
          <w:trHeight w:val="45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RAG知识库管理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数据关联</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内置RAG引擎，支持关联企业级私有知识库、外部合规数据库，并可插件化接入第三方知识库；</w:t>
            </w:r>
            <w:r>
              <w:rPr>
                <w:rFonts w:hint="eastAsia" w:ascii="仿宋_GB2312" w:hAnsi="宋体" w:eastAsia="仿宋_GB2312" w:cs="Times New Roman"/>
                <w:color w:val="000000"/>
                <w:sz w:val="24"/>
                <w:szCs w:val="20"/>
                <w:lang w:val="en-US" w:eastAsia="zh-CN" w:bidi="ar-SA"/>
              </w:rPr>
            </w:r>
          </w:p>
        </w:tc>
      </w:tr>
      <w:tr>
        <w:trPr>
          <w:trHeight w:val="511"/>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多模式检索</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支持多模式检索（如高质量模式、经济模式），允许用户自定义检索规则（如关键词权重、语义相似度阈值等）。</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检索溯源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基于检索结果生成内容时自动标注来源（如文档章节、数据库条目），若检索相关性不足，系统将自动触发二次检索以优化结果。</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其他</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安全监控及日志统计</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系统集成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AI应用中心与智能体开发平台、知识库管理平台深度集成，支持行内相关系统的对接，如统一用户安全登录平台、协同办公系统等；</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 智能触客中心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模块组成简要说明：支持多种智能触客方式，支持基本信息管理、分级管理、分组管理，展示多维度服务交互情况；展示资费详情，支持多规则服务任务创建；支持关怀短信发送；支持服务质检及情绪识别。</w:t>
      </w:r>
      <w:r>
        <w:rPr>
          <w:rFonts w:hint="eastAsia" w:ascii="仿宋_GB2312" w:hAnsi="宋体" w:eastAsia="仿宋_GB2312" w:cs="Times New Roman"/>
          <w:color w:val="000000"/>
          <w:sz w:val="24"/>
          <w:szCs w:val="20"/>
          <w:lang w:val="en-US" w:eastAsia="zh-CN" w:bidi="ar-SA"/>
        </w:rPr>
      </w:r>
    </w:p>
    <w:tbl>
      <w:tblPr>
        <w:tblStyle w:val="706"/>
        <w:tblInd w:w="9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2"/>
        <w:gridCol w:w="930"/>
        <w:gridCol w:w="1290"/>
        <w:gridCol w:w="6110"/>
      </w:tblGrid>
      <w:tr>
        <w:trPr>
          <w:trHeight w:val="556"/>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90"/>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要求支撑至少300人同时使用；</w:t>
            </w:r>
            <w:r>
              <w:rPr>
                <w:rFonts w:hint="eastAsia" w:ascii="仿宋_GB2312" w:hAnsi="宋体" w:eastAsia="仿宋_GB2312" w:cs="Times New Roman"/>
                <w:color w:val="000000"/>
                <w:sz w:val="24"/>
                <w:szCs w:val="20"/>
                <w:lang w:val="en-US" w:eastAsia="zh-CN" w:bidi="ar-SA"/>
              </w:rPr>
            </w:r>
          </w:p>
        </w:tc>
      </w:tr>
      <w:tr>
        <w:trPr>
          <w:trHeight w:val="1474"/>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触达功能</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联络提醒</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弹窗提醒：工作台需要提供弹窗提醒功能，展示客户信息；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响铃提醒：工作台需提供振铃提醒功能；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3.支持联系计划和联系计划提醒：平台需提供联系计划功能，方便员工记录与某客户的后续联系计划并提供备忘录，同时提供联系计划到期提醒功能，避免错过约定时间；</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触客过程处理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支持联络转移及相关基础功能功能：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转接：通过转接功能，支持平台内部转和平台外部转；</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咨询：支持平台内部咨询功能，方便员工在触客过程中做问题咨询；</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3.三方会商：支持三方通信功能；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员工管理</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账号管理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支持账号管理基础功能：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1.员工账号管理：提供组长管理功能，包括但不限于创建、修改、停用、删除等操作；</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2.账号权限配置：提供账号权限配置功能，不同权限账号配置不同角色，控制不同的访问权限和操作权限；</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员工状态监控</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支持员工状态监控功能：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状态配置：提供状态配置功能，状态应包含但不限于在线、忙碌、离线、小休等；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状态切换：支持状态手动切换功能，可根据自身情况自主进行状态切换；</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3.状态监控：提供状态监控功能，平台监控展示员工状态；</w:t>
            </w:r>
            <w:r>
              <w:rPr>
                <w:rFonts w:hint="eastAsia" w:ascii="仿宋_GB2312" w:hAnsi="宋体" w:eastAsia="仿宋_GB2312" w:cs="Times New Roman"/>
                <w:color w:val="000000"/>
                <w:sz w:val="24"/>
                <w:szCs w:val="20"/>
                <w:lang w:val="en-US" w:eastAsia="zh-CN" w:bidi="ar-SA"/>
              </w:rPr>
            </w:r>
          </w:p>
        </w:tc>
      </w:tr>
      <w:tr>
        <w:trPr>
          <w:trHeight w:val="387"/>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工作台</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提供工作台相关功能：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1.主界面：包括工具条、触客、触客计划、企业通知、个人待办、统计等；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2.客户信息：工作台应具备客户信息展示功能，包含但不限于客户信息添加、修改、一键触客等功能；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3.触达记录：工作台应提供记录功能，包含但不限于当日记录、历史记录、记录详情、录音播放下载等功能；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客户信息管理</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客户资料管理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提供客户信息管理功能：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1.客户资料管理：提供客户资料管理功能，包含但不限于客户信息录入、查询、修改、删除等操作，客户资料内容包含但不限于客户姓名、联系方式、住址、所属公司/单位等；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2.客户记录：提供客户沟通记录查询和客户一键触客功能；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客户打标</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提供客户打标功能：平台应具备客户信息打标功能，支持自定义标签；</w:t>
            </w:r>
            <w:r>
              <w:rPr>
                <w:rFonts w:hint="eastAsia" w:ascii="仿宋_GB2312" w:hAnsi="宋体" w:eastAsia="仿宋_GB2312" w:cs="Times New Roman"/>
                <w:color w:val="000000"/>
                <w:sz w:val="24"/>
                <w:szCs w:val="20"/>
                <w:lang w:val="en-US" w:eastAsia="zh-CN" w:bidi="ar-SA"/>
              </w:rPr>
            </w:r>
          </w:p>
        </w:tc>
      </w:tr>
      <w:tr>
        <w:trPr>
          <w:trHeight w:val="697"/>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触达任务模式</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预测试</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提供预测试任务发起功能：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1.任务导入：平台应具备触达清单导入功能；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2.策略配置：触达任务支持策略配置，策略内容包含但不限于任务数据有效期、归属技能组、网关、并发量等相关信息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3.自动触客：平台根据策略选择自动发起触客，并实现自动分配服务人员；</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预览式</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提供预览式功能：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任务导入：平台应具备清单导入功能；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分配规则：平台应提供任务分配规则选择，分配规则应支持多人平均分配；</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3.一键触客：平台应提供任务一键触客功能；</w:t>
            </w:r>
            <w:r>
              <w:rPr>
                <w:rFonts w:hint="eastAsia" w:ascii="仿宋_GB2312" w:hAnsi="宋体" w:eastAsia="仿宋_GB2312" w:cs="Times New Roman"/>
                <w:color w:val="000000"/>
                <w:sz w:val="24"/>
                <w:szCs w:val="20"/>
                <w:lang w:val="en-US" w:eastAsia="zh-CN" w:bidi="ar-SA"/>
              </w:rPr>
            </w:r>
          </w:p>
        </w:tc>
      </w:tr>
      <w:tr>
        <w:trPr>
          <w:trHeight w:val="861"/>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能力接口开放</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开放接口</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平台应具备APP/小程序接口赋能功能：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平台提供接口或嵌入形式实现为APP/小程序赋能，通过移动端发起触客；</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通知预警接口</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通知接口根据参数传输可客户联络信息、播报内容信息，实现指定渠道，将参数中文本内容转成语音，并播报给客户；</w:t>
            </w:r>
            <w:r>
              <w:rPr>
                <w:rFonts w:hint="eastAsia" w:ascii="仿宋_GB2312" w:hAnsi="宋体" w:eastAsia="仿宋_GB2312" w:cs="Times New Roman"/>
                <w:color w:val="000000"/>
                <w:sz w:val="24"/>
                <w:szCs w:val="20"/>
                <w:lang w:val="en-US" w:eastAsia="zh-CN" w:bidi="ar-SA"/>
              </w:rPr>
            </w:r>
          </w:p>
        </w:tc>
      </w:tr>
      <w:tr>
        <w:trPr>
          <w:trHeight w:val="758"/>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触客记录查询</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平台应提供触客记录功能：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1.记录存储：平台应存储全部的沟通信息；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2.历史数据留存：平台应具备历史记录留存和查询功能；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录音播放下载</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平台应提供录音相关功能：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录音留存：平台应保存通过录音，并提供查询提取功能；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2.录音播放下载：平台应提供录音的播放、下载功能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统计报表</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数据分析</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平台应具备多维度统计报表，包括但不限于触客量（日/ 周/月）、接通率、平均时长、工作量、客户满意度等；</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业务监控</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平台业务监控</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平台应具备业务监控功能: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1.业务监控：平台应具备业务监控功能，监控内容包含单不限于当日工作、接通率、振铃时长等相关内容，并提供图标展示；</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2.监控：平台应具备技能组状态监控功能，监控内容包含但不限于各状态的员工数量（如空闲、工作、离线等），同时提供对员工的监听、强拆、强插、强踢等操作。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智能触客</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任务创建与配置</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支持创建催收、产品营销、服务通知等多类型触客任务，可配置任务时间窗、重试策略（忙线/无人接时自动重试次数、间隔）、话术模板（支持文本/语音模板自定义，可插入客户姓名、业务信息等变量）；</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话术交互（FAQ）</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集成 ASR（语音识别）与 TTS（语音合成）能力，支持多轮智能对话，可识别客户意图并自动触发对应流程，具备投诉预警识别功能，当检测客户情绪过激时自动调整话术或暂停任务；</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任务监控与分析</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展示任务进度（已完成量、待触达量、接通率）、关键指标（意向客户数、拒绝率、平均时长），支持按任务维度、时间段筛选数据；自动生成智能触客分析报表，包含任务效果评估、客户反馈分类统计，报表可导出；</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智能质检</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质检规则配置质检规则配置</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支持按业务场景（如营销、客服）自定义质检维度（话术合规、服务态度、信息准确性等），设置评分标准及权重，规则可灵活调整并保存模板；</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自动化质检</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 AI 技术对录音进行全量质检，识别违规内容（如敏感词、话术遗漏）并标注，生成质检初步结果；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人工复检</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支持人工抽查或对自动化质检存疑的录音进行复检，可标注复检意见，修正质检结果；支持人工抽查或对自动化质检存疑的录音进行复检，可标注复检意见，修正质检结果；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质检结果应用</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自动生成质检评分报表，支持质检结果对外反馈、跟踪；</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 多模态模型应用工具</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模块组成简要说明：聚焦多类型数据的 AI 处理能力，包含 OCR 应用工具、语音处理工具、文档解析工具三大模块，分别实现图像识别提取、语音转写合成、文档结构化解析，为各业务场景提供非结构化数据处理支撑，提升信息提取效率与准确性。</w:t>
      </w:r>
      <w:r>
        <w:rPr>
          <w:rFonts w:hint="eastAsia" w:ascii="仿宋_GB2312" w:hAnsi="宋体" w:eastAsia="仿宋_GB2312" w:cs="Times New Roman"/>
          <w:color w:val="000000"/>
          <w:sz w:val="24"/>
          <w:szCs w:val="20"/>
          <w:lang w:val="en-US" w:eastAsia="zh-CN" w:bidi="ar-SA"/>
        </w:rPr>
      </w:r>
    </w:p>
    <w:tbl>
      <w:tblPr>
        <w:tblStyle w:val="706"/>
        <w:tblInd w:w="235" w:type="dxa"/>
        <w:tblW w:w="8827"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43"/>
        <w:gridCol w:w="1002"/>
        <w:gridCol w:w="1332"/>
        <w:gridCol w:w="5750"/>
      </w:tblGrid>
      <w:tr>
        <w:trPr/>
        <w:tc>
          <w:tcPr>
            <w:tcBorders/>
            <w:tcW w:w="743"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00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33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002" w:type="dxa"/>
            <w:vAlign w:val="center"/>
            <w:vMerge w:val="restart"/>
            <w:noWrap w:val="false"/>
          </w:tcPr>
          <w:p>
            <w:pPr>
              <w:pBdr/>
              <w:spacing w:line="360" w:lineRule="auto"/>
              <w:ind w:firstLine="480"/>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模态模型应用工具</w:t>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OCR 应用工具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人像识别：支持多格式图像，用于身份核验；通用 OCR：支持印刷体/手写体识别，多语言覆盖，提取合同/表单/票据文字；身份证 OCR：识别身份证核心信息，对接客户系统核验，结果可导出；营业执照 OCR：识别企业关键信息，兼容多类型执照，提供服务接口。</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语音处理工具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语音识别：支持多语言，支持实时处理及离线音频处理，支持文本编辑标注；语音合成：提供多类基础音色，支持语速/音调调整，输出多格式音频，支持批量合成，提供质量评分，提供服务接口。</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文档解析工具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PDF 解析：提取文本/表格/图片，支持加密解密，表格可导出，保留原格式，同步至知识库；Word 解析：提取文字/段落/表格/图片，保留样式并转换格式，支持在线编辑后重新生成 Word；Excel 解析：提取数据/公式/格式，批量导入数据中台，支持加密解密，按sheet导出，记录修改日志，提供服务接口。</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7" w:name="OLE_LINK13"/>
      <w:r/>
      <w:bookmarkStart w:id="108" w:name="OLE_LINK14"/>
      <w:r>
        <w:rPr>
          <w:rFonts w:hint="eastAsia" w:ascii="仿宋_GB2312" w:hAnsi="宋体" w:eastAsia="仿宋_GB2312" w:cs="Times New Roman"/>
          <w:color w:val="000000"/>
          <w:sz w:val="24"/>
          <w:szCs w:val="20"/>
          <w:lang w:val="en-US" w:eastAsia="zh-CN" w:bidi="ar-SA"/>
        </w:rPr>
        <w:t xml:space="preserve">7 AI智能体</w:t>
      </w:r>
      <w:bookmarkEnd w:id="107"/>
      <w:bookmarkEnd w:id="108"/>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7.1运营管理助手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模块组成简要说明：运营管理助手聚焦银行日常运营效率提升，包含自动化任务处理、业务咨询与辅助两大功能模块，覆盖账户管理、账务处理、工单处理等核心运营场景，通过 AI 自动化替代重复性工作，并提供实时业务咨询与操作指导，减轻基层工作负担。具体内容及响应格式如下：</w:t>
      </w:r>
      <w:r>
        <w:rPr>
          <w:rFonts w:hint="eastAsia" w:ascii="仿宋_GB2312" w:hAnsi="宋体" w:eastAsia="仿宋_GB2312" w:cs="Times New Roman"/>
          <w:color w:val="000000"/>
          <w:sz w:val="24"/>
          <w:szCs w:val="20"/>
          <w:lang w:val="en-US" w:eastAsia="zh-CN" w:bidi="ar-SA"/>
        </w:rPr>
      </w:r>
    </w:p>
    <w:tbl>
      <w:tblPr>
        <w:tblStyle w:val="701"/>
        <w:tblInd w:w="62" w:type="dxa"/>
        <w:tblW w:w="9024"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5"/>
        <w:gridCol w:w="753"/>
        <w:gridCol w:w="984"/>
        <w:gridCol w:w="6542"/>
      </w:tblGrid>
      <w:tr>
        <w:trPr/>
        <w:tc>
          <w:tcPr>
            <w:tcBorders/>
            <w:tcMar>
              <w:left w:w="120" w:type="dxa"/>
              <w:top w:w="60" w:type="dxa"/>
              <w:right w:w="120" w:type="dxa"/>
              <w:bottom w:w="30" w:type="dxa"/>
            </w:tcMar>
            <w:tcW w:w="745"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运营管理助手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自动化任务处理</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账户管理：提供合规性校验、信息维护、注销审核功能；账务处理：支持自动核对（差异自动生成报告）、自动记账；工单处理：实现自动分类、派单、回复，提升自动化处理率；</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业务咨询与辅助</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实时问答：整合知识库，支持文本/语音咨询，无法回答时转人工；操作指导：生成 step-by-step 指引（含截图），实时推送；业务提醒：自定义提醒规则，多方式推送提醒；</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9" w:name="OLE_LINK9"/>
      <w:r/>
      <w:bookmarkStart w:id="110" w:name="OLE_LINK10"/>
      <w:r>
        <w:rPr>
          <w:rFonts w:hint="eastAsia" w:ascii="仿宋_GB2312" w:hAnsi="宋体" w:eastAsia="仿宋_GB2312" w:cs="Times New Roman"/>
          <w:color w:val="000000"/>
          <w:sz w:val="24"/>
          <w:szCs w:val="20"/>
          <w:lang w:val="en-US" w:eastAsia="zh-CN" w:bidi="ar-SA"/>
        </w:rPr>
        <w:t xml:space="preserve">7.2法律法规助手</w:t>
      </w:r>
      <w:bookmarkEnd w:id="109"/>
      <w:bookmarkEnd w:id="110"/>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模块组成简要说明：法律法规助手是银行合规管理的 AI 支撑工具，包含法规服务能力、合同审查功能、合规辅助与培训三大模块，实现金融法规整合更新、多维度检索解读、合同合规风险自动识别，以及合规检查与培训自动化，保障业务合规运营。具体内容及响应格式如下：</w:t>
      </w:r>
      <w:r>
        <w:rPr>
          <w:rFonts w:hint="eastAsia" w:ascii="仿宋_GB2312" w:hAnsi="宋体" w:eastAsia="仿宋_GB2312" w:cs="Times New Roman"/>
          <w:color w:val="000000"/>
          <w:sz w:val="24"/>
          <w:szCs w:val="20"/>
          <w:lang w:val="en-US" w:eastAsia="zh-CN" w:bidi="ar-SA"/>
        </w:rPr>
      </w:r>
    </w:p>
    <w:tbl>
      <w:tblPr>
        <w:tblStyle w:val="701"/>
        <w:jc w:val="center"/>
        <w:tblInd w:w="965" w:type="dxa"/>
        <w:tblW w:w="8681" w:type="dxa"/>
        <w:tblCellMar>
          <w:left w:w="128" w:type="dxa"/>
          <w:top w:w="80" w:type="dxa"/>
          <w:right w:w="128" w:type="dxa"/>
          <w:bottom w:w="8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4"/>
        <w:gridCol w:w="872"/>
        <w:gridCol w:w="1377"/>
        <w:gridCol w:w="5688"/>
      </w:tblGrid>
      <w:tr>
        <w:trPr>
          <w:jc w:val="center"/>
          <w:trHeight w:val="0"/>
          <w:tblHeader/>
        </w:trPr>
        <w:tc>
          <w:tcPr>
            <w:tcBorders/>
            <w:tcW w:w="74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872"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jc w:val="center"/>
          <w:trHeight w:val="1570"/>
        </w:trPr>
        <w:tc>
          <w:tcPr>
            <w:tcBorders/>
            <w:tcW w:w="74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872"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法律法规助手</w:t>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法规服务能力</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法规整合与更新：整合金融领域法规（含全文/解读/细则），定期更新，支持状态设置；多维度检索：支持多方式检索，结果按相关性 + 时效性排序；法规解读与咨询：提供通俗化解读（合规部门审核），支持自然语言咨询，标注法规条款及文号。</w:t>
            </w:r>
            <w:r>
              <w:rPr>
                <w:rFonts w:hint="eastAsia" w:ascii="仿宋_GB2312" w:hAnsi="宋体" w:eastAsia="仿宋_GB2312" w:cs="Times New Roman"/>
                <w:color w:val="000000"/>
                <w:sz w:val="24"/>
                <w:szCs w:val="20"/>
                <w:lang w:val="en-US" w:eastAsia="zh-CN" w:bidi="ar-SA"/>
              </w:rPr>
            </w:r>
          </w:p>
        </w:tc>
      </w:tr>
      <w:tr>
        <w:trPr>
          <w:jc w:val="center"/>
          <w:trHeight w:val="1303"/>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合同审查功能</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审查范围：覆盖银行主要在用合同类型；审查能力：识别合规风险点，标注风险等级及整改建议；审查效率与报告：高效完成合同审查，自动生成报告（含基本信息/风险点/建议/结论），支持导出/批注/审批流转。</w:t>
            </w:r>
            <w:r>
              <w:rPr>
                <w:rFonts w:hint="eastAsia" w:ascii="仿宋_GB2312" w:hAnsi="宋体" w:eastAsia="仿宋_GB2312" w:cs="Times New Roman"/>
                <w:color w:val="000000"/>
                <w:sz w:val="24"/>
                <w:szCs w:val="20"/>
                <w:lang w:val="en-US" w:eastAsia="zh-CN" w:bidi="ar-SA"/>
              </w:rPr>
            </w:r>
          </w:p>
        </w:tc>
      </w:tr>
      <w:tr>
        <w:trPr>
          <w:jc w:val="center"/>
          <w:trHeight w:val="0"/>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合规辅助与培训</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检查清单：按场景生成清单；合规培训：提供视频+文档课程、在线测试（自动判分+错题解析），记录培训进度/成绩，生成报表；消费者权益保护辅助功能：按场景生成清单，配合行内建设消费者权益保护知识库，支撑全行消费者权益保护应用场景。</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7.3智能办公助手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围绕银行全办公链路（包括但不限于行政支撑、人事管理、财务报销、档案管理、跨部门协同等），打造集“智能流程、智能协同、智能采集、智能写作”于一体的智能办公助手，实现以下价值：</w:t>
      </w:r>
      <w:r>
        <w:rPr>
          <w:rFonts w:hint="eastAsia" w:ascii="仿宋_GB2312" w:hAnsi="宋体" w:eastAsia="仿宋_GB2312" w:cs="Times New Roman"/>
          <w:color w:val="000000"/>
          <w:sz w:val="24"/>
          <w:szCs w:val="20"/>
          <w:lang w:val="en-US" w:eastAsia="zh-CN" w:bidi="ar-SA"/>
        </w:rPr>
      </w:r>
    </w:p>
    <w:tbl>
      <w:tblPr>
        <w:tblStyle w:val="701"/>
        <w:tblInd w:w="0" w:type="dxa"/>
        <w:tblW w:w="9085"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04"/>
        <w:gridCol w:w="1306"/>
        <w:gridCol w:w="1519"/>
        <w:gridCol w:w="5456"/>
      </w:tblGrid>
      <w:tr>
        <w:trPr>
          <w:trHeight w:val="587"/>
        </w:trPr>
        <w:tc>
          <w:tcPr>
            <w:tcBorders/>
            <w:tcMar>
              <w:left w:w="120" w:type="dxa"/>
              <w:top w:w="60" w:type="dxa"/>
              <w:right w:w="120" w:type="dxa"/>
              <w:bottom w:w="30" w:type="dxa"/>
            </w:tcMar>
            <w:tcW w:w="80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713"/>
        </w:trPr>
        <w:tc>
          <w:tcPr>
            <w:tcBorders/>
            <w:tcMar>
              <w:left w:w="120" w:type="dxa"/>
              <w:top w:w="60" w:type="dxa"/>
              <w:right w:w="120" w:type="dxa"/>
              <w:bottom w:w="30" w:type="dxa"/>
            </w:tcMar>
            <w:tcW w:w="80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智能办公助手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智能流程自动化</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提升办公中人工重复性工作（如报销审核、档案归档）的效率，减少无效工时的消耗；</w:t>
            </w:r>
            <w:r>
              <w:rPr>
                <w:rFonts w:hint="eastAsia" w:ascii="仿宋_GB2312" w:hAnsi="宋体" w:eastAsia="仿宋_GB2312" w:cs="Times New Roman"/>
                <w:color w:val="000000"/>
                <w:sz w:val="24"/>
                <w:szCs w:val="20"/>
                <w:lang w:val="en-US" w:eastAsia="zh-CN" w:bidi="ar-SA"/>
              </w:rPr>
            </w:r>
          </w:p>
        </w:tc>
      </w:tr>
      <w:tr>
        <w:trPr>
          <w:trHeight w:val="426"/>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智能协同</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缩短跨部门协同周期（如跨支行材料审批、跨部门项目协作），打破信息壁垒；</w:t>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智能采集</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利用RPA+AI能力，自动抓取识别价值 信息，提升数据时效性和准确性。</w:t>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智能写作</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辅助员工高效写作，应用于新闻、公告、协同等场景，汇聚海量公文等知识资源提供专业且权威的公文服务。</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7.4营销服务助手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营销服务助手聚焦客户营销转化效能提升，包含CRM协同与数据应用、智能营销功能两大模块，通过与CRM系统深度对接优化客户画像，实现智能外呼、短信/APP精准触达、营销质检及效果分析，助力精准营销与客户转化。具体内容如下：</w:t>
      </w:r>
      <w:r>
        <w:rPr>
          <w:rFonts w:hint="eastAsia" w:ascii="仿宋_GB2312" w:hAnsi="宋体" w:eastAsia="仿宋_GB2312" w:cs="Times New Roman"/>
          <w:color w:val="000000"/>
          <w:sz w:val="24"/>
          <w:szCs w:val="20"/>
          <w:lang w:val="en-US" w:eastAsia="zh-CN" w:bidi="ar-SA"/>
        </w:rPr>
      </w:r>
    </w:p>
    <w:tbl>
      <w:tblPr>
        <w:tblStyle w:val="701"/>
        <w:tblInd w:w="-222" w:type="dxa"/>
        <w:tblW w:w="9308"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86"/>
        <w:gridCol w:w="820"/>
        <w:gridCol w:w="1670"/>
        <w:gridCol w:w="6032"/>
      </w:tblGrid>
      <w:tr>
        <w:trPr/>
        <w:tc>
          <w:tcPr>
            <w:tcBorders/>
            <w:tcMar>
              <w:left w:w="120" w:type="dxa"/>
              <w:top w:w="60" w:type="dxa"/>
              <w:right w:w="120" w:type="dxa"/>
              <w:bottom w:w="30" w:type="dxa"/>
            </w:tcMar>
            <w:tcW w:w="78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687"/>
        </w:trPr>
        <w:tc>
          <w:tcPr>
            <w:tcBorders/>
            <w:tcMar>
              <w:left w:w="120" w:type="dxa"/>
              <w:top w:w="60" w:type="dxa"/>
              <w:right w:w="120" w:type="dxa"/>
              <w:bottom w:w="30" w:type="dxa"/>
            </w:tcMar>
            <w:tcW w:w="78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营销服务助手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CRM协同与数据应用</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数据对接：与CRM深度融合，实时获取客户相关数据；客户画像优化：构建360度客户画像，动态更新，确保准确率；</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8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智能营销功能</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精准触达：支持智能外呼、短信营销、APP推送；AI质检：全覆盖外呼录音检查（话术合规/服务态度/信息准确性），实时提醒+生成报表；客户意向筛选：分析反馈识别意向等级，高意向客户及时推送客户经理，低意向客户纳入培育池；营销效果分析：统计多维度营销数据，支持A/B测试；</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7.5数智分析助手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数智分析助手支持银行数据驱动决策，包含数据取数能力、分析与报告能力、个性化分析与协同能力三大模块，通过自然语言取数降低业务人员用数门槛，实现自动化报告生成、业务异常归因及跨部门协同分析，提升数据分析效率。具体内容如下：</w:t>
      </w:r>
      <w:r>
        <w:rPr>
          <w:rFonts w:hint="eastAsia" w:ascii="仿宋_GB2312" w:hAnsi="宋体" w:eastAsia="仿宋_GB2312" w:cs="Times New Roman"/>
          <w:color w:val="000000"/>
          <w:sz w:val="24"/>
          <w:szCs w:val="20"/>
          <w:lang w:val="en-US" w:eastAsia="zh-CN" w:bidi="ar-SA"/>
        </w:rPr>
      </w:r>
    </w:p>
    <w:tbl>
      <w:tblPr>
        <w:tblStyle w:val="701"/>
        <w:tblInd w:w="-6" w:type="dxa"/>
        <w:tblW w:w="9089"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20"/>
        <w:gridCol w:w="920"/>
        <w:gridCol w:w="1260"/>
        <w:gridCol w:w="6089"/>
      </w:tblGrid>
      <w:tr>
        <w:trPr/>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1452"/>
        </w:trPr>
        <w:tc>
          <w:tcPr>
            <w:tcBorders/>
            <w:tcMar>
              <w:left w:w="120" w:type="dxa"/>
              <w:top w:w="60" w:type="dxa"/>
              <w:right w:w="120" w:type="dxa"/>
              <w:bottom w:w="30" w:type="dxa"/>
            </w:tcMar>
            <w:tcW w:w="8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数智分析助手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数据取数能力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自然语言取数：支持业务人员自然语言查询，自动转SQL，支持自然语言调整条件；取数范围与权限：覆盖核心业务数据，按“部门 - 角色”控制权限，记录取数日志；数据导出与分享：支持多格式导出（含来源/口径），支持OA/邮件分享（验证权限），在线查看评论；</w:t>
            </w:r>
            <w:r>
              <w:rPr>
                <w:rFonts w:hint="eastAsia" w:ascii="仿宋_GB2312" w:hAnsi="宋体" w:eastAsia="仿宋_GB2312" w:cs="Times New Roman"/>
                <w:color w:val="000000"/>
                <w:sz w:val="24"/>
                <w:szCs w:val="20"/>
                <w:lang w:val="en-US" w:eastAsia="zh-CN" w:bidi="ar-SA"/>
              </w:rPr>
            </w:r>
          </w:p>
        </w:tc>
      </w:tr>
      <w:tr>
        <w:trPr>
          <w:trHeight w:val="1205"/>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分析与报告能力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归因分析：自动分析业务异常原因，生成报告及改进建议；趋势预测：基于历史数据预测业务指标，支持场景模拟；自动化报告：自定义模板，自动生成多周期报告，自动推送OA/邮箱；可视化分析：提供多种图表，支持交互及多图表联动；</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个性化分析与协同能力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定义分析配置：支持自定义分析维度/指标，保存模板并按角色授权；角色适配分析：按角色自动推送分析内容，可配置更新频率；跨部门协同分析：支持多部门联合分析，提供协作空间（批注/共享/任务分配），日志同步，高效生成报告；外部数据融合分析：接入外部公开数据（定期更新），支持与行内数据中台连接和获取，支持多表联合分析；</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11" w:name="_Toc1902"/>
      <w:r>
        <w:rPr>
          <w:rFonts w:hint="eastAsia" w:ascii="仿宋_GB2312" w:hAnsi="宋体" w:eastAsia="仿宋_GB2312" w:cs="Times New Roman"/>
          <w:color w:val="000000"/>
          <w:sz w:val="24"/>
          <w:szCs w:val="20"/>
          <w:lang w:val="en-US" w:eastAsia="zh-CN" w:bidi="ar-SA"/>
        </w:rPr>
        <w:t xml:space="preserve">8其他支撑服务</w:t>
      </w:r>
      <w:bookmarkEnd w:id="11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针对银行开展的数字化与智能化创新大赛，乙方需提供咨询设计、团队驻场支持以及场景开发服务，具体按照甲方要求执行。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9基础技术要求</w:t>
      </w:r>
      <w:r>
        <w:rPr>
          <w:rFonts w:hint="eastAsia" w:ascii="仿宋_GB2312" w:hAnsi="宋体" w:eastAsia="仿宋_GB2312" w:cs="Times New Roman"/>
          <w:color w:val="000000"/>
          <w:sz w:val="24"/>
          <w:szCs w:val="20"/>
          <w:lang w:val="en-US" w:eastAsia="zh-CN" w:bidi="ar-SA"/>
        </w:rPr>
        <w:tab/>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9.1应用系统须采用B/S结构（即</w:t>
      </w:r>
      <w:r>
        <w:rPr>
          <w:rFonts w:hint="eastAsia" w:ascii="仿宋_GB2312" w:hAnsi="宋体" w:eastAsia="仿宋_GB2312" w:cs="Times New Roman"/>
          <w:color w:val="000000"/>
          <w:sz w:val="24"/>
          <w:szCs w:val="20"/>
          <w:lang w:val="en-US" w:eastAsia="zh-CN" w:bidi="ar-SA"/>
        </w:rPr>
        <w:fldChar w:fldCharType="begin"/>
      </w:r>
      <w:r>
        <w:rPr>
          <w:rFonts w:hint="eastAsia" w:ascii="仿宋_GB2312" w:hAnsi="宋体" w:eastAsia="仿宋_GB2312" w:cs="Times New Roman"/>
          <w:color w:val="000000"/>
          <w:sz w:val="24"/>
          <w:szCs w:val="20"/>
          <w:lang w:val="en-US" w:eastAsia="zh-CN" w:bidi="ar-SA"/>
        </w:rPr>
        <w:instrText xml:space="preserve"> HYPERLINK "https://baike.baidu.com/item/%E6%B5%8F%E8%A7%88%E5%99%A8/%E6%9C%8D%E5%8A%A1%E5%99%A8%E7%BB%93%E6%9E%84/2807000" \t "https://baike.baidu.com/item/B/S%E7%BB%93%E6%9E%84/_blank" </w:instrText>
      </w:r>
      <w:r>
        <w:rPr>
          <w:rFonts w:hint="eastAsia" w:ascii="仿宋_GB2312" w:hAnsi="宋体" w:eastAsia="仿宋_GB2312" w:cs="Times New Roman"/>
          <w:color w:val="000000"/>
          <w:sz w:val="24"/>
          <w:szCs w:val="20"/>
          <w:lang w:val="en-US" w:eastAsia="zh-CN" w:bidi="ar-SA"/>
        </w:rPr>
        <w:fldChar w:fldCharType="separate"/>
      </w:r>
      <w:r>
        <w:rPr>
          <w:rFonts w:hint="eastAsia" w:ascii="仿宋_GB2312" w:hAnsi="宋体" w:eastAsia="仿宋_GB2312" w:cs="Times New Roman"/>
          <w:color w:val="000000"/>
          <w:sz w:val="24"/>
          <w:szCs w:val="20"/>
          <w:lang w:val="en-US" w:eastAsia="zh-CN" w:bidi="ar-SA"/>
        </w:rPr>
        <w:t xml:space="preserve">浏览器/服务器模式</w:t>
      </w:r>
      <w:r>
        <w:rPr>
          <w:rFonts w:hint="eastAsia" w:ascii="仿宋_GB2312" w:hAnsi="宋体" w:eastAsia="仿宋_GB2312" w:cs="Times New Roman"/>
          <w:color w:val="000000"/>
          <w:sz w:val="24"/>
          <w:szCs w:val="20"/>
          <w:lang w:val="en-US" w:eastAsia="zh-CN" w:bidi="ar-SA"/>
        </w:rPr>
        <w:fldChar w:fldCharType="end"/>
      </w:r>
      <w:r>
        <w:rPr>
          <w:rFonts w:hint="eastAsia" w:ascii="仿宋_GB2312" w:hAnsi="宋体" w:eastAsia="仿宋_GB2312" w:cs="Times New Roman"/>
          <w:color w:val="000000"/>
          <w:sz w:val="24"/>
          <w:szCs w:val="20"/>
          <w:lang w:val="en-US" w:eastAsia="zh-CN" w:bidi="ar-SA"/>
        </w:rPr>
        <w:t xml:space="preserve">），须支持Chrome浏览器（V89以上）、Firefox浏览器、Edge浏览器（V89以上），兼容IE8及以上版本的IE浏览器、主流国产化浏览器等。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9.2应用系统的实现采用前后端分离设计，前端展示同后端业务逻辑完全解耦，前后端通过服务的方式进行交互。</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9.3应用系统前端服务基于JavaScript语言开发，采用vue.js开发框架，版本在3.0及以上。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9.4应用系统后端服务基于Java语言开发，支持在openjdk8及以上版本运行，采用spring开发框架并以微服务方式实现。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9.5应用系统开发要求符合Eslint、Sonar等主流代码规范，保持应用轻量（即框架轻量、组件化轻量、插件引入轻量化、编码轻量化）。</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 平台实施保障要求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10.1乙方须给出系统架构的整体设计方案，并根据架构方案给出软硬件建议配置，对系统的各项性能指标给出相应的承诺(数据的加载时间、查询时间、并发用户数等)。说明解决方案中需要的所有硬件和软件的类型和版本要求以及硬件上需要安装或运行的软件产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10.2乙方必须具备对其提供的应用软件、中间件或其他软硬件安装部署的能力。如果解决方案中使用了第三方系统软件、工具软件，乙方负责第三方软件集成，包括全部安装、调试、技术支持、培训等。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10.3乙方详细阐述该项目系统内部或本项目涉及系统之间的访问逻辑关系图，并以图表形式标明系统之间的数据流量走向图。</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10.4乙方部署方案需支持分布式微服务部署，支持负载均衡部署，支持DNS域名访问。</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10.5乙方需提供系统备份和删除策略、应急切换方案、备份程序（备份内容包括应用、数据、脚本、日志等重要信息），由备份管理员进行验收。</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10.6系统支持应用级自动负载均衡、高可靠性集群技术方案，实现服务动态分配及横向、纵向扩展，扩展实例或机器时不影响正常运行实例。性能上应能满足未来3-5年的业务发展要求；同时在系统访问量较大、数据较多的情况下，实现负载均衡的效果；系统支持两地三中心部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10.7系统集成部署架构要支持X86架构、分布式集群部署；系统部署要兼容主流操作系统、数据库和中间件等；系统支持信创服务器、X86服务器、虚拟机、容器、云平台等模式部署；数据库要支持传统的关系型数据库，能实现数据库的集群部署和双机热备。</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11系统可靠性要求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11.1本产品所涉及的各系统需要提供7*24小时可靠服务。</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11.2需要对应用资产和系统数据库进行每天备份，确保系统故障时对应用资产和数据库恢复的有效性。以满足当日系统故障时对数据库的恢复需要。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11.3系统应保证在高负荷状态下能提供不间断的可靠服务，保障系统的高可用。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12数据合规要求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定制开发部分在数据标准、数据质量、数据处理、数据分类等方面应严格遵循招标人数据管控规范的要求，需配合招标人数据治理工作，规范数据字典,提供完善的数据管理功能，针对系统参数库能够提供数据字典。</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在数据架构设计方面，数据层（数据库、文件系统等）应进行逻辑隔离，数据结构清晰，严格控制访问权限。应考虑到数据表空间与索引表空间分离、数据清理、数据下档等因素，各字段设计应遵循招标人数据治理规范，满足数据管控和治理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13风险控制要求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13.1对关键数据进行加密存储、加密传输，采用招标人认可的数据加密方式，以保证数据之间的完整性依赖关系。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13.2遵循招标人应用系统日志规范，支持统一日志管理和自动日志归档处理，提供完整的日志功能，便于追踪。系统对常用业务、故障信息、重要操作事件自动记录操作日志，并至少存储一年（可根据需求对接行内日志管理平台），以备稽查和审计；系统在运行时可根据参数配置记录运行日志，运行日志的级别可根据系统参数进行调整，包括运行级、监控级和调试级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13.3保证用户安全机制，对组、用户、功能、客户的安全性控制。保证系统安全性，防止工作人员的误操作，将应用软件的安全性与操作系统、数据库管理系统的安全性机制独立，可以做到分人管理、职责明确，可追溯性强。</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13.4采用加密技术对敏感数据进行加密，保证数据传输的安全可靠性。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13.5 发生系统业务中断事件后，乙方应及时协助招标人恢复系统运行和备份数据，应急恢复目标为4个小时内。</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14系统安全性要求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14.1本项目在应用安全、数据安全、通讯安全、系统安全等方面应严格遵循招标人的安全规范要求。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14.2在应用安全方面，平台应具备防劫持、防篡改、防非授权使用、防二次打包等常见网络攻击的应对能力，包括但不限于短信劫持、界面劫持、键盘窃听、核心算法及业务逻辑泄露、SQL注入、跨站脚本XSS攻击、网页篡改、暴力注册、暴力破解、交易信息篡改、交易重放、重复提交、短信轰炸、DDoS、水平和垂直越权、Session重放等安全防范能力；服务端具备API准入、权限校验、流量控制、身份核验等功能；涉及用户信息使用，必须经过用户授权同意，并严格遵循最小授权、必须知悉原则，避免用户信息泄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14.3在数据安全方面，数据的加工、存储和应用应严格遵循招标人数据分类分级保护的安全要求。密码应使用不可逆的加密算法进行加密处理存储，传输数据和日志文件中应能对敏感数据使用标记化、加密等技术进行脱敏处理，避免造成敏感信息泄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14.4在通讯安全方面，与第三方之间的数据传输，应采用数字证书PKI等技术进行数据报文的加密及数字签名，保证数据传输的机密性、完整性、防篡改和身份鉴别；</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14.5在系统安全方面，应满足招标人系统安全控制要求，包括但不限于系统密码使用规范（避免使用弱口令、用户名或密码通过配置文件加载并进行加密处理、密码具备超期提示）、WAF应用防护配置标准、HIDS主机入侵防御配置标准、杀毒软件配置标准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15易维护性要求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请乙方根据自身产品情况提供应用系统在易维护性方面提供的能力和实现方案，包括但不限于以下几个方面：</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15.1提供系统完善的日志流水记录，定义多级日志级别，通过参数灵活进行调整，通过系统日志可实现错误的快速定位和排查；</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15.2提供完善的日志存放、查看、检索、备份、恢复等管理功能，日志内容应完整、准确，日志信息应结构化、分类别、分级别、分层次存放，避免信息的冗余和混乱，提供参数化配置管理方式；</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15.3阐述系统在软件层面易维护性所具备的能力；</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15.4支持不停机维护。</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16功能可扩展要求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16.1对未来可能出现业务的扩展，无论是在功能还是系统处理能力方面，均要求系统设计方案充分考虑其良好的扩展性。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16.2针对系统后续需求对系统处理能力的扩展要求，乙方应充分分析系统各处理环节对性能的要求，以及其中可能存在的瓶颈。同时应考虑从系统硬件架构、软件架构等方面设计合理的易于扩展的方案，并通过测试和评估为硬件架构设计完善提供依据。</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16.3乙方应充分理解AI应用建设的需求，能够从软件架构、软件功能、数据结构设计等多方面均采用灵活的机制，方便系统扩充和变更。乙方应详细阐述其合理的实施方案，详细阐述其在本系统中如何应用系统的易扩展性增加需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16.4系统的设计容量能满足和支持未来业务三至五年发展的需要，支持功能性拓展；要支持并适应硬件平台、支撑软件上的扩展能力；系统功能应形成结构化、模块化、参数化，模块和代码能方便复用，能进行方便的二次开发和平滑的版本升级；支持分布式数据管理，支持多数据源间的访问连接，能方便地与其它相关的应用系统集成在一起；系统具备多用户和多任务操作能力；能够支持第三方系统的批量作业调度；能够支持第三方系统的运行监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7平台建设合规性要求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17.1安全保密性：涉及到行内重要的信息数据需要进行加密处理，系统对一般用户不提供批量用户信息数据的导出功能。</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17.2系统需要对系统用户的操作轨迹进行记录，尤其是涉及到用户系统使用情况，用户操作情况等。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18实施团队要求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（1）要求乙方项目总监及以上管理人员定期到现场监督项目进度，及时汇报项目风险，确保项目按计划完成。</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经理至少1名：在项目中负责本项目的计划、组织、实施、协调、人员配置并监督工作情况及进度等工作，负责各方的沟通联系；具有业务场景分析、集成、实施项目的丰富经验和较强的沟通协调能力；具有预见和应对项目风险能力。</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（3）技术/开发经理至少1名：要求具备 3年以上工作经验，熟练掌握产品底层技术栈、应用架构、数据结构、接口设计等，</w:t>
      </w:r>
      <w:bookmarkStart w:id="112" w:name="OLE_LINK6"/>
      <w:r>
        <w:rPr>
          <w:rFonts w:hint="eastAsia" w:ascii="仿宋_GB2312" w:hAnsi="宋体" w:eastAsia="仿宋_GB2312" w:cs="Times New Roman"/>
          <w:color w:val="000000"/>
          <w:sz w:val="24"/>
          <w:szCs w:val="20"/>
          <w:lang w:val="en-US" w:eastAsia="zh-CN" w:bidi="ar-SA"/>
        </w:rPr>
        <w:t xml:space="preserve">熟悉AI应用技术开发</w:t>
      </w:r>
      <w:bookmarkEnd w:id="112"/>
      <w:r>
        <w:rPr>
          <w:rFonts w:hint="eastAsia" w:ascii="仿宋_GB2312" w:hAnsi="宋体" w:eastAsia="仿宋_GB2312" w:cs="Times New Roman"/>
          <w:color w:val="000000"/>
          <w:sz w:val="24"/>
          <w:szCs w:val="20"/>
          <w:lang w:val="en-US" w:eastAsia="zh-CN" w:bidi="ar-SA"/>
        </w:rPr>
        <w:t xml:space="preserve">。具备良好的沟通能力和团队协作能力，能够与开发人员、项目经理、业务人员、测试人员等其他角色有效沟通，确保项目工作的顺利进行。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系统开发人员至少3名：具有3年以上软件项目开发工作经验，熟悉AI应用软件项目开发。具备良好的沟通能力和团队协作能力，能够与项目经理、技术经理、测试人员、业务人员等其他角色有效沟通，确保开发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系统测试人员至少1名：具有3年以上软件项目测试经验，具有至少1个本公司产品系统项目的测试经验；熟悉系统测试流程和方法，能够独立完成测试计划的制定、测试用例的设计和执行、缺陷跟踪和管理、测试报告的编写等；具备良好的沟通能力和团队协作能力，能够与开发人员、产品经理、业务人员等其他角色有效沟通，确保测试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项目启动阶段，乙方驻场项目人员必须经过我行面试，对于面试不通过的人员，乙方须无条件更换人员直至面试通过。项目实施阶段，如违反我行规定或我行认为不能胜任工作的项目人员，乙方须无条件更换人员直至我行面试通过。</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要保持项目实施团队的稳定性，项目组主要实施成员在未经行方允许的前提下，不得擅自调离项目组。如因其他不可抗力原因需要更换人员，乙方必须按照要求提供同等工作年限、能力、资质的人员，并经甲方书面同意方可变更。仅有合同关系而非本公司雇员的团队成员要明确提示给甲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乙方需提供参与本项目的人员名单、简历、在本项目中的角色定位、人员级别、资质情况、主要参与阶段、同类项目工作经历（具体说明合作单位名称、项目名称、项目时间、在项目中担任的角色、从事的主要工作内容）。其中人员资质情况需要提供资质证书复印件，仅有合同关系而非本公司雇员的团队成员要明确提示给甲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（9）项目采用驻场开发模式，项目实施期间以及后续运维期间必须要有开发人员驻场。</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（10）如乙方不能满足甲方项目实施进度与项目阶段成果质量要求，乙方应按甲方要求增加项目资源配置（含人员）。</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（11）在项目实施过程中，针对关键或重大问题，应承诺调动资源给予支持，委派专家到现场解决问题，并不得影响项目的整体进程。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19 技术转移要求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本项目完成后，项目相关的所有知识产权【包含专利权、著作权（计算机软件）】归甲方所有，乙方应免费向甲方提供本项目全部应用源代码及相关文档等并承诺甲方对项目全部资源拥有永久所有权及使用权。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（1）乙方必须提供所有本项目相关的程序源代码以及相应的编译脚本，由源代码编译出的目标必须与生产环境使用的目标软件完全一致。</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（2）源程序必须符合统一、严谨的规范，程序模块划分清晰，模块之间耦合性小，源程序应含适量的注释，以利于程序的二次开发和维护。</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（3）提供系统源代码的所有技术文档，向甲方进行技术转移，以便甲方自主进行日常运行维护和二次开发，甲方承诺保密和不向第三方转移。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（4）乙方须按甲方要求上传至行内代码库统一管理。</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（5）甲方有权利用乙方按照本合同约定提供的研究开发成果（含源代码），进行后续改进。由此产生的具有实质性或创造性技术进步特征的新的技术成果及其权利归属，由甲方享有。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（6）乙方无偿提供本次项目开发的所有源代码并配合甲方进行实施部署。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（7）乙方须保证其所完成本项目的上述产品没有侵犯任何第三人的知识产权和商业秘密等权利，如甲方使用乙方产品构成上述侵权的，则由乙方承担全部责任。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20 项目交付文档要求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乙方须按阶段提交包括但不仅限于以下文档：</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（1）《项目启动会方案》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（2）《项目工作说明书》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（3）项目实施计划、项目周报、项目阶段汇报、会议纪要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（4）《需求规格说明书》《系统规格说明书》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（5）《概要设计说明书》《详细设计说明书（命名规范、编程规范、应用接口规范、安全规范等》《数据库设计说明书（含数据字典）》《数据血缘关系表》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（6）《性能测试报告》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（7）《测试方案和测试案例》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（8）《项目测试验收报告》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（9）《系统上线/投产方案》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（10）《系统操作手册》、《系统运维手册》、系统数据库脱敏脚本（包含所有涉及客户信息的表和字段）</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（11）安装手册（包含操作系统、数据库、双机软件、通讯软件、应用程序等的硬件配置要求、安装参数、版本要求、安装过程等）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（12）《系统应急预案》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 源代码文件及所有使用的全部开源组件或插件清单（包含名称、版本号、用途、来源、使用说明等信息）</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（14）《项目验收报告》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（15）《项目后评价报告》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（16）甲方需要的其他材料。</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对于项目实施阶段目标设定的文档交付物，将作为本阶段工作完成的里程碑标志之一。对于文档交付物的描述应包含但不限于：各个阶段名称、阶段目标、交付物描述、形式（即文件、演示文稿、软件系统等）、建议接受标准、阶段负责人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21培训要求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乙方应配合甲方人员完成项目知识转移工作，并完成全面的项目培训工作。乙方应通过培训、参与开发以及其它乙方认为合适的方式，实现知识转移，乙方应具体说明向甲方转移知识和技能的计划、方式和进度。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21.1知识转移的要求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（1）乙方应提供与XXX系统软件包相关的设计文档，如该产品完整开发生命周期中使用或遵循的开发方法、设计文档、应用规范等。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（2）乙方应按照甲方要求提供在项目实施过程中产生的所有相关产出文档。</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21.2培训的要求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乙方应确保在系统开发和建设中所提供的培训是全面而系统的，并与甲方协商安排，准备详细的培训计划，说明培训对象、内容、时间、地点等。具体包括但不限于：</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（1）要求乙方负责对所有参与项目的相关人员进行培训，使之能够熟练使用系统。</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（2）要求乙方负责对业务人员进行系统使用培训，使总、分、支行的相关业务人员能够熟练使用系统。</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（3）要求乙方提供参数配置培训计划，使甲方相关业务人员能够熟练完成相关的业务参数配置工作。</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（4）要求乙方提供开发人员培训计划，使甲方开发人员能够熟练完成系统的二次开发和相关技术参数配置工作，达到甲方开发人员熟练掌握该平台二次开发、测试环境和开发流程水平。</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（5）要求乙方提供系统管理员、运维人员进行培训，使甲方系统管理员、熟练完成系统的安装、运行、维护等内容，甲方运维人员能够掌握系统的日常运行维护工作。</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21.3 培训内容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（1）产品讲解培训：对系统产品进行讲解、业务需求分析培训等。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（2）软件运行维护培训:系统的运行软件安装、系统故障处理、日常运行维护、数据备份与恢复及数据清理等。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（3）系统开发培训：系统应用软件、开发语言、开发工具、中间件、数据加工、数据分析等。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（4）应用管理培训：应用软件调整及维护、日常管理要求等。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default" w:eastAsia="宋体"/>
          <w:lang w:val="en-US" w:eastAsia="zh-CN"/>
        </w:rPr>
      </w:pPr>
      <w:r>
        <w:rPr>
          <w:rFonts w:hint="eastAsia" w:ascii="仿宋_GB2312" w:hAnsi="宋体" w:eastAsia="仿宋_GB2312" w:cs="Times New Roman"/>
          <w:color w:val="000000"/>
          <w:sz w:val="24"/>
          <w:szCs w:val="20"/>
          <w:lang w:val="en-US" w:eastAsia="zh-CN" w:bidi="ar-SA"/>
        </w:rPr>
        <w:t xml:space="preserve">（5）系统操作培训：分支行、总行业务人员日常操作的培训。</w:t>
      </w:r>
      <w:r>
        <w:rPr>
          <w:rFonts w:hint="default" w:eastAsia="宋体"/>
          <w:lang w:val="en-US" w:eastAsia="zh-CN"/>
        </w:rPr>
      </w:r>
    </w:p>
    <w:sectPr>
      <w:headerReference w:type="default" r:id="rId9"/>
      <w:footnotePr/>
      <w:endnotePr/>
      <w:type w:val="nextPage"/>
      <w:pgSz w:h="16838" w:orient="portrait" w:w="11906"/>
      <w:pgMar w:top="1361" w:right="1474" w:bottom="1361" w:left="1587" w:header="851" w:footer="992" w:gutter="0"/>
      <w:pgNumType w:start="1"/>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仿宋">
    <w:panose1 w:val="02020603020101020101"/>
  </w:font>
  <w:font w:name="等线">
    <w:panose1 w:val="020B0603030804020204"/>
  </w:font>
  <w:font w:name="仿宋_GB2312">
    <w:panose1 w:val="020B0603030804020204"/>
  </w:font>
  <w:font w:name="黑体">
    <w:panose1 w:val="02020603020101020101"/>
  </w:font>
  <w:font w:name="Arial Unicode MS">
    <w:panose1 w:val="020B0604020202020204"/>
  </w:font>
  <w:font w:name="Arial">
    <w:panose1 w:val="020B0604020202020204"/>
  </w:font>
  <w:font w:name="宋体">
    <w:panose1 w:val="0202060302010102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lvl w:ilvl="0">
      <w:isLgl w:val="false"/>
      <w:lvlJc w:val="left"/>
      <w:lvlText w:val="%1、"/>
      <w:numFmt w:val="decimal"/>
      <w:pPr>
        <w:pBdr/>
        <w:spacing/>
        <w:ind/>
      </w:pPr>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9DC6164"/>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2">
    <w:nsid w:val="0B4B0022"/>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3">
    <w:nsid w:val="27385B6E"/>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4">
    <w:nsid w:val="35583C27"/>
    <w:lvl w:ilvl="0">
      <w:isLgl w:val="false"/>
      <w:lvlJc w:val="left"/>
      <w:lvlText w:val="%1."/>
      <w:numFmt w:val="decimal"/>
      <w:pPr>
        <w:pBdr/>
        <w:tabs>
          <w:tab w:val="left" w:leader="none" w:pos="1560"/>
        </w:tabs>
        <w:spacing/>
        <w:ind w:hanging="720" w:left="1560"/>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5">
    <w:nsid w:val="4EEE52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6">
    <w:nsid w:val="4FF37248"/>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7">
    <w:nsid w:val="566517E0"/>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8">
    <w:nsid w:val="68B70185"/>
    <w:lvl w:ilvl="0">
      <w:isLgl w:val="false"/>
      <w:lvlJc w:val="left"/>
      <w:lvlText w:val="%1."/>
      <w:numFmt w:val="decimal"/>
      <w:pPr>
        <w:pBdr/>
        <w:tabs>
          <w:tab w:val="left" w:leader="none" w:pos="360"/>
        </w:tabs>
        <w:spacing/>
        <w:ind w:hanging="360" w:left="360"/>
      </w:pPr>
      <w:rPr>
        <w:rFonts w:hint="default"/>
        <w:b/>
      </w:rPr>
      <w:start w:val="1"/>
      <w:suff w:val="tab"/>
    </w:lvl>
    <w:lvl w:ilvl="1">
      <w:isLgl w:val="true"/>
      <w:lvlJc w:val="left"/>
      <w:lvlText w:val="%1.%2"/>
      <w:numFmt w:val="decimal"/>
      <w:pPr>
        <w:pBdr/>
        <w:tabs>
          <w:tab w:val="left" w:leader="none" w:pos="780"/>
        </w:tabs>
        <w:spacing/>
        <w:ind w:hanging="420" w:left="780"/>
      </w:pPr>
      <w:rPr>
        <w:rFonts w:hint="default"/>
        <w:b/>
      </w:rPr>
      <w:start w:val="1"/>
      <w:suff w:val="tab"/>
    </w:lvl>
    <w:lvl w:ilvl="2">
      <w:isLgl w:val="true"/>
      <w:lvlJc w:val="left"/>
      <w:lvlText w:val="%1.%2.%3"/>
      <w:numFmt w:val="decimal"/>
      <w:pPr>
        <w:pBdr/>
        <w:tabs>
          <w:tab w:val="left" w:leader="none" w:pos="720"/>
        </w:tabs>
        <w:spacing/>
        <w:ind w:hanging="720" w:left="720"/>
      </w:pPr>
      <w:rPr>
        <w:rFonts w:hint="default"/>
        <w:b/>
      </w:rPr>
      <w:start w:val="1"/>
      <w:suff w:val="tab"/>
    </w:lvl>
    <w:lvl w:ilvl="3">
      <w:isLgl w:val="true"/>
      <w:lvlJc w:val="left"/>
      <w:lvlText w:val="%1.%2.%3.%4"/>
      <w:numFmt w:val="decimal"/>
      <w:pPr>
        <w:pBdr/>
        <w:tabs>
          <w:tab w:val="left" w:leader="none" w:pos="720"/>
        </w:tabs>
        <w:spacing/>
        <w:ind w:hanging="720" w:left="720"/>
      </w:pPr>
      <w:rPr>
        <w:rFonts w:hint="default"/>
        <w:b/>
      </w:rPr>
      <w:start w:val="1"/>
      <w:suff w:val="tab"/>
    </w:lvl>
    <w:lvl w:ilvl="4">
      <w:isLgl w:val="true"/>
      <w:lvlJc w:val="left"/>
      <w:lvlText w:val="%1.%2.%3.%4.%5"/>
      <w:numFmt w:val="decimal"/>
      <w:pPr>
        <w:pBdr/>
        <w:tabs>
          <w:tab w:val="left" w:leader="none" w:pos="1080"/>
        </w:tabs>
        <w:spacing/>
        <w:ind w:hanging="1080" w:left="1080"/>
      </w:pPr>
      <w:rPr>
        <w:rFonts w:hint="default"/>
        <w:b/>
      </w:rPr>
      <w:start w:val="1"/>
      <w:suff w:val="tab"/>
    </w:lvl>
    <w:lvl w:ilvl="5">
      <w:isLgl w:val="true"/>
      <w:lvlJc w:val="left"/>
      <w:lvlText w:val="%1.%2.%3.%4.%5.%6"/>
      <w:numFmt w:val="decimal"/>
      <w:pPr>
        <w:pBdr/>
        <w:tabs>
          <w:tab w:val="left" w:leader="none" w:pos="1080"/>
        </w:tabs>
        <w:spacing/>
        <w:ind w:hanging="1080" w:left="1080"/>
      </w:pPr>
      <w:rPr>
        <w:rFonts w:hint="default"/>
        <w:b/>
      </w:rPr>
      <w:start w:val="1"/>
      <w:suff w:val="tab"/>
    </w:lvl>
    <w:lvl w:ilvl="6">
      <w:isLgl w:val="true"/>
      <w:lvlJc w:val="left"/>
      <w:lvlText w:val="%1.%2.%3.%4.%5.%6.%7"/>
      <w:numFmt w:val="decimal"/>
      <w:pPr>
        <w:pBdr/>
        <w:tabs>
          <w:tab w:val="left" w:leader="none" w:pos="1440"/>
        </w:tabs>
        <w:spacing/>
        <w:ind w:hanging="1440" w:left="1440"/>
      </w:pPr>
      <w:rPr>
        <w:rFonts w:hint="default"/>
        <w:b/>
      </w:rPr>
      <w:start w:val="1"/>
      <w:suff w:val="tab"/>
    </w:lvl>
    <w:lvl w:ilvl="7">
      <w:isLgl w:val="true"/>
      <w:lvlJc w:val="left"/>
      <w:lvlText w:val="%1.%2.%3.%4.%5.%6.%7.%8"/>
      <w:numFmt w:val="decimal"/>
      <w:pPr>
        <w:pBdr/>
        <w:tabs>
          <w:tab w:val="left" w:leader="none" w:pos="1440"/>
        </w:tabs>
        <w:spacing/>
        <w:ind w:hanging="1440" w:left="1440"/>
      </w:pPr>
      <w:rPr>
        <w:rFonts w:hint="default"/>
        <w:b/>
      </w:rPr>
      <w:start w:val="1"/>
      <w:suff w:val="tab"/>
    </w:lvl>
    <w:lvl w:ilvl="8">
      <w:isLgl w:val="true"/>
      <w:lvlJc w:val="left"/>
      <w:lvlText w:val="%1.%2.%3.%4.%5.%6.%7.%8.%9"/>
      <w:numFmt w:val="decimal"/>
      <w:pPr>
        <w:pBdr/>
        <w:tabs>
          <w:tab w:val="left" w:leader="none" w:pos="1800"/>
        </w:tabs>
        <w:spacing/>
        <w:ind w:hanging="1800" w:left="1800"/>
      </w:pPr>
      <w:rPr>
        <w:rFonts w:hint="default"/>
        <w:b/>
      </w:rPr>
      <w:start w:val="1"/>
      <w:suff w:val="tab"/>
    </w:lvl>
  </w:abstractNum>
  <w:abstractNum w:abstractNumId="9">
    <w:nsid w:val="6ADB18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10">
    <w:nsid w:val="7EF66BF3"/>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num w:numId="1">
    <w:abstractNumId w:val="0"/>
  </w:num>
  <w:num w:numId="2">
    <w:abstractNumId w:val="8"/>
  </w:num>
  <w:num w:numId="3">
    <w:abstractNumId w:val="10"/>
  </w:num>
  <w:num w:numId="4">
    <w:abstractNumId w:val="1"/>
  </w:num>
  <w:num w:numId="5">
    <w:abstractNumId w:val="3"/>
  </w:num>
  <w:num w:numId="6">
    <w:abstractNumId w:val="2"/>
  </w:num>
  <w:num w:numId="7">
    <w:abstractNumId w:val="7"/>
  </w:num>
  <w:num w:numId="8">
    <w:abstractNumId w:val="5"/>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35eb2"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d02"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11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11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61d31"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11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97"/>
    <w:next w:val="69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3"/>
    <w:basedOn w:val="697"/>
    <w:next w:val="69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97"/>
    <w:next w:val="69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4">
    <w:name w:val="Heading 6"/>
    <w:basedOn w:val="697"/>
    <w:next w:val="69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7"/>
    <w:next w:val="69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7"/>
    <w:next w:val="69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7"/>
    <w:next w:val="69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0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0"/>
    <w:link w:val="698"/>
    <w:uiPriority w:val="9"/>
    <w:pPr>
      <w:pBdr/>
      <w:spacing/>
      <w:ind/>
    </w:pPr>
    <w:rPr>
      <w:rFonts w:ascii="Arial" w:hAnsi="Arial" w:eastAsia="Arial" w:cs="Arial"/>
      <w:color w:val="0f4761" w:themeColor="accent1" w:themeShade="BF"/>
      <w:sz w:val="32"/>
      <w:szCs w:val="32"/>
    </w:rPr>
  </w:style>
  <w:style w:type="character" w:styleId="152">
    <w:name w:val="Heading 3 Char"/>
    <w:basedOn w:val="70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0"/>
    <w:link w:val="142"/>
    <w:uiPriority w:val="9"/>
    <w:pPr>
      <w:pBdr/>
      <w:spacing/>
      <w:ind/>
    </w:pPr>
    <w:rPr>
      <w:rFonts w:ascii="Arial" w:hAnsi="Arial" w:eastAsia="Arial" w:cs="Arial"/>
      <w:i/>
      <w:iCs/>
      <w:color w:val="0f4761" w:themeColor="accent1" w:themeShade="BF"/>
    </w:rPr>
  </w:style>
  <w:style w:type="character" w:styleId="154">
    <w:name w:val="Heading 5 Char"/>
    <w:basedOn w:val="700"/>
    <w:link w:val="699"/>
    <w:uiPriority w:val="9"/>
    <w:pPr>
      <w:pBdr/>
      <w:spacing/>
      <w:ind/>
    </w:pPr>
    <w:rPr>
      <w:rFonts w:ascii="Arial" w:hAnsi="Arial" w:eastAsia="Arial" w:cs="Arial"/>
      <w:color w:val="0f4761" w:themeColor="accent1" w:themeShade="BF"/>
    </w:rPr>
  </w:style>
  <w:style w:type="character" w:styleId="155">
    <w:name w:val="Heading 6 Char"/>
    <w:basedOn w:val="700"/>
    <w:link w:val="144"/>
    <w:uiPriority w:val="9"/>
    <w:pPr>
      <w:pBdr/>
      <w:spacing/>
      <w:ind/>
    </w:pPr>
    <w:rPr>
      <w:rFonts w:ascii="Arial" w:hAnsi="Arial" w:eastAsia="Arial" w:cs="Arial"/>
      <w:i/>
      <w:iCs/>
      <w:color w:val="595959" w:themeColor="text1" w:themeTint="A6"/>
    </w:rPr>
  </w:style>
  <w:style w:type="character" w:styleId="156">
    <w:name w:val="Heading 7 Char"/>
    <w:basedOn w:val="700"/>
    <w:link w:val="145"/>
    <w:uiPriority w:val="9"/>
    <w:pPr>
      <w:pBdr/>
      <w:spacing/>
      <w:ind/>
    </w:pPr>
    <w:rPr>
      <w:rFonts w:ascii="Arial" w:hAnsi="Arial" w:eastAsia="Arial" w:cs="Arial"/>
      <w:color w:val="595959" w:themeColor="text1" w:themeTint="A6"/>
    </w:rPr>
  </w:style>
  <w:style w:type="character" w:styleId="157">
    <w:name w:val="Heading 8 Char"/>
    <w:basedOn w:val="700"/>
    <w:link w:val="146"/>
    <w:uiPriority w:val="9"/>
    <w:pPr>
      <w:pBdr/>
      <w:spacing/>
      <w:ind/>
    </w:pPr>
    <w:rPr>
      <w:rFonts w:ascii="Arial" w:hAnsi="Arial" w:eastAsia="Arial" w:cs="Arial"/>
      <w:i/>
      <w:iCs/>
      <w:color w:val="272727" w:themeColor="text1" w:themeTint="D8"/>
    </w:rPr>
  </w:style>
  <w:style w:type="character" w:styleId="158">
    <w:name w:val="Heading 9 Char"/>
    <w:basedOn w:val="700"/>
    <w:link w:val="147"/>
    <w:uiPriority w:val="9"/>
    <w:pPr>
      <w:pBdr/>
      <w:spacing/>
      <w:ind/>
    </w:pPr>
    <w:rPr>
      <w:rFonts w:ascii="Arial" w:hAnsi="Arial" w:eastAsia="Arial" w:cs="Arial"/>
      <w:i/>
      <w:iCs/>
      <w:color w:val="272727" w:themeColor="text1" w:themeTint="D8"/>
    </w:rPr>
  </w:style>
  <w:style w:type="paragraph" w:styleId="159">
    <w:name w:val="Title"/>
    <w:basedOn w:val="697"/>
    <w:next w:val="69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0"/>
    <w:link w:val="159"/>
    <w:uiPriority w:val="10"/>
    <w:pPr>
      <w:pBdr/>
      <w:spacing/>
      <w:ind/>
    </w:pPr>
    <w:rPr>
      <w:rFonts w:ascii="Arial" w:hAnsi="Arial" w:eastAsia="Arial" w:cs="Arial"/>
      <w:spacing w:val="-10"/>
      <w:sz w:val="56"/>
      <w:szCs w:val="56"/>
    </w:rPr>
  </w:style>
  <w:style w:type="paragraph" w:styleId="161">
    <w:name w:val="Subtitle"/>
    <w:basedOn w:val="697"/>
    <w:next w:val="697"/>
    <w:link w:val="162"/>
    <w:uiPriority w:val="11"/>
    <w:qFormat/>
    <w:pPr>
      <w:numPr>
        <w:ilvl w:val="1"/>
      </w:numPr>
      <w:pBdr/>
      <w:spacing/>
      <w:ind/>
    </w:pPr>
    <w:rPr>
      <w:color w:val="595959" w:themeColor="text1" w:themeTint="A6"/>
      <w:spacing w:val="15"/>
      <w:sz w:val="28"/>
      <w:szCs w:val="28"/>
    </w:rPr>
  </w:style>
  <w:style w:type="character" w:styleId="162">
    <w:name w:val="Subtitle Char"/>
    <w:basedOn w:val="700"/>
    <w:link w:val="161"/>
    <w:uiPriority w:val="11"/>
    <w:pPr>
      <w:pBdr/>
      <w:spacing/>
      <w:ind/>
    </w:pPr>
    <w:rPr>
      <w:color w:val="595959" w:themeColor="text1" w:themeTint="A6"/>
      <w:spacing w:val="15"/>
      <w:sz w:val="28"/>
      <w:szCs w:val="28"/>
    </w:rPr>
  </w:style>
  <w:style w:type="paragraph" w:styleId="163">
    <w:name w:val="Quote"/>
    <w:basedOn w:val="697"/>
    <w:next w:val="697"/>
    <w:link w:val="164"/>
    <w:uiPriority w:val="29"/>
    <w:qFormat/>
    <w:pPr>
      <w:pBdr/>
      <w:spacing w:before="160"/>
      <w:ind/>
      <w:jc w:val="center"/>
    </w:pPr>
    <w:rPr>
      <w:i/>
      <w:iCs/>
      <w:color w:val="404040" w:themeColor="text1" w:themeTint="BF"/>
    </w:rPr>
  </w:style>
  <w:style w:type="character" w:styleId="164">
    <w:name w:val="Quote Char"/>
    <w:basedOn w:val="700"/>
    <w:link w:val="163"/>
    <w:uiPriority w:val="29"/>
    <w:pPr>
      <w:pBdr/>
      <w:spacing/>
      <w:ind/>
    </w:pPr>
    <w:rPr>
      <w:i/>
      <w:iCs/>
      <w:color w:val="404040" w:themeColor="text1" w:themeTint="BF"/>
    </w:rPr>
  </w:style>
  <w:style w:type="paragraph" w:styleId="165">
    <w:name w:val="List Paragraph"/>
    <w:basedOn w:val="697"/>
    <w:uiPriority w:val="34"/>
    <w:qFormat/>
    <w:pPr>
      <w:pBdr/>
      <w:spacing/>
      <w:ind w:left="720"/>
      <w:contextualSpacing w:val="true"/>
    </w:pPr>
  </w:style>
  <w:style w:type="character" w:styleId="166">
    <w:name w:val="Intense Emphasis"/>
    <w:basedOn w:val="700"/>
    <w:uiPriority w:val="21"/>
    <w:qFormat/>
    <w:pPr>
      <w:pBdr/>
      <w:spacing/>
      <w:ind/>
    </w:pPr>
    <w:rPr>
      <w:i/>
      <w:iCs/>
      <w:color w:val="0f4761" w:themeColor="accent1" w:themeShade="BF"/>
    </w:rPr>
  </w:style>
  <w:style w:type="paragraph" w:styleId="167">
    <w:name w:val="Intense Quote"/>
    <w:basedOn w:val="697"/>
    <w:next w:val="69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0"/>
    <w:link w:val="167"/>
    <w:uiPriority w:val="30"/>
    <w:pPr>
      <w:pBdr/>
      <w:spacing/>
      <w:ind/>
    </w:pPr>
    <w:rPr>
      <w:i/>
      <w:iCs/>
      <w:color w:val="0f4761" w:themeColor="accent1" w:themeShade="BF"/>
    </w:rPr>
  </w:style>
  <w:style w:type="character" w:styleId="169">
    <w:name w:val="Intense Reference"/>
    <w:basedOn w:val="700"/>
    <w:uiPriority w:val="32"/>
    <w:qFormat/>
    <w:pPr>
      <w:pBdr/>
      <w:spacing/>
      <w:ind/>
    </w:pPr>
    <w:rPr>
      <w:b/>
      <w:bCs/>
      <w:smallCaps/>
      <w:color w:val="0f4761" w:themeColor="accent1" w:themeShade="BF"/>
      <w:spacing w:val="5"/>
    </w:rPr>
  </w:style>
  <w:style w:type="paragraph" w:styleId="170">
    <w:name w:val="No Spacing"/>
    <w:basedOn w:val="697"/>
    <w:uiPriority w:val="1"/>
    <w:qFormat/>
    <w:pPr>
      <w:pBdr/>
      <w:spacing w:after="0" w:line="240" w:lineRule="auto"/>
      <w:ind/>
    </w:pPr>
  </w:style>
  <w:style w:type="character" w:styleId="171">
    <w:name w:val="Subtle Emphasis"/>
    <w:basedOn w:val="700"/>
    <w:uiPriority w:val="19"/>
    <w:qFormat/>
    <w:pPr>
      <w:pBdr/>
      <w:spacing/>
      <w:ind/>
    </w:pPr>
    <w:rPr>
      <w:i/>
      <w:iCs/>
      <w:color w:val="404040" w:themeColor="text1" w:themeTint="BF"/>
    </w:rPr>
  </w:style>
  <w:style w:type="character" w:styleId="172">
    <w:name w:val="Emphasis"/>
    <w:basedOn w:val="700"/>
    <w:uiPriority w:val="20"/>
    <w:qFormat/>
    <w:pPr>
      <w:pBdr/>
      <w:spacing/>
      <w:ind/>
    </w:pPr>
    <w:rPr>
      <w:i/>
      <w:iCs/>
    </w:rPr>
  </w:style>
  <w:style w:type="character" w:styleId="173">
    <w:name w:val="Strong"/>
    <w:basedOn w:val="700"/>
    <w:uiPriority w:val="22"/>
    <w:qFormat/>
    <w:pPr>
      <w:pBdr/>
      <w:spacing/>
      <w:ind/>
    </w:pPr>
    <w:rPr>
      <w:b/>
      <w:bCs/>
    </w:rPr>
  </w:style>
  <w:style w:type="character" w:styleId="174">
    <w:name w:val="Subtle Reference"/>
    <w:basedOn w:val="700"/>
    <w:uiPriority w:val="31"/>
    <w:qFormat/>
    <w:pPr>
      <w:pBdr/>
      <w:spacing/>
      <w:ind/>
    </w:pPr>
    <w:rPr>
      <w:smallCaps/>
      <w:color w:val="5a5a5a" w:themeColor="text1" w:themeTint="A5"/>
    </w:rPr>
  </w:style>
  <w:style w:type="character" w:styleId="175">
    <w:name w:val="Book Title"/>
    <w:basedOn w:val="700"/>
    <w:uiPriority w:val="33"/>
    <w:qFormat/>
    <w:pPr>
      <w:pBdr/>
      <w:spacing/>
      <w:ind/>
    </w:pPr>
    <w:rPr>
      <w:b/>
      <w:bCs/>
      <w:i/>
      <w:iCs/>
      <w:spacing w:val="5"/>
    </w:rPr>
  </w:style>
  <w:style w:type="character" w:styleId="177">
    <w:name w:val="Header Char"/>
    <w:basedOn w:val="700"/>
    <w:link w:val="705"/>
    <w:uiPriority w:val="99"/>
    <w:pPr>
      <w:pBdr/>
      <w:spacing/>
      <w:ind/>
    </w:pPr>
  </w:style>
  <w:style w:type="character" w:styleId="179">
    <w:name w:val="Footer Char"/>
    <w:basedOn w:val="700"/>
    <w:link w:val="703"/>
    <w:uiPriority w:val="99"/>
    <w:pPr>
      <w:pBdr/>
      <w:spacing/>
      <w:ind/>
    </w:pPr>
  </w:style>
  <w:style w:type="paragraph" w:styleId="180">
    <w:name w:val="Caption"/>
    <w:basedOn w:val="697"/>
    <w:next w:val="697"/>
    <w:uiPriority w:val="35"/>
    <w:unhideWhenUsed/>
    <w:qFormat/>
    <w:pPr>
      <w:pBdr/>
      <w:spacing w:after="200" w:line="240" w:lineRule="auto"/>
      <w:ind/>
    </w:pPr>
    <w:rPr>
      <w:i/>
      <w:iCs/>
      <w:color w:val="0e2841" w:themeColor="text2"/>
      <w:sz w:val="18"/>
      <w:szCs w:val="18"/>
    </w:rPr>
  </w:style>
  <w:style w:type="paragraph" w:styleId="181">
    <w:name w:val="footnote text"/>
    <w:basedOn w:val="697"/>
    <w:link w:val="182"/>
    <w:uiPriority w:val="99"/>
    <w:semiHidden/>
    <w:unhideWhenUsed/>
    <w:pPr>
      <w:pBdr/>
      <w:spacing w:after="0" w:line="240" w:lineRule="auto"/>
      <w:ind/>
    </w:pPr>
    <w:rPr>
      <w:sz w:val="20"/>
      <w:szCs w:val="20"/>
    </w:rPr>
  </w:style>
  <w:style w:type="character" w:styleId="182">
    <w:name w:val="Footnote Text Char"/>
    <w:basedOn w:val="700"/>
    <w:link w:val="181"/>
    <w:uiPriority w:val="99"/>
    <w:semiHidden/>
    <w:pPr>
      <w:pBdr/>
      <w:spacing/>
      <w:ind/>
    </w:pPr>
    <w:rPr>
      <w:sz w:val="20"/>
      <w:szCs w:val="20"/>
    </w:rPr>
  </w:style>
  <w:style w:type="character" w:styleId="183">
    <w:name w:val="footnote reference"/>
    <w:basedOn w:val="700"/>
    <w:uiPriority w:val="99"/>
    <w:semiHidden/>
    <w:unhideWhenUsed/>
    <w:pPr>
      <w:pBdr/>
      <w:spacing/>
      <w:ind/>
    </w:pPr>
    <w:rPr>
      <w:vertAlign w:val="superscript"/>
    </w:rPr>
  </w:style>
  <w:style w:type="paragraph" w:styleId="184">
    <w:name w:val="endnote text"/>
    <w:basedOn w:val="697"/>
    <w:link w:val="185"/>
    <w:uiPriority w:val="99"/>
    <w:semiHidden/>
    <w:unhideWhenUsed/>
    <w:pPr>
      <w:pBdr/>
      <w:spacing w:after="0" w:line="240" w:lineRule="auto"/>
      <w:ind/>
    </w:pPr>
    <w:rPr>
      <w:sz w:val="20"/>
      <w:szCs w:val="20"/>
    </w:rPr>
  </w:style>
  <w:style w:type="character" w:styleId="185">
    <w:name w:val="Endnote Text Char"/>
    <w:basedOn w:val="700"/>
    <w:link w:val="184"/>
    <w:uiPriority w:val="99"/>
    <w:semiHidden/>
    <w:pPr>
      <w:pBdr/>
      <w:spacing/>
      <w:ind/>
    </w:pPr>
    <w:rPr>
      <w:sz w:val="20"/>
      <w:szCs w:val="20"/>
    </w:rPr>
  </w:style>
  <w:style w:type="character" w:styleId="186">
    <w:name w:val="endnote reference"/>
    <w:basedOn w:val="700"/>
    <w:uiPriority w:val="99"/>
    <w:semiHidden/>
    <w:unhideWhenUsed/>
    <w:pPr>
      <w:pBdr/>
      <w:spacing/>
      <w:ind/>
    </w:pPr>
    <w:rPr>
      <w:vertAlign w:val="superscript"/>
    </w:rPr>
  </w:style>
  <w:style w:type="character" w:styleId="187">
    <w:name w:val="Hyperlink"/>
    <w:basedOn w:val="700"/>
    <w:uiPriority w:val="99"/>
    <w:unhideWhenUsed/>
    <w:pPr>
      <w:pBdr/>
      <w:spacing/>
      <w:ind/>
    </w:pPr>
    <w:rPr>
      <w:color w:val="0563c1" w:themeColor="hyperlink"/>
      <w:u w:val="single"/>
    </w:rPr>
  </w:style>
  <w:style w:type="character" w:styleId="188">
    <w:name w:val="FollowedHyperlink"/>
    <w:basedOn w:val="700"/>
    <w:uiPriority w:val="99"/>
    <w:semiHidden/>
    <w:unhideWhenUsed/>
    <w:pPr>
      <w:pBdr/>
      <w:spacing/>
      <w:ind/>
    </w:pPr>
    <w:rPr>
      <w:color w:val="954f72" w:themeColor="followedHyperlink"/>
      <w:u w:val="single"/>
    </w:rPr>
  </w:style>
  <w:style w:type="paragraph" w:styleId="189">
    <w:name w:val="toc 1"/>
    <w:basedOn w:val="697"/>
    <w:next w:val="697"/>
    <w:uiPriority w:val="39"/>
    <w:unhideWhenUsed/>
    <w:pPr>
      <w:pBdr/>
      <w:spacing w:after="100"/>
      <w:ind/>
    </w:pPr>
  </w:style>
  <w:style w:type="paragraph" w:styleId="190">
    <w:name w:val="toc 2"/>
    <w:basedOn w:val="697"/>
    <w:next w:val="697"/>
    <w:uiPriority w:val="39"/>
    <w:unhideWhenUsed/>
    <w:pPr>
      <w:pBdr/>
      <w:spacing w:after="100"/>
      <w:ind w:left="220"/>
    </w:pPr>
  </w:style>
  <w:style w:type="paragraph" w:styleId="191">
    <w:name w:val="toc 3"/>
    <w:basedOn w:val="697"/>
    <w:next w:val="697"/>
    <w:uiPriority w:val="39"/>
    <w:unhideWhenUsed/>
    <w:pPr>
      <w:pBdr/>
      <w:spacing w:after="100"/>
      <w:ind w:left="440"/>
    </w:pPr>
  </w:style>
  <w:style w:type="paragraph" w:styleId="192">
    <w:name w:val="toc 4"/>
    <w:basedOn w:val="697"/>
    <w:next w:val="697"/>
    <w:uiPriority w:val="39"/>
    <w:unhideWhenUsed/>
    <w:pPr>
      <w:pBdr/>
      <w:spacing w:after="100"/>
      <w:ind w:left="660"/>
    </w:pPr>
  </w:style>
  <w:style w:type="paragraph" w:styleId="193">
    <w:name w:val="toc 5"/>
    <w:basedOn w:val="697"/>
    <w:next w:val="697"/>
    <w:uiPriority w:val="39"/>
    <w:unhideWhenUsed/>
    <w:pPr>
      <w:pBdr/>
      <w:spacing w:after="100"/>
      <w:ind w:left="880"/>
    </w:pPr>
  </w:style>
  <w:style w:type="paragraph" w:styleId="194">
    <w:name w:val="toc 6"/>
    <w:basedOn w:val="697"/>
    <w:next w:val="697"/>
    <w:uiPriority w:val="39"/>
    <w:unhideWhenUsed/>
    <w:pPr>
      <w:pBdr/>
      <w:spacing w:after="100"/>
      <w:ind w:left="1100"/>
    </w:pPr>
  </w:style>
  <w:style w:type="paragraph" w:styleId="195">
    <w:name w:val="toc 7"/>
    <w:basedOn w:val="697"/>
    <w:next w:val="697"/>
    <w:uiPriority w:val="39"/>
    <w:unhideWhenUsed/>
    <w:pPr>
      <w:pBdr/>
      <w:spacing w:after="100"/>
      <w:ind w:left="1320"/>
    </w:pPr>
  </w:style>
  <w:style w:type="paragraph" w:styleId="196">
    <w:name w:val="toc 8"/>
    <w:basedOn w:val="697"/>
    <w:next w:val="697"/>
    <w:uiPriority w:val="39"/>
    <w:unhideWhenUsed/>
    <w:pPr>
      <w:pBdr/>
      <w:spacing w:after="100"/>
      <w:ind w:left="1540"/>
    </w:pPr>
  </w:style>
  <w:style w:type="paragraph" w:styleId="197">
    <w:name w:val="toc 9"/>
    <w:basedOn w:val="697"/>
    <w:next w:val="697"/>
    <w:uiPriority w:val="39"/>
    <w:unhideWhenUsed/>
    <w:pPr>
      <w:pBdr/>
      <w:spacing w:after="100"/>
      <w:ind w:left="1760"/>
    </w:pPr>
  </w:style>
  <w:style w:type="character" w:styleId="198">
    <w:name w:val="Placeholder Text"/>
    <w:basedOn w:val="70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7"/>
    <w:next w:val="697"/>
    <w:uiPriority w:val="99"/>
    <w:unhideWhenUsed/>
    <w:pPr>
      <w:pBdr/>
      <w:spacing w:after="0" w:afterAutospacing="0"/>
      <w:ind/>
    </w:pPr>
  </w:style>
  <w:style w:type="paragraph" w:styleId="697" w:default="1">
    <w:name w:val="Normal"/>
    <w:next w:val="698"/>
    <w:uiPriority w:val="99"/>
    <w:qFormat/>
    <w:pPr>
      <w:widowControl w:val="false"/>
      <w:pBdr/>
      <w:spacing/>
      <w:ind/>
      <w:jc w:val="both"/>
    </w:pPr>
    <w:rPr>
      <w:rFonts w:hint="eastAsia" w:ascii="Times New Roman" w:hAnsi="Times New Roman" w:eastAsia="宋体" w:cs="Times New Roman"/>
      <w:sz w:val="21"/>
      <w:lang w:val="en-US" w:eastAsia="zh-CN" w:bidi="ar-SA"/>
    </w:rPr>
  </w:style>
  <w:style w:type="paragraph" w:styleId="698">
    <w:name w:val="Heading 2"/>
    <w:basedOn w:val="697"/>
    <w:next w:val="697"/>
    <w:uiPriority w:val="99"/>
    <w:qFormat/>
    <w:pPr>
      <w:keepNext w:val="true"/>
      <w:keepLines w:val="true"/>
      <w:pBdr/>
      <w:spacing w:after="260" w:afterLines="0" w:before="260" w:beforeLines="0" w:line="415" w:lineRule="auto"/>
      <w:ind/>
      <w:jc w:val="center"/>
      <w:outlineLvl w:val="1"/>
    </w:pPr>
    <w:rPr>
      <w:rFonts w:hint="default" w:ascii="Arial" w:hAnsi="Arial" w:eastAsia="黑体"/>
      <w:sz w:val="84"/>
    </w:rPr>
  </w:style>
  <w:style w:type="paragraph" w:styleId="699">
    <w:name w:val="Heading 5"/>
    <w:basedOn w:val="697"/>
    <w:next w:val="697"/>
    <w:uiPriority w:val="0"/>
    <w:unhideWhenUsed/>
    <w:qFormat/>
    <w:pPr>
      <w:keepNext w:val="true"/>
      <w:keepLines w:val="true"/>
      <w:pBdr/>
      <w:spacing w:after="290" w:before="280" w:line="376" w:lineRule="auto"/>
      <w:ind/>
      <w:outlineLvl w:val="4"/>
    </w:pPr>
    <w:rPr>
      <w:b/>
      <w:bCs/>
      <w:sz w:val="28"/>
      <w:szCs w:val="28"/>
    </w:rPr>
  </w:style>
  <w:style w:type="character" w:styleId="700" w:default="1">
    <w:name w:val="Default Paragraph Font"/>
    <w:uiPriority w:val="0"/>
    <w:semiHidden/>
    <w:qFormat/>
    <w:pPr>
      <w:pBdr/>
      <w:spacing/>
      <w:ind/>
    </w:pPr>
  </w:style>
  <w:style w:type="table" w:styleId="701" w:default="1">
    <w:name w:val="Normal Table"/>
    <w:uiPriority w:val="0"/>
    <w:semiHidden/>
    <w:qFormat/>
    <w:pPr>
      <w:pBdr/>
      <w:spacing/>
      <w:ind/>
    </w:pPr>
    <w:tblPr>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2">
    <w:name w:val="Body Text Indent"/>
    <w:basedOn w:val="697"/>
    <w:uiPriority w:val="99"/>
    <w:unhideWhenUsed/>
    <w:pPr>
      <w:pBdr/>
      <w:spacing w:after="120" w:afterLines="0"/>
      <w:ind w:left="420"/>
    </w:pPr>
    <w:rPr>
      <w:rFonts w:hint="default"/>
    </w:rPr>
  </w:style>
  <w:style w:type="paragraph" w:styleId="703">
    <w:name w:val="Footer"/>
    <w:basedOn w:val="697"/>
    <w:uiPriority w:val="99"/>
    <w:unhideWhenUsed/>
    <w:qFormat/>
    <w:pPr>
      <w:pBdr/>
      <w:tabs>
        <w:tab w:val="center" w:leader="none" w:pos="4153"/>
        <w:tab w:val="right" w:leader="none" w:pos="8306"/>
      </w:tabs>
      <w:spacing/>
      <w:ind/>
      <w:jc w:val="left"/>
    </w:pPr>
    <w:rPr>
      <w:sz w:val="18"/>
      <w:szCs w:val="18"/>
    </w:rPr>
  </w:style>
  <w:style w:type="paragraph" w:styleId="704">
    <w:name w:val="Body Text First Indent 2"/>
    <w:basedOn w:val="702"/>
    <w:uiPriority w:val="0"/>
    <w:qFormat/>
    <w:pPr>
      <w:pBdr/>
      <w:spacing/>
      <w:ind w:firstLine="420"/>
    </w:pPr>
    <w:rPr>
      <w:szCs w:val="24"/>
    </w:rPr>
  </w:style>
  <w:style w:type="paragraph" w:styleId="705">
    <w:name w:val="Header"/>
    <w:basedOn w:val="697"/>
    <w:uiPriority w:val="99"/>
    <w:unhideWhenUsed/>
    <w:qFormat/>
    <w:pPr>
      <w:pBdr>
        <w:bottom w:val="single" w:color="000000" w:sz="6" w:space="1"/>
      </w:pBdr>
      <w:tabs>
        <w:tab w:val="center" w:leader="none" w:pos="4153"/>
        <w:tab w:val="right" w:leader="none" w:pos="8306"/>
      </w:tabs>
      <w:spacing/>
      <w:ind/>
      <w:jc w:val="center"/>
    </w:pPr>
    <w:rPr>
      <w:sz w:val="18"/>
      <w:szCs w:val="18"/>
    </w:rPr>
  </w:style>
  <w:style w:type="table" w:styleId="706">
    <w:name w:val="Table Grid"/>
    <w:basedOn w:val="701"/>
    <w:uiPriority w:val="99"/>
    <w:unhideWhenUsed/>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7" w:customStyle="1">
    <w:name w:val="Body Text Indent Justified"/>
    <w:basedOn w:val="697"/>
    <w:uiPriority w:val="0"/>
    <w:qFormat/>
    <w:pPr>
      <w:widowControl w:val="true"/>
      <w:pBdr/>
      <w:spacing w:after="240"/>
      <w:ind w:left="720"/>
    </w:pPr>
    <w:rPr>
      <w:sz w:val="24"/>
      <w:szCs w:val="20"/>
    </w:rPr>
  </w:style>
  <w:style w:type="paragraph" w:styleId="708" w:customStyle="1">
    <w:name w:val="_Style 13"/>
    <w:uiPriority w:val="0"/>
    <w:qFormat/>
    <w:pPr>
      <w:pBdr/>
      <w:spacing w:after="120" w:before="120" w:line="288" w:lineRule="auto"/>
      <w:ind/>
    </w:pPr>
    <w:rPr>
      <w:rFonts w:ascii="Arial" w:hAnsi="Arial" w:eastAsia="等线" w:cs="Arial"/>
      <w:sz w:val="22"/>
      <w:szCs w:val="22"/>
      <w:lang w:val="en-US" w:eastAsia="zh-CN"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MiaotongDoc 测试用户25</cp:lastModifiedBy>
  <cp:revision>2</cp:revision>
  <dcterms:created xsi:type="dcterms:W3CDTF">2025-11-04T01:37:00Z</dcterms:created>
  <dcterms:modified xsi:type="dcterms:W3CDTF">2026-05-25T15:25:59Z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71BB9E97DE834B31B1428E9C3D340FA2_13</vt:lpwstr>
  </property>
  <property fmtid="{D5CDD505-2E9C-101B-9397-08002B2CF9AE}" pid="4" name="KSOTemplateDocerSaveRecord">
    <vt:lpwstr>eyJoZGlkIjoiM2I1MGFiMDI1N2U2ZDQxNTEyMGNhZDdhYzVkODMyNjgiLCJ1c2VySWQiOiI0NzQwNjQ2OTcifQ==</vt:lpwstr>
  </property>
</Properties>
</file>