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500"/>
        <w:jc w:val="center"/>
      </w:pPr>
      <w:r>
        <w:t>Evidence Grounded AI Investment Co Pilot for AAPL</w:t>
      </w:r>
    </w:p>
    <w:p>
      <w:pPr>
        <w:spacing w:before="280"/>
        <w:jc w:val="center"/>
      </w:pPr>
      <w:r>
        <w:rPr>
          <w:b/>
        </w:rPr>
        <w:t>PE6201 Project Report</w:t>
      </w:r>
    </w:p>
    <w:p>
      <w:pPr>
        <w:jc w:val="center"/>
      </w:pPr>
      <w:r>
        <w:rPr>
          <w:i/>
        </w:rPr>
        <w:t>FinBERT sentiment  RSI  retrieval  constrained LLM  human control</w:t>
      </w:r>
    </w:p>
    <w:p>
      <w:pPr>
        <w:spacing w:before="880"/>
        <w:jc w:val="center"/>
      </w:pPr>
      <w:r>
        <w:t>4 October 2026</w:t>
      </w:r>
    </w:p>
    <w:p>
      <w:pPr>
        <w:jc w:val="center"/>
      </w:pPr>
      <w:r>
        <w:t>Report word count  1,213 excluding title page and references</w:t>
      </w:r>
    </w:p>
    <w:p>
      <w:pPr>
        <w:spacing w:before="520"/>
        <w:jc w:val="center"/>
      </w:pPr>
      <w:hyperlink r:id="rId10">
        <w:r>
          <w:rPr>
            <w:color w:val="1F4E79"/>
            <w:u w:val="single"/>
          </w:rPr>
          <w:t>GitHub repository</w:t>
        </w:r>
      </w:hyperlink>
    </w:p>
    <w:p>
      <w:r>
        <w:br w:type="page"/>
      </w:r>
    </w:p>
    <w:p>
      <w:pPr>
        <w:pStyle w:val="Heading1"/>
      </w:pPr>
      <w:r>
        <w:t>Executive Summary</w:t>
      </w:r>
    </w:p>
    <w:p>
      <w:r>
        <w:t>This project builds a human-in-the-loop research co-pilot for Apple Inc. (AAPL). It converts real headlines and price history into a transparent BUY, HOLD or SELL simulation. FinBERT classifies headline sentiment, Python calculates 14-day RSI and applies fixed signal and risk rules, TF-IDF retrieves supporting evidence, and a constrained OpenRouter model explains that evidence. The language model cannot calculate the signal, alter risk limits or execute an action. The user must confirm any simulated action. The contribution is therefore not a claim of market prediction; it is an auditable alternative to opaque, unconstrained investment chatbots.</w:t>
      </w:r>
    </w:p>
    <w:p>
      <w:r>
        <w:t>Across 90 trading days, the strategy returned 15.09%, versus 9.28% for buy-and-hold and -1.17% for the mean of 500 seeded coin-flip runs. On a separately balanced, single-annotator human-reviewed set, FinBERT achieved 73.33% accuracy and 71.36% macro F1, above the keyword baseline's 36.67% accuracy and 23.15% macro F1. These results support the engineering design, but one stock, one period and 30 purposively balanced labels cannot establish production accuracy or future profitability.</w:t>
      </w:r>
    </w:p>
    <w:p>
      <w:pPr>
        <w:pStyle w:val="Heading1"/>
      </w:pPr>
      <w:r>
        <w:t>1 Problem Reasoning and Product Definition</w:t>
      </w:r>
    </w:p>
    <w:p>
      <w:r>
        <w:t>The target persona is a retail investor or student who wants a concise AAPL research signal but needs to inspect the evidence and remain responsible for the final decision. Today, news, technical indicators and generative explanations are often separated, while a fluent model can hide unsupported reasoning. This project changes that workflow by joining those inputs into one traceable decision record. Its input is dated AAPL news, closing-price history, portfolio limits and a user confirmation. Its output is a simulated signal, RSI, aggregate sentiment, three cited headlines, a validated explanation and a guardrail result. No real order is sent. Success was defined as reproducibility, grounded evidence, safe failure and measurable performance rather than guaranteed return.</w:t>
      </w:r>
    </w:p>
    <w:p>
      <w:pPr>
        <w:pStyle w:val="Heading1"/>
      </w:pPr>
      <w:r>
        <w:t>2 Architecture and Implementation</w:t>
      </w:r>
    </w:p>
    <w:p>
      <w:pPr>
        <w:keepNext/>
        <w:spacing w:before="80" w:after="80"/>
      </w:pPr>
      <w:r>
        <w:rPr>
          <w:b/>
          <w:sz w:val="19"/>
        </w:rPr>
        <w:t>Figure 1 High level product architecture</w:t>
      </w:r>
    </w:p>
    <w:tbl>
      <w:tblPr>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243B53"/>
            <w:vAlign w:val="center"/>
          </w:tcPr>
          <w:p>
            <w:pPr>
              <w:spacing w:after="0"/>
              <w:jc w:val="center"/>
            </w:pPr>
            <w:r>
              <w:rPr>
                <w:b/>
                <w:color w:val="FFFFFF"/>
                <w:sz w:val="17"/>
              </w:rPr>
              <w:t>Inputs</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243B53"/>
            <w:vAlign w:val="center"/>
          </w:tcPr>
          <w:p>
            <w:pPr>
              <w:spacing w:after="0"/>
              <w:jc w:val="center"/>
            </w:pPr>
            <w:r>
              <w:rPr>
                <w:b/>
                <w:color w:val="FFFFFF"/>
                <w:sz w:val="17"/>
              </w:rPr>
              <w:t>Analysis</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243B53"/>
            <w:vAlign w:val="center"/>
          </w:tcPr>
          <w:p>
            <w:pPr>
              <w:spacing w:after="0"/>
              <w:jc w:val="center"/>
            </w:pPr>
            <w:r>
              <w:rPr>
                <w:b/>
                <w:color w:val="FFFFFF"/>
                <w:sz w:val="17"/>
              </w:rPr>
              <w:t>Decision</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243B53"/>
            <w:vAlign w:val="center"/>
          </w:tcPr>
          <w:p>
            <w:pPr>
              <w:spacing w:after="0"/>
              <w:jc w:val="center"/>
            </w:pPr>
            <w:r>
              <w:rPr>
                <w:b/>
                <w:color w:val="FFFFFF"/>
                <w:sz w:val="17"/>
              </w:rPr>
              <w:t>Explanation</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243B53"/>
            <w:vAlign w:val="center"/>
          </w:tcPr>
          <w:p>
            <w:pPr>
              <w:spacing w:after="0"/>
              <w:jc w:val="center"/>
            </w:pPr>
            <w:r>
              <w:rPr>
                <w:b/>
                <w:color w:val="FFFFFF"/>
                <w:sz w:val="17"/>
              </w:rPr>
              <w:t>Human control</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left"/>
            </w:pPr>
            <w:r>
              <w:rPr>
                <w:sz w:val="17"/>
              </w:rPr>
              <w:t>AAPL news and prices</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sz w:val="17"/>
              </w:rPr>
              <w:t>FinBERT sentiment and RSI</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sz w:val="17"/>
              </w:rPr>
              <w:t>Fixed thresholds and guardrails</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sz w:val="17"/>
              </w:rPr>
              <w:t>TF-IDF evidence and constrained LLM</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sz w:val="17"/>
              </w:rPr>
              <w:t>View approve or reject</w:t>
            </w:r>
          </w:p>
        </w:tc>
      </w:tr>
    </w:tbl>
    <w:p>
      <w:pPr>
        <w:spacing w:after="0"/>
      </w:pPr>
    </w:p>
    <w:p>
      <w:r>
        <w:t>The agent orchestrates narrow components. Alpha Vantage supplies dated headlines and yfinance supplies prices. The collector keeps direct AAPL titles with relevance of at least 0.60, removes duplicates and caps each date at five headlines. FinBERT maps each headline to positive, neutral or negative sentiment. Deterministic Python then calculates RSI and applies predeclared thresholds: BUY requires sentiment at least +0.15 and RSI below 70; SELL requires sentiment at most -0.15 and RSI above 30; otherwise the result is HOLD.</w:t>
      </w:r>
    </w:p>
    <w:p>
      <w:r>
        <w:t>For explanation, TF-IDF retrieves three local headlines. The OpenRouter model receives only their text, source names and identifiers. Its output is rejected if a sentence lacks a citation, cites an unknown identifier, introduces numbers, repeats a signal word, creates a URL or makes a certainty claim. Failure triggers a deterministic template. Position and loss caps remain ordinary Python checks, and Y, N or V input controls the simulation. This separation prevents fluent text from becoming decision authority.</w:t>
      </w:r>
    </w:p>
    <w:p>
      <w:pPr>
        <w:pStyle w:val="Heading1"/>
      </w:pPr>
      <w:r>
        <w:t>3 Data and Evaluation Design</w:t>
      </w:r>
    </w:p>
    <w:p>
      <w:r>
        <w:t>The primary corpus contains 134 real AAPL headlines from 28 sources between 20 May and 30 September 2026. Fifteen duplicates were removed, and the provider's own sentiment field was discarded to avoid circular evaluation. The backtest contains 90 trading-day observations, applies the previous day's position to the current return and charges 0.1% whenever exposure changes. Baselines are buy-and-hold and 500 fixed-seed fair coin paths in which heads holds AAPL and tails holds cash.</w:t>
      </w:r>
    </w:p>
    <w:p>
      <w:r>
        <w:t>Sentiment used two complementary 30-headline sets. The fixed-seed random sample reflects the collected corpus but contains 25 neutral, five positive and no negative labels; its labels were AI-assisted. The challenge set was selected from a separate 162-headline pool and deliberately contains ten examples per class. Its labels were manually reviewed by one human annotator. The random set tests behaviour under the observed mix, whereas the balanced set exposes class discrimination. Neither is independent multi-annotator ground truth. The project also tests citation integrity, six guardrail cases and twelve automated behaviours.</w:t>
      </w:r>
    </w:p>
    <w:p>
      <w:pPr>
        <w:keepNext/>
        <w:spacing w:before="80" w:after="80"/>
      </w:pPr>
      <w:r>
        <w:rPr>
          <w:b/>
          <w:sz w:val="19"/>
        </w:rPr>
        <w:t>Table 1 Targeted and reached metrics</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243B53"/>
            <w:vAlign w:val="center"/>
          </w:tcPr>
          <w:p>
            <w:pPr>
              <w:spacing w:after="0"/>
              <w:jc w:val="center"/>
            </w:pPr>
            <w:r>
              <w:rPr>
                <w:b/>
                <w:color w:val="FFFFFF"/>
                <w:sz w:val="17"/>
              </w:rPr>
              <w:t>Metric</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243B53"/>
            <w:vAlign w:val="center"/>
          </w:tcPr>
          <w:p>
            <w:pPr>
              <w:spacing w:after="0"/>
              <w:jc w:val="center"/>
            </w:pPr>
            <w:r>
              <w:rPr>
                <w:b/>
                <w:color w:val="FFFFFF"/>
                <w:sz w:val="17"/>
              </w:rPr>
              <w:t>Target</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243B53"/>
            <w:vAlign w:val="center"/>
          </w:tcPr>
          <w:p>
            <w:pPr>
              <w:spacing w:after="0"/>
              <w:jc w:val="center"/>
            </w:pPr>
            <w:r>
              <w:rPr>
                <w:b/>
                <w:color w:val="FFFFFF"/>
                <w:sz w:val="17"/>
              </w:rPr>
              <w:t>Reached</w:t>
            </w:r>
          </w:p>
        </w:tc>
      </w:tr>
      <w:t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left"/>
            </w:pPr>
            <w:r>
              <w:rPr>
                <w:sz w:val="17"/>
              </w:rPr>
              <w:t>Balanced sentiment</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sz w:val="17"/>
              </w:rPr>
              <w:t>Beat keyword macro F1</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sz w:val="17"/>
              </w:rPr>
              <w:t>71.36% vs 23.15%</w:t>
            </w:r>
          </w:p>
        </w:tc>
      </w:tr>
      <w:t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F1F5F9"/>
            <w:vAlign w:val="center"/>
          </w:tcPr>
          <w:p>
            <w:pPr>
              <w:spacing w:after="0"/>
              <w:jc w:val="left"/>
            </w:pPr>
            <w:r>
              <w:rPr>
                <w:sz w:val="17"/>
              </w:rPr>
              <w:t>Citation integrity</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F1F5F9"/>
            <w:vAlign w:val="center"/>
          </w:tcPr>
          <w:p>
            <w:pPr>
              <w:spacing w:after="0"/>
              <w:jc w:val="center"/>
            </w:pPr>
            <w:r>
              <w:rPr>
                <w:sz w:val="17"/>
              </w:rPr>
              <w:t>All citations traceable</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F1F5F9"/>
            <w:vAlign w:val="center"/>
          </w:tcPr>
          <w:p>
            <w:pPr>
              <w:spacing w:after="0"/>
              <w:jc w:val="center"/>
            </w:pPr>
            <w:r>
              <w:rPr>
                <w:sz w:val="17"/>
              </w:rPr>
              <w:t>100%  3 of 3</w:t>
            </w:r>
          </w:p>
        </w:tc>
      </w:tr>
      <w:t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left"/>
            </w:pPr>
            <w:r>
              <w:rPr>
                <w:sz w:val="17"/>
              </w:rPr>
              <w:t>Guardrails</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sz w:val="17"/>
              </w:rPr>
              <w:t>All defined cases blocked</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sz w:val="17"/>
              </w:rPr>
              <w:t>100%  6 of 6</w:t>
            </w:r>
          </w:p>
        </w:tc>
      </w:tr>
      <w:t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F1F5F9"/>
            <w:vAlign w:val="center"/>
          </w:tcPr>
          <w:p>
            <w:pPr>
              <w:spacing w:after="0"/>
              <w:jc w:val="left"/>
            </w:pPr>
            <w:r>
              <w:rPr>
                <w:sz w:val="17"/>
              </w:rPr>
              <w:t>Automated tests</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F1F5F9"/>
            <w:vAlign w:val="center"/>
          </w:tcPr>
          <w:p>
            <w:pPr>
              <w:spacing w:after="0"/>
              <w:jc w:val="center"/>
            </w:pPr>
            <w:r>
              <w:rPr>
                <w:sz w:val="17"/>
              </w:rPr>
              <w:t>All tests pass</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F1F5F9"/>
            <w:vAlign w:val="center"/>
          </w:tcPr>
          <w:p>
            <w:pPr>
              <w:spacing w:after="0"/>
              <w:jc w:val="center"/>
            </w:pPr>
            <w:r>
              <w:rPr>
                <w:sz w:val="17"/>
              </w:rPr>
              <w:t>12 of 12</w:t>
            </w:r>
          </w:p>
        </w:tc>
      </w:tr>
      <w:t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left"/>
            </w:pPr>
            <w:r>
              <w:rPr>
                <w:sz w:val="17"/>
              </w:rPr>
              <w:t>Backtest</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sz w:val="17"/>
              </w:rPr>
              <w:t>Transparent baseline comparison</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sz w:val="17"/>
              </w:rPr>
              <w:t>15.09% strategy  9.28% buy hold</w:t>
            </w:r>
          </w:p>
        </w:tc>
      </w:tr>
    </w:tbl>
    <w:p>
      <w:pPr>
        <w:spacing w:after="0"/>
      </w:pPr>
    </w:p>
    <w:p>
      <w:pPr>
        <w:pStyle w:val="Heading1"/>
      </w:pPr>
      <w:r>
        <w:t>4 Outcomes and Critical Interpretation</w:t>
      </w:r>
    </w:p>
    <w:p>
      <w:r>
        <w:t>The balanced evaluation is the strongest model result. FinBERT correctly classified eight of ten negative, all ten neutral and four of ten positive headlines. Its 71.36% macro F1 substantially exceeded both the keyword and majority baselines, showing useful three-class discrimination. However, weak positive recall remains a rough edge. On the imbalanced random sample, FinBERT reached 73.33% accuracy but only 35.41% macro F1 and trailed the keyword baseline. High accuracy there mostly rewards neutral prediction. The two results are not contradictory: they answer different questions and demonstrate why one headline sample is insufficient.</w:t>
      </w:r>
    </w:p>
    <w:p>
      <w:r>
        <w:t>The strategy produced 82 HOLD, five BUY and three SELL signals. Its 15.09% return and -11.05% maximum drawdown were better than buy-and-hold's 9.28% and -12.71% in this window. Yet there were only three exposure changes, one completed round trip and one open position. Much of the apparent advantage may therefore depend on timing within a favourable AAPL period rather than a durable forecasting edge. The coin-flip baseline is reproducible but models binary exposure, not a random three-way signal policy.</w:t>
      </w:r>
    </w:p>
    <w:p>
      <w:r>
        <w:t>Citation integrity reached 100%, but that proves only that the three identifiers resolve to stored sources. It does not prove optimal retrieval, entailment or human usefulness. Likewise, one validated OpenRouter explanation does not establish that a larger language model is better than the deterministic template. Importantly, the LLM is outside the return path, so it cannot be credited for backtest performance.</w:t>
      </w:r>
    </w:p>
    <w:p>
      <w:pPr>
        <w:pStyle w:val="Heading1"/>
      </w:pPr>
      <w:r>
        <w:t>5 Difficulties and Performance Tuning</w:t>
      </w:r>
    </w:p>
    <w:p>
      <w:r>
        <w:t>The first evaluation sample contained no negative labels, making negative recall unknowable. I retained that sample as evidence of real corpus imbalance and added a separately disclosed balanced challenge instead of quietly replacing it. The explanation layer initially risked unsupported or uncited prose; constraining its input, fixing temperature at zero, limiting output to 120 tokens and validating every sentence produced a safe fallback path. News filtering was tightened with ticker, entity and relevance checks, daily ranking and deduplication. FinBERT is loaded lazily and cached locally, reducing repeated startup and download cost. Twelve tests now cover RSI, thresholds, parsing, retrieval, confirmation, guardrails, baselines and unsafe LLM output.</w:t>
      </w:r>
    </w:p>
    <w:p>
      <w:pPr>
        <w:pStyle w:val="Heading1"/>
      </w:pPr>
      <w:r>
        <w:t>6 Limitations Conclusion and Future Path</w:t>
      </w:r>
    </w:p>
    <w:p>
      <w:r>
        <w:t>This prototype has no real-user study, uses headline rather than article-level context, covers one stock and one short period, and has only one human annotator for the balanced labels. Results may change with market regime, data provider or transaction assumptions. A persuasive explanation may still cause automation bias even when it is correctly cited. The system therefore remains an educational simulation, not financial advice.</w:t>
      </w:r>
    </w:p>
    <w:p>
      <w:r>
        <w:t>The next path is to add a second blinded annotator and agreement statistics, run rolling walk-forward periods and additional stocks, compare TF-IDF with embedding retrieval, test relevance and entailment across a predeclared decision sample, measure LLM fallback rate and latency, and conduct a small usability study. The final outcome is valuable because it demonstrates a defensible pattern for AI-assisted decisions: models analyse and communicate, while deterministic code preserves numerical truth, risk boundaries and human authority.</w:t>
      </w:r>
    </w:p>
    <w:p>
      <w:pPr>
        <w:pStyle w:val="Heading1"/>
      </w:pPr>
      <w:r>
        <w:t>References</w:t>
      </w:r>
    </w:p>
    <w:p>
      <w:pPr>
        <w:spacing w:after="60"/>
        <w:ind w:left="259" w:hanging="259"/>
      </w:pPr>
      <w:r>
        <w:t>[1] D. Araci, FinBERT Financial Sentiment Analysis with Pretrained Language Models, 2019.</w:t>
      </w:r>
    </w:p>
    <w:p>
      <w:pPr>
        <w:spacing w:after="60"/>
        <w:ind w:left="259" w:hanging="259"/>
      </w:pPr>
      <w:r>
        <w:t>[2] P. Lewis et al., Retrieval Augmented Generation for Knowledge Intensive NLP Tasks, 2020.</w:t>
      </w:r>
    </w:p>
    <w:p>
      <w:pPr>
        <w:spacing w:after="60"/>
        <w:ind w:left="259" w:hanging="259"/>
      </w:pPr>
      <w:r>
        <w:t>[3] Alpha Vantage, NEWS_SENTIMENT API Documentation, accessed 4 October 2026.</w:t>
      </w:r>
    </w:p>
    <w:p>
      <w:pPr>
        <w:spacing w:after="60"/>
        <w:ind w:left="259" w:hanging="259"/>
      </w:pPr>
      <w:r>
        <w:t>[4] scikit-learn, TfidfVectorizer Documentation, accessed 4 October 2026.</w:t>
      </w:r>
    </w:p>
    <w:p>
      <w:pPr>
        <w:spacing w:after="60"/>
        <w:ind w:left="259" w:hanging="259"/>
      </w:pPr>
      <w:r>
        <w:t>[5] OpenRouter, API Quickstart, accessed 4 October 2026.</w:t>
      </w:r>
    </w:p>
    <w:p>
      <w:pPr>
        <w:spacing w:after="60"/>
        <w:ind w:left="259" w:hanging="259"/>
      </w:pPr>
      <w:r>
        <w:t>[6] Project repository: https://github.com/miaoyuwen589-beep/AI-Research-Copilot-MVP</w:t>
      </w:r>
    </w:p>
    <w:sectPr w:rsidR="00FC693F" w:rsidRPr="0006063C" w:rsidSect="00034616">
      <w:footerReference w:type="default" r:id="rId9"/>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PE6201 AAPL Investment Co Pilot Project Report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miaoyuwen589-beep/AI-Research-Copilot-MV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 Grounded AI Investment Co Pilot for AAPL</dc:title>
  <dc:subject>PE6201 project report</dc:subject>
  <dc:creator/>
  <cp:keywords>AAPL, FinBERT, RSI, RAG, guardrails, human in the loop</cp:keywords>
  <dc:description>generated by python-docx</dc:description>
  <cp:lastModifiedBy/>
  <cp:revision>1</cp:revision>
  <dcterms:created xsi:type="dcterms:W3CDTF">2013-12-23T23:15:00Z</dcterms:created>
  <dcterms:modified xsi:type="dcterms:W3CDTF">2013-12-23T23:15:00Z</dcterms:modified>
  <cp:category/>
</cp:coreProperties>
</file>