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2108" w:rsidRPr="00A12108" w:rsidRDefault="00A12108" w:rsidP="00A121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</w:pPr>
      <w:r w:rsidRPr="00A1210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s-MX"/>
        </w:rPr>
        <w:t>🏛</w:t>
      </w:r>
      <w:r w:rsidRPr="00A121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MX"/>
        </w:rPr>
        <w:t>️ HOMOLOGACIÓN INSTITUCIONAL CME GROUP: CANASTA G5 FX, ÍNDICE FXVL Y ADAPTACIÓN MULTI-TEMPORAL (1H, 2H, 3H, 4H, 8H)</w:t>
      </w:r>
    </w:p>
    <w:p w:rsidR="00A12108" w:rsidRPr="00A12108" w:rsidRDefault="00BC23A7" w:rsidP="00A121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MX"/>
        </w:rPr>
        <w:pict>
          <v:rect id="_x0000_i1025" style="width:441.9pt;height:.75pt" o:hralign="center" o:hrstd="t" o:hr="t" fillcolor="#a0a0a0" stroked="f"/>
        </w:pict>
      </w:r>
    </w:p>
    <w:p w:rsidR="00A12108" w:rsidRPr="00A12108" w:rsidRDefault="00A12108" w:rsidP="00A121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</w:pPr>
      <w:r w:rsidRPr="00A12108">
        <w:rPr>
          <w:rFonts w:ascii="Times New Roman" w:eastAsia="Times New Roman" w:hAnsi="Times New Roman" w:cs="Times New Roman"/>
          <w:b/>
          <w:bCs/>
          <w:sz w:val="36"/>
          <w:szCs w:val="36"/>
          <w:lang w:eastAsia="es-MX"/>
        </w:rPr>
        <w:t>1. Fundamento Cuantitativo: ¿Por qué Homologar Mia al CME?</w:t>
      </w:r>
    </w:p>
    <w:p w:rsidR="00A12108" w:rsidRPr="00A12108" w:rsidRDefault="00A12108" w:rsidP="00A12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1210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El mercado Forex Spot minorista (OTC) adolece de un defecto estructural: </w:t>
      </w:r>
      <w:r w:rsidRPr="00A1210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carece de un libro centralizado de órdenes</w:t>
      </w:r>
      <w:r w:rsidRPr="00A12108">
        <w:rPr>
          <w:rFonts w:ascii="Times New Roman" w:eastAsia="Times New Roman" w:hAnsi="Times New Roman" w:cs="Times New Roman"/>
          <w:sz w:val="24"/>
          <w:szCs w:val="24"/>
          <w:lang w:eastAsia="es-MX"/>
        </w:rPr>
        <w:t>. Los brokers minoristas muestran únicamente su propia contrapartida interna o la de un proveedor de liquidez secundario.</w:t>
      </w:r>
    </w:p>
    <w:p w:rsidR="00A12108" w:rsidRPr="00A12108" w:rsidRDefault="00A12108" w:rsidP="00A12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1210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En contraste, el </w:t>
      </w:r>
      <w:r w:rsidRPr="00A1210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CME Globex (Chicago Mercantile Exchange)</w:t>
      </w:r>
      <w:r w:rsidRPr="00A1210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opera mediante el protocolo </w:t>
      </w:r>
      <w:r w:rsidRPr="00A1210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MDP 3.0 (Market Data Protocol)</w:t>
      </w:r>
      <w:r w:rsidRPr="00A12108">
        <w:rPr>
          <w:rFonts w:ascii="Times New Roman" w:eastAsia="Times New Roman" w:hAnsi="Times New Roman" w:cs="Times New Roman"/>
          <w:sz w:val="24"/>
          <w:szCs w:val="24"/>
          <w:lang w:eastAsia="es-MX"/>
        </w:rPr>
        <w:t>, constituyendo el mayor centro de compensación regulado del planeta para derivados financieros:</w:t>
      </w:r>
    </w:p>
    <w:p w:rsidR="00A12108" w:rsidRPr="00A12108" w:rsidRDefault="00A12108" w:rsidP="00A12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1210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Canasta G5 FX (</w:t>
      </w:r>
      <w:r w:rsidRPr="00A12108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6E</w:t>
      </w:r>
      <w:r w:rsidRPr="00A1210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, </w:t>
      </w:r>
      <w:r w:rsidRPr="00A12108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6B</w:t>
      </w:r>
      <w:r w:rsidRPr="00A1210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, </w:t>
      </w:r>
      <w:r w:rsidRPr="00A12108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6A</w:t>
      </w:r>
      <w:r w:rsidRPr="00A1210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, </w:t>
      </w:r>
      <w:r w:rsidRPr="00A12108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6J</w:t>
      </w:r>
      <w:r w:rsidRPr="00A1210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, </w:t>
      </w:r>
      <w:r w:rsidRPr="00A12108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6C</w:t>
      </w:r>
      <w:r w:rsidRPr="00A1210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):</w:t>
      </w:r>
      <w:r w:rsidRPr="00A1210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Las 5 divisas soberanas de mayor liquidez global frente al dólar estadounidense, regidas por un solo ecosistema de márgenes, opciones y flujos de capital interbancario.</w:t>
      </w:r>
    </w:p>
    <w:p w:rsidR="00A12108" w:rsidRPr="00A12108" w:rsidRDefault="00A12108" w:rsidP="00A12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1210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Índice CME G5 FX Volatility (</w:t>
      </w:r>
      <w:r w:rsidRPr="00A12108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FXVL</w:t>
      </w:r>
      <w:r w:rsidRPr="00A1210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):</w:t>
      </w:r>
      <w:r w:rsidRPr="00A1210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El índice CVOL (CME Group Volatility Index) que sintetiza la curva completa de volatilidad implícita a 30 días de todas las opciones sobre futuros de la canasta G5. Es el barómetro institucional absoluto del apetito por riesgo y volatilidad en Forex.</w:t>
      </w:r>
    </w:p>
    <w:p w:rsidR="00A12108" w:rsidRPr="00A12108" w:rsidRDefault="00A12108" w:rsidP="00A121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1210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División COMEX (</w:t>
      </w:r>
      <w:r w:rsidRPr="00A12108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GC</w:t>
      </w:r>
      <w:r w:rsidRPr="00A1210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/ Oro):</w:t>
      </w:r>
      <w:r w:rsidRPr="00A1210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Mercado centralizado de metales preciosos (contratos de 100 onzas), cuyo benchmark de volatilidad no es el </w:t>
      </w:r>
      <w:r w:rsidRPr="00A12108">
        <w:rPr>
          <w:rFonts w:ascii="Courier New" w:eastAsia="Times New Roman" w:hAnsi="Courier New" w:cs="Courier New"/>
          <w:sz w:val="20"/>
          <w:szCs w:val="20"/>
          <w:lang w:eastAsia="es-MX"/>
        </w:rPr>
        <w:t>FXVL</w:t>
      </w:r>
      <w:r w:rsidRPr="00A12108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sino el </w:t>
      </w:r>
      <w:r w:rsidRPr="00A12108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GVZ</w:t>
      </w:r>
      <w:r w:rsidRPr="00A1210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/ Gold CVOL (</w:t>
      </w:r>
      <w:r w:rsidRPr="00A12108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GLCO</w:t>
      </w:r>
      <w:r w:rsidRPr="00A12108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)</w:t>
      </w:r>
      <w:r w:rsidRPr="00A12108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731262" w:rsidRDefault="00A12108">
      <w:r>
        <w:rPr>
          <w:noProof/>
          <w:lang w:eastAsia="es-MX"/>
        </w:rPr>
        <w:drawing>
          <wp:inline distT="0" distB="0" distL="0" distR="0" wp14:anchorId="01DE6B9E" wp14:editId="2795FD02">
            <wp:extent cx="5612130" cy="1790065"/>
            <wp:effectExtent l="0" t="0" r="7620" b="63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108" w:rsidRDefault="00A12108" w:rsidP="00A12108">
      <w:pPr>
        <w:pStyle w:val="Ttulo2"/>
      </w:pPr>
      <w:r>
        <w:lastRenderedPageBreak/>
        <w:t>2. Comportamiento de la Volatilidad en el DOM (Libro de Órdenes)</w:t>
      </w:r>
    </w:p>
    <w:p w:rsidR="00A12108" w:rsidRDefault="00A12108" w:rsidP="00A12108">
      <w:pPr>
        <w:spacing w:before="100" w:beforeAutospacing="1" w:after="100" w:afterAutospacing="1"/>
      </w:pPr>
      <w:r>
        <w:t xml:space="preserve">El comportamiento del Libro de Órdenes (DOM) muta radicalmente dependiendo de si el índice </w:t>
      </w:r>
      <w:r>
        <w:rPr>
          <w:rStyle w:val="Textoennegrita"/>
        </w:rPr>
        <w:t>FXVL</w:t>
      </w:r>
      <w:r>
        <w:t xml:space="preserve"> se encuentra en fase de </w:t>
      </w:r>
      <w:r>
        <w:rPr>
          <w:rStyle w:val="Textoennegrita"/>
        </w:rPr>
        <w:t>Consolidación (Compresión)</w:t>
      </w:r>
      <w:r>
        <w:t xml:space="preserve"> o en fase de </w:t>
      </w:r>
      <w:r>
        <w:rPr>
          <w:rStyle w:val="Textoennegrita"/>
        </w:rPr>
        <w:t>Expansión (Tendencia)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5"/>
        <w:gridCol w:w="3674"/>
        <w:gridCol w:w="3229"/>
      </w:tblGrid>
      <w:tr w:rsidR="00A12108" w:rsidTr="00A12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12108" w:rsidRDefault="00A12108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Métrica del DOM</w:t>
            </w:r>
          </w:p>
        </w:tc>
        <w:tc>
          <w:tcPr>
            <w:tcW w:w="0" w:type="auto"/>
            <w:vAlign w:val="center"/>
            <w:hideMark/>
          </w:tcPr>
          <w:p w:rsidR="00A12108" w:rsidRDefault="00A121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Régimen 1: Consolidación / Compresión (</w:t>
            </w:r>
            <w:r>
              <w:rPr>
                <w:rStyle w:val="CdigoHTML"/>
                <w:rFonts w:eastAsiaTheme="minorHAnsi"/>
                <w:b/>
                <w:bCs/>
              </w:rPr>
              <w:t>FXVL</w:t>
            </w:r>
            <w:r>
              <w:rPr>
                <w:b/>
                <w:bCs/>
              </w:rPr>
              <w:t xml:space="preserve"> Bajo)</w:t>
            </w:r>
          </w:p>
        </w:tc>
        <w:tc>
          <w:tcPr>
            <w:tcW w:w="0" w:type="auto"/>
            <w:vAlign w:val="center"/>
            <w:hideMark/>
          </w:tcPr>
          <w:p w:rsidR="00A12108" w:rsidRDefault="00A1210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Régimen 2: Expansión / Tendencia (</w:t>
            </w:r>
            <w:r>
              <w:rPr>
                <w:rStyle w:val="CdigoHTML"/>
                <w:rFonts w:eastAsiaTheme="minorHAnsi"/>
                <w:b/>
                <w:bCs/>
              </w:rPr>
              <w:t>FXVL</w:t>
            </w:r>
            <w:r>
              <w:rPr>
                <w:b/>
                <w:bCs/>
              </w:rPr>
              <w:t xml:space="preserve"> Alto)</w:t>
            </w:r>
          </w:p>
        </w:tc>
      </w:tr>
      <w:tr w:rsidR="00A12108" w:rsidTr="00A121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2108" w:rsidRDefault="00A12108">
            <w:r>
              <w:rPr>
                <w:rStyle w:val="Textoennegrita"/>
              </w:rPr>
              <w:t>Estructura de Muros (Liquidity Walls)</w:t>
            </w:r>
          </w:p>
        </w:tc>
        <w:tc>
          <w:tcPr>
            <w:tcW w:w="0" w:type="auto"/>
            <w:vAlign w:val="center"/>
            <w:hideMark/>
          </w:tcPr>
          <w:p w:rsidR="00A12108" w:rsidRDefault="00A12108">
            <w:r>
              <w:t xml:space="preserve">Muros Bid y Ask </w:t>
            </w:r>
            <w:r>
              <w:rPr>
                <w:rStyle w:val="Textoennegrita"/>
              </w:rPr>
              <w:t>densos y simétricos</w:t>
            </w:r>
            <w:r>
              <w:t xml:space="preserve"> a poca distancia del precio (+/- 15-20 pips).</w:t>
            </w:r>
          </w:p>
        </w:tc>
        <w:tc>
          <w:tcPr>
            <w:tcW w:w="0" w:type="auto"/>
            <w:vAlign w:val="center"/>
            <w:hideMark/>
          </w:tcPr>
          <w:p w:rsidR="00A12108" w:rsidRDefault="00A12108">
            <w:r>
              <w:t xml:space="preserve">Muros pasivos </w:t>
            </w:r>
            <w:r>
              <w:rPr>
                <w:rStyle w:val="Textoennegrita"/>
              </w:rPr>
              <w:t>se apartan o se adelgazan</w:t>
            </w:r>
            <w:r>
              <w:t>. Se concentran en zonas extremas de 4H/8H.</w:t>
            </w:r>
          </w:p>
        </w:tc>
      </w:tr>
      <w:tr w:rsidR="00A12108" w:rsidTr="00A121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2108" w:rsidRDefault="00A12108">
            <w:r>
              <w:rPr>
                <w:rStyle w:val="Textoennegrita"/>
              </w:rPr>
              <w:t>Flujo Agresivo vs Pasivo</w:t>
            </w:r>
          </w:p>
        </w:tc>
        <w:tc>
          <w:tcPr>
            <w:tcW w:w="0" w:type="auto"/>
            <w:vAlign w:val="center"/>
            <w:hideMark/>
          </w:tcPr>
          <w:p w:rsidR="00A12108" w:rsidRDefault="00A12108">
            <w:r>
              <w:t xml:space="preserve">Predomina la </w:t>
            </w:r>
            <w:r>
              <w:rPr>
                <w:rStyle w:val="Textoennegrita"/>
              </w:rPr>
              <w:t>absorción pasiva</w:t>
            </w:r>
            <w:r>
              <w:t xml:space="preserve"> (resting liquidity). Las órdenes a mercado no logran desplazar el precio.</w:t>
            </w:r>
          </w:p>
        </w:tc>
        <w:tc>
          <w:tcPr>
            <w:tcW w:w="0" w:type="auto"/>
            <w:vAlign w:val="center"/>
            <w:hideMark/>
          </w:tcPr>
          <w:p w:rsidR="00A12108" w:rsidRDefault="00A12108">
            <w:r>
              <w:t xml:space="preserve">Predomina el </w:t>
            </w:r>
            <w:r>
              <w:rPr>
                <w:rStyle w:val="Textoennegrita"/>
              </w:rPr>
              <w:t>flujo agresivo (Market Sweep)</w:t>
            </w:r>
            <w:r>
              <w:t>. Ruptura de órdenes pasivas con deslizamiento.</w:t>
            </w:r>
          </w:p>
        </w:tc>
      </w:tr>
      <w:tr w:rsidR="00A12108" w:rsidTr="00A121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2108" w:rsidRDefault="00A12108">
            <w:r>
              <w:rPr>
                <w:rStyle w:val="Textoennegrita"/>
              </w:rPr>
              <w:t>CVD Delta (Cumulative Volume)</w:t>
            </w:r>
          </w:p>
        </w:tc>
        <w:tc>
          <w:tcPr>
            <w:tcW w:w="0" w:type="auto"/>
            <w:vAlign w:val="center"/>
            <w:hideMark/>
          </w:tcPr>
          <w:p w:rsidR="00A12108" w:rsidRDefault="00A12108">
            <w:r>
              <w:t>Oscila cerca de la neutralidad (48% - 52% comprador/vendedor).</w:t>
            </w:r>
          </w:p>
        </w:tc>
        <w:tc>
          <w:tcPr>
            <w:tcW w:w="0" w:type="auto"/>
            <w:vAlign w:val="center"/>
            <w:hideMark/>
          </w:tcPr>
          <w:p w:rsidR="00A12108" w:rsidRDefault="00A12108">
            <w:r>
              <w:t>Fuerte desbalance direccional (&gt; 65% unidireccional comprador o vendedor).</w:t>
            </w:r>
          </w:p>
        </w:tc>
      </w:tr>
      <w:tr w:rsidR="00A12108" w:rsidTr="00A121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2108" w:rsidRDefault="00A12108">
            <w:r>
              <w:rPr>
                <w:rStyle w:val="Textoennegrita"/>
              </w:rPr>
              <w:t>Comportamiento alrededor del POC</w:t>
            </w:r>
          </w:p>
        </w:tc>
        <w:tc>
          <w:tcPr>
            <w:tcW w:w="0" w:type="auto"/>
            <w:vAlign w:val="center"/>
            <w:hideMark/>
          </w:tcPr>
          <w:p w:rsidR="00A12108" w:rsidRDefault="00A12108">
            <w:r>
              <w:t>El precio es atraído magnéticamente hacia el POC (Value Area). Reversión a la media.</w:t>
            </w:r>
          </w:p>
        </w:tc>
        <w:tc>
          <w:tcPr>
            <w:tcW w:w="0" w:type="auto"/>
            <w:vAlign w:val="center"/>
            <w:hideMark/>
          </w:tcPr>
          <w:p w:rsidR="00A12108" w:rsidRDefault="00A12108">
            <w:r>
              <w:t>El precio rechaza violentamente el POC e inicia un desbalance expansivo (Away from Value).</w:t>
            </w:r>
          </w:p>
        </w:tc>
      </w:tr>
      <w:tr w:rsidR="00A12108" w:rsidTr="00A12108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2108" w:rsidRDefault="00A12108">
            <w:r>
              <w:rPr>
                <w:rStyle w:val="Textoennegrita"/>
              </w:rPr>
              <w:t>Directriz Táctica para Mia</w:t>
            </w:r>
          </w:p>
        </w:tc>
        <w:tc>
          <w:tcPr>
            <w:tcW w:w="0" w:type="auto"/>
            <w:vAlign w:val="center"/>
            <w:hideMark/>
          </w:tcPr>
          <w:p w:rsidR="00A12108" w:rsidRDefault="00A12108">
            <w:r>
              <w:rPr>
                <w:rStyle w:val="Textoennegrita"/>
              </w:rPr>
              <w:t>Estrategia Range-Bound:</w:t>
            </w:r>
            <w:r>
              <w:t xml:space="preserve"> Operar rebotes en Order Blocks de 1H/2H, compras en Demand y ventas en Supply con TPs conservadores.</w:t>
            </w:r>
          </w:p>
        </w:tc>
        <w:tc>
          <w:tcPr>
            <w:tcW w:w="0" w:type="auto"/>
            <w:vAlign w:val="center"/>
            <w:hideMark/>
          </w:tcPr>
          <w:p w:rsidR="00A12108" w:rsidRDefault="00A12108">
            <w:r>
              <w:rPr>
                <w:rStyle w:val="Textoennegrita"/>
              </w:rPr>
              <w:t>Estrategia Trend-Following:</w:t>
            </w:r>
            <w:r>
              <w:t xml:space="preserve"> Prohibido contratendencia. Operar continuaciones tras barridos AMD, activando Cascada de Riesgo v2.</w:t>
            </w:r>
          </w:p>
        </w:tc>
      </w:tr>
    </w:tbl>
    <w:p w:rsidR="00A12108" w:rsidRDefault="00BC23A7" w:rsidP="00A12108">
      <w:r>
        <w:pict>
          <v:rect id="_x0000_i1026" style="width:441.9pt;height:.75pt" o:hralign="center" o:hrstd="t" o:hr="t" fillcolor="#a0a0a0" stroked="f"/>
        </w:pict>
      </w:r>
    </w:p>
    <w:p w:rsidR="00A12108" w:rsidRDefault="00A12108" w:rsidP="00A12108">
      <w:pPr>
        <w:pStyle w:val="Ttulo2"/>
      </w:pPr>
      <w:r>
        <w:t>3. Matriz de Adaptación Multi-Temporal Oficial de Mia (1H, 2H, 3H, 4H, 8H)</w:t>
      </w:r>
    </w:p>
    <w:p w:rsidR="00A12108" w:rsidRDefault="00A12108" w:rsidP="00A12108">
      <w:pPr>
        <w:spacing w:before="100" w:beforeAutospacing="1" w:after="100" w:afterAutospacing="1"/>
      </w:pPr>
      <w:r>
        <w:t xml:space="preserve">Mia opera con una arquitectura de 5 temporalidades nativas. Al acoplar el índice </w:t>
      </w:r>
      <w:r>
        <w:rPr>
          <w:rStyle w:val="Textoennegrita"/>
        </w:rPr>
        <w:t>FXVL</w:t>
      </w:r>
      <w:r>
        <w:t xml:space="preserve"> a estas temporalidades, cada una asume un rol táctico especializado:</w:t>
      </w:r>
    </w:p>
    <w:p w:rsidR="00A12108" w:rsidRDefault="00A12108" w:rsidP="00A12108">
      <w:pPr>
        <w:pStyle w:val="HTMLconformatoprevio"/>
      </w:pPr>
    </w:p>
    <w:p w:rsidR="00A12108" w:rsidRDefault="00A12108" w:rsidP="00A12108">
      <w:pPr>
        <w:pStyle w:val="Ttulo3"/>
      </w:pPr>
      <w:r>
        <w:t>1️</w:t>
      </w:r>
      <w:r>
        <w:rPr>
          <w:rFonts w:ascii="Tahoma" w:hAnsi="Tahoma" w:cs="Tahoma"/>
        </w:rPr>
        <w:t>⃣</w:t>
      </w:r>
      <w:r>
        <w:t xml:space="preserve"> Temporalidad 1H: Microestructura &amp; Detección de Sweeps</w:t>
      </w:r>
    </w:p>
    <w:p w:rsidR="00A12108" w:rsidRDefault="00A12108" w:rsidP="00A1210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Textoennegrita"/>
        </w:rPr>
        <w:t>Función Institucional:</w:t>
      </w:r>
      <w:r>
        <w:t xml:space="preserve"> Detección rápida de manipulación en el DOM local.</w:t>
      </w:r>
    </w:p>
    <w:p w:rsidR="00A12108" w:rsidRDefault="00A12108" w:rsidP="00A1210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Textoennegrita"/>
        </w:rPr>
        <w:t>Comportamiento del FXVL:</w:t>
      </w:r>
      <w:r>
        <w:t xml:space="preserve"> </w:t>
      </w:r>
    </w:p>
    <w:p w:rsidR="00A12108" w:rsidRDefault="00A12108" w:rsidP="00A12108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rPr>
          <w:rStyle w:val="Textoennegrita"/>
        </w:rPr>
        <w:lastRenderedPageBreak/>
        <w:t>Si FXVL está comprimido:</w:t>
      </w:r>
      <w:r>
        <w:t xml:space="preserve"> El rango intradía es estrecho; operar rebotes precisos en zonas </w:t>
      </w:r>
      <w:r>
        <w:rPr>
          <w:rStyle w:val="CdigoHTML"/>
          <w:rFonts w:eastAsiaTheme="minorHAnsi"/>
        </w:rPr>
        <w:t>lux_algo_ob_1h</w:t>
      </w:r>
      <w:r>
        <w:t>.</w:t>
      </w:r>
    </w:p>
    <w:p w:rsidR="00A12108" w:rsidRDefault="00A12108" w:rsidP="00A12108">
      <w:pPr>
        <w:numPr>
          <w:ilvl w:val="1"/>
          <w:numId w:val="2"/>
        </w:numPr>
        <w:spacing w:before="100" w:beforeAutospacing="1" w:after="100" w:afterAutospacing="1" w:line="240" w:lineRule="auto"/>
      </w:pPr>
      <w:r>
        <w:rPr>
          <w:rStyle w:val="Textoennegrita"/>
        </w:rPr>
        <w:t>Si FXVL está en expansión:</w:t>
      </w:r>
      <w:r>
        <w:t xml:space="preserve"> El 1H generará falsas rupturas para barrer stops de liquidez minorista (</w:t>
      </w:r>
      <w:r>
        <w:rPr>
          <w:rStyle w:val="nfasis"/>
        </w:rPr>
        <w:t>Liquidity Sweeps</w:t>
      </w:r>
      <w:r>
        <w:t>). Mia debe esperar que el barrido termine (absorción en DOM) antes de gatillar.</w:t>
      </w:r>
    </w:p>
    <w:p w:rsidR="00A12108" w:rsidRDefault="00A12108" w:rsidP="00A12108">
      <w:pPr>
        <w:pStyle w:val="Ttulo3"/>
      </w:pPr>
      <w:r>
        <w:t>2️</w:t>
      </w:r>
      <w:r>
        <w:rPr>
          <w:rFonts w:ascii="Tahoma" w:hAnsi="Tahoma" w:cs="Tahoma"/>
        </w:rPr>
        <w:t>⃣</w:t>
      </w:r>
      <w:r>
        <w:t xml:space="preserve"> Temporalidad 2H: Swing Intradía &amp; Anclaje de la Regla de 3</w:t>
      </w:r>
    </w:p>
    <w:p w:rsidR="00A12108" w:rsidRDefault="00A12108" w:rsidP="00A1210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Textoennegrita"/>
        </w:rPr>
        <w:t>Función Institucional:</w:t>
      </w:r>
      <w:r>
        <w:t xml:space="preserve"> El núcleo cuantitativo más ganador de Mia (</w:t>
      </w:r>
      <w:r>
        <w:rPr>
          <w:rStyle w:val="CdigoHTML"/>
          <w:rFonts w:eastAsiaTheme="minorHAnsi"/>
        </w:rPr>
        <w:t>order_block_zona_2h</w:t>
      </w:r>
      <w:r>
        <w:t xml:space="preserve"> con </w:t>
      </w:r>
      <w:r>
        <w:rPr>
          <w:rStyle w:val="Textoennegrita"/>
        </w:rPr>
        <w:t>80.38% de Win Rate</w:t>
      </w:r>
      <w:r>
        <w:t xml:space="preserve"> comprobado en 158 trades).</w:t>
      </w:r>
    </w:p>
    <w:p w:rsidR="00A12108" w:rsidRDefault="00A12108" w:rsidP="00A1210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Textoennegrita"/>
        </w:rPr>
        <w:t>Comportamiento del FXVL:</w:t>
      </w:r>
      <w:r>
        <w:t xml:space="preserve"> </w:t>
      </w:r>
    </w:p>
    <w:p w:rsidR="00A12108" w:rsidRDefault="00A12108" w:rsidP="00A12108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Style w:val="Textoennegrita"/>
        </w:rPr>
        <w:t>Z-Score FXVL entre -0.5 y +0.6 (Óptimo):</w:t>
      </w:r>
      <w:r>
        <w:t xml:space="preserve"> Las zonas de 2H tienen su máxima fiabilidad porque los algoritmos bancarios respetan los POC intradía.</w:t>
      </w:r>
    </w:p>
    <w:p w:rsidR="00A12108" w:rsidRDefault="00A12108" w:rsidP="00A12108">
      <w:pPr>
        <w:numPr>
          <w:ilvl w:val="1"/>
          <w:numId w:val="3"/>
        </w:numPr>
        <w:spacing w:before="100" w:beforeAutospacing="1" w:after="100" w:afterAutospacing="1" w:line="240" w:lineRule="auto"/>
      </w:pPr>
      <w:r>
        <w:rPr>
          <w:rStyle w:val="Textoennegrita"/>
        </w:rPr>
        <w:t>Z-Score FXVL &gt; +1.2 (Alta Expansión):</w:t>
      </w:r>
      <w:r>
        <w:t xml:space="preserve"> Las zonas de 2H deben ser ampliadas mediante el multiplicador de ATR (</w:t>
      </w:r>
      <w:r>
        <w:rPr>
          <w:rStyle w:val="CdigoHTML"/>
          <w:rFonts w:eastAsiaTheme="minorHAnsi"/>
        </w:rPr>
        <w:t>band_distance * 1.5</w:t>
      </w:r>
      <w:r>
        <w:t>) para evitar ser sacado prematuramente por ruido de alta volatilidad.</w:t>
      </w:r>
    </w:p>
    <w:p w:rsidR="00A12108" w:rsidRDefault="00A12108" w:rsidP="00A12108">
      <w:pPr>
        <w:pStyle w:val="Ttulo3"/>
      </w:pPr>
      <w:r>
        <w:t>3️</w:t>
      </w:r>
      <w:r>
        <w:rPr>
          <w:rFonts w:ascii="Tahoma" w:hAnsi="Tahoma" w:cs="Tahoma"/>
        </w:rPr>
        <w:t>⃣</w:t>
      </w:r>
      <w:r>
        <w:t xml:space="preserve"> Temporalidad 3H: Apertura de Londres &amp; Flujo AMD Institucional</w:t>
      </w:r>
    </w:p>
    <w:p w:rsidR="00A12108" w:rsidRDefault="00A12108" w:rsidP="00A1210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Textoennegrita"/>
        </w:rPr>
        <w:t>Función Institucional:</w:t>
      </w:r>
      <w:r>
        <w:t xml:space="preserve"> Monitorea la transición de la sesión de Tokio a Londres (07:00 - 10:00 GMT / 00:00 - 03:00 CDMX).</w:t>
      </w:r>
    </w:p>
    <w:p w:rsidR="00A12108" w:rsidRDefault="00A12108" w:rsidP="00A1210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Style w:val="Textoennegrita"/>
        </w:rPr>
        <w:t>Comportamiento del FXVL:</w:t>
      </w:r>
      <w:r>
        <w:t xml:space="preserve"> </w:t>
      </w:r>
    </w:p>
    <w:p w:rsidR="00A12108" w:rsidRDefault="00A12108" w:rsidP="00A12108">
      <w:pPr>
        <w:numPr>
          <w:ilvl w:val="1"/>
          <w:numId w:val="4"/>
        </w:numPr>
        <w:spacing w:before="100" w:beforeAutospacing="1" w:after="100" w:afterAutospacing="1" w:line="240" w:lineRule="auto"/>
      </w:pPr>
      <w:r>
        <w:t xml:space="preserve">El </w:t>
      </w:r>
      <w:r>
        <w:rPr>
          <w:rStyle w:val="Textoennegrita"/>
        </w:rPr>
        <w:t>Delta horario de FXVL</w:t>
      </w:r>
      <w:r>
        <w:t xml:space="preserve"> (</w:t>
      </w:r>
      <w:r>
        <w:rPr>
          <w:rStyle w:val="katex-mathml"/>
        </w:rPr>
        <w:t>ΔFXVL3H\Delta \text{FXVL}_{3H}</w:t>
      </w:r>
      <w:r>
        <w:rPr>
          <w:rStyle w:val="mord"/>
        </w:rPr>
        <w:t>ΔFXVL3H</w:t>
      </w:r>
      <w:r>
        <w:rPr>
          <w:rStyle w:val="vlist-s"/>
        </w:rPr>
        <w:t>​</w:t>
      </w:r>
      <w:r>
        <w:t xml:space="preserve">) mide el estallido de volatilidad en la apertura de Londres: </w:t>
      </w:r>
    </w:p>
    <w:p w:rsidR="00A12108" w:rsidRDefault="00A12108" w:rsidP="00A12108">
      <w:pPr>
        <w:numPr>
          <w:ilvl w:val="2"/>
          <w:numId w:val="4"/>
        </w:numPr>
        <w:spacing w:before="100" w:beforeAutospacing="1" w:after="100" w:afterAutospacing="1" w:line="240" w:lineRule="auto"/>
      </w:pPr>
      <w:r>
        <w:t xml:space="preserve">Si </w:t>
      </w:r>
      <w:r>
        <w:rPr>
          <w:rStyle w:val="katex-mathml"/>
        </w:rPr>
        <w:t>ΔFXVL3H&gt;+15%  </w:t>
      </w:r>
      <w:r>
        <w:rPr>
          <w:rStyle w:val="katex-mathml"/>
          <w:rFonts w:ascii="Cambria Math" w:hAnsi="Cambria Math" w:cs="Cambria Math"/>
        </w:rPr>
        <w:t>⟹</w:t>
      </w:r>
      <w:r>
        <w:rPr>
          <w:rStyle w:val="katex-mathml"/>
        </w:rPr>
        <w:t>  \Delta \text{FXVL}_{3H} &gt; +15\% \implies</w:t>
      </w:r>
      <w:r>
        <w:rPr>
          <w:rStyle w:val="mord"/>
        </w:rPr>
        <w:t>ΔFXVL3H</w:t>
      </w:r>
      <w:r>
        <w:rPr>
          <w:rStyle w:val="vlist-s"/>
        </w:rPr>
        <w:t>​</w:t>
      </w:r>
      <w:r>
        <w:rPr>
          <w:rStyle w:val="mrel"/>
        </w:rPr>
        <w:t>&gt;</w:t>
      </w:r>
      <w:r>
        <w:rPr>
          <w:rStyle w:val="mord"/>
        </w:rPr>
        <w:t>+15%</w:t>
      </w:r>
      <w:r>
        <w:rPr>
          <w:rStyle w:val="mrel"/>
          <w:rFonts w:ascii="Cambria Math" w:hAnsi="Cambria Math" w:cs="Cambria Math"/>
        </w:rPr>
        <w:t>⟹</w:t>
      </w:r>
      <w:r>
        <w:t xml:space="preserve"> Se activa el protocolo </w:t>
      </w:r>
      <w:r>
        <w:rPr>
          <w:rStyle w:val="Textoennegrita"/>
        </w:rPr>
        <w:t>AMD (Acumulación, Manipulación, Distribución)</w:t>
      </w:r>
      <w:r>
        <w:t>: se identifica el rango asiático como liquidez a barrer (Manipulación) para posicionarse a favor de la Distribución de Londres.</w:t>
      </w:r>
    </w:p>
    <w:p w:rsidR="00A12108" w:rsidRDefault="00A12108" w:rsidP="00A12108">
      <w:pPr>
        <w:pStyle w:val="Ttulo3"/>
      </w:pPr>
      <w:r>
        <w:t>4️</w:t>
      </w:r>
      <w:r>
        <w:rPr>
          <w:rFonts w:ascii="Tahoma" w:hAnsi="Tahoma" w:cs="Tahoma"/>
        </w:rPr>
        <w:t>⃣</w:t>
      </w:r>
      <w:r>
        <w:t xml:space="preserve"> Temporalidad 4H: Absorción Interbancaria Mayor &amp; Filtro Macro</w:t>
      </w:r>
    </w:p>
    <w:p w:rsidR="00A12108" w:rsidRDefault="00A12108" w:rsidP="00A1210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Textoennegrita"/>
        </w:rPr>
        <w:t>Función Institucional:</w:t>
      </w:r>
      <w:r>
        <w:t xml:space="preserve"> Nivel estructural de toma de decisiones macro (ej. Filtro Anti-Contratendencia de XAUUSD).</w:t>
      </w:r>
    </w:p>
    <w:p w:rsidR="00A12108" w:rsidRDefault="00A12108" w:rsidP="00A12108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Textoennegrita"/>
        </w:rPr>
        <w:t>Comportamiento del FXVL:</w:t>
      </w:r>
      <w:r>
        <w:t xml:space="preserve"> </w:t>
      </w:r>
    </w:p>
    <w:p w:rsidR="00A12108" w:rsidRDefault="00A12108" w:rsidP="00A12108">
      <w:pPr>
        <w:numPr>
          <w:ilvl w:val="1"/>
          <w:numId w:val="5"/>
        </w:numPr>
        <w:spacing w:before="100" w:beforeAutospacing="1" w:after="100" w:afterAutospacing="1" w:line="240" w:lineRule="auto"/>
      </w:pPr>
      <w:r>
        <w:t xml:space="preserve">La </w:t>
      </w:r>
      <w:r>
        <w:rPr>
          <w:rStyle w:val="Textoennegrita"/>
        </w:rPr>
        <w:t>Media Móvil de FXVL en 4H</w:t>
      </w:r>
      <w:r>
        <w:t xml:space="preserve"> dicta el "Régimen General del Mercado": </w:t>
      </w:r>
    </w:p>
    <w:p w:rsidR="00A12108" w:rsidRDefault="00A12108" w:rsidP="00A12108">
      <w:pPr>
        <w:numPr>
          <w:ilvl w:val="2"/>
          <w:numId w:val="5"/>
        </w:numPr>
        <w:spacing w:before="100" w:beforeAutospacing="1" w:after="100" w:afterAutospacing="1" w:line="240" w:lineRule="auto"/>
      </w:pPr>
      <w:r>
        <w:rPr>
          <w:rStyle w:val="katex-mathml"/>
        </w:rPr>
        <w:t>Pendiente ≤0  </w:t>
      </w:r>
      <w:r>
        <w:rPr>
          <w:rStyle w:val="katex-mathml"/>
          <w:rFonts w:ascii="Cambria Math" w:hAnsi="Cambria Math" w:cs="Cambria Math"/>
        </w:rPr>
        <w:t>⟹</w:t>
      </w:r>
      <w:r>
        <w:rPr>
          <w:rStyle w:val="katex-mathml"/>
        </w:rPr>
        <w:t>  \text{Pendiente } \le 0 \implies</w:t>
      </w:r>
      <w:r>
        <w:rPr>
          <w:rStyle w:val="mord"/>
        </w:rPr>
        <w:t>Pendiente </w:t>
      </w:r>
      <w:r>
        <w:rPr>
          <w:rStyle w:val="mrel"/>
        </w:rPr>
        <w:t>≤</w:t>
      </w:r>
      <w:r>
        <w:rPr>
          <w:rStyle w:val="mord"/>
        </w:rPr>
        <w:t>0</w:t>
      </w:r>
      <w:r>
        <w:rPr>
          <w:rStyle w:val="mrel"/>
          <w:rFonts w:ascii="Cambria Math" w:hAnsi="Cambria Math" w:cs="Cambria Math"/>
        </w:rPr>
        <w:t>⟹</w:t>
      </w:r>
      <w:r>
        <w:t xml:space="preserve"> Régimen de Rango. No buscar ratios </w:t>
      </w:r>
      <w:r>
        <w:rPr>
          <w:rStyle w:val="katex-mathml"/>
        </w:rPr>
        <w:t>RR&gt;1:2RR &gt; 1:2</w:t>
      </w:r>
      <w:r>
        <w:rPr>
          <w:rStyle w:val="mord"/>
        </w:rPr>
        <w:t>RR</w:t>
      </w:r>
      <w:r>
        <w:rPr>
          <w:rStyle w:val="mrel"/>
        </w:rPr>
        <w:t>&gt;</w:t>
      </w:r>
      <w:r>
        <w:rPr>
          <w:rStyle w:val="mord"/>
        </w:rPr>
        <w:t>1</w:t>
      </w:r>
      <w:r>
        <w:rPr>
          <w:rStyle w:val="mrel"/>
        </w:rPr>
        <w:t>:</w:t>
      </w:r>
      <w:r>
        <w:rPr>
          <w:rStyle w:val="mord"/>
        </w:rPr>
        <w:t>2</w:t>
      </w:r>
      <w:r>
        <w:t>.</w:t>
      </w:r>
    </w:p>
    <w:p w:rsidR="00A12108" w:rsidRDefault="00A12108" w:rsidP="00A12108">
      <w:pPr>
        <w:numPr>
          <w:ilvl w:val="2"/>
          <w:numId w:val="5"/>
        </w:numPr>
        <w:spacing w:before="100" w:beforeAutospacing="1" w:after="100" w:afterAutospacing="1" w:line="240" w:lineRule="auto"/>
      </w:pPr>
      <w:r>
        <w:rPr>
          <w:rStyle w:val="katex-mathml"/>
        </w:rPr>
        <w:t>Pendiente &gt;0  </w:t>
      </w:r>
      <w:r>
        <w:rPr>
          <w:rStyle w:val="katex-mathml"/>
          <w:rFonts w:ascii="Cambria Math" w:hAnsi="Cambria Math" w:cs="Cambria Math"/>
        </w:rPr>
        <w:t>⟹</w:t>
      </w:r>
      <w:r>
        <w:rPr>
          <w:rStyle w:val="katex-mathml"/>
        </w:rPr>
        <w:t>  \text{Pendiente } &gt; 0 \implies</w:t>
      </w:r>
      <w:r>
        <w:rPr>
          <w:rStyle w:val="mord"/>
        </w:rPr>
        <w:t>Pendiente </w:t>
      </w:r>
      <w:r>
        <w:rPr>
          <w:rStyle w:val="mrel"/>
        </w:rPr>
        <w:t>&gt;</w:t>
      </w:r>
      <w:r>
        <w:rPr>
          <w:rStyle w:val="mord"/>
        </w:rPr>
        <w:t>0</w:t>
      </w:r>
      <w:r>
        <w:rPr>
          <w:rStyle w:val="mrel"/>
          <w:rFonts w:ascii="Cambria Math" w:hAnsi="Cambria Math" w:cs="Cambria Math"/>
        </w:rPr>
        <w:t>⟹</w:t>
      </w:r>
      <w:r>
        <w:t xml:space="preserve"> Régimen de Expansión. Buscar ratios </w:t>
      </w:r>
      <w:r>
        <w:rPr>
          <w:rStyle w:val="katex-mathml"/>
        </w:rPr>
        <w:t>RR≥1:3RR \ge 1:3</w:t>
      </w:r>
      <w:r>
        <w:rPr>
          <w:rStyle w:val="mord"/>
        </w:rPr>
        <w:t>RR</w:t>
      </w:r>
      <w:r>
        <w:rPr>
          <w:rStyle w:val="mrel"/>
        </w:rPr>
        <w:t>≥</w:t>
      </w:r>
      <w:r>
        <w:rPr>
          <w:rStyle w:val="mord"/>
        </w:rPr>
        <w:t>1</w:t>
      </w:r>
      <w:r>
        <w:rPr>
          <w:rStyle w:val="mrel"/>
        </w:rPr>
        <w:t>:</w:t>
      </w:r>
      <w:r>
        <w:rPr>
          <w:rStyle w:val="mord"/>
        </w:rPr>
        <w:t>3</w:t>
      </w:r>
      <w:r>
        <w:t>, aplicar Cascada de Riesgo v2 con trailing stop dinámico.</w:t>
      </w:r>
    </w:p>
    <w:p w:rsidR="00A12108" w:rsidRDefault="00A12108" w:rsidP="00A12108">
      <w:pPr>
        <w:pStyle w:val="Ttulo3"/>
      </w:pPr>
      <w:r>
        <w:t>5️</w:t>
      </w:r>
      <w:r>
        <w:rPr>
          <w:rFonts w:ascii="Tahoma" w:hAnsi="Tahoma" w:cs="Tahoma"/>
        </w:rPr>
        <w:t>⃣</w:t>
      </w:r>
      <w:r>
        <w:t xml:space="preserve"> Temporalidad 8H: Sesión Completa &amp; Consenso de Fondos Soberanos</w:t>
      </w:r>
    </w:p>
    <w:p w:rsidR="00A12108" w:rsidRDefault="00A12108" w:rsidP="00A1210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Textoennegrita"/>
        </w:rPr>
        <w:t>Función Institucional:</w:t>
      </w:r>
      <w:r>
        <w:t xml:space="preserve"> Cobertura de la jornada completa de overlap Londres - Nueva York.</w:t>
      </w:r>
    </w:p>
    <w:p w:rsidR="00A12108" w:rsidRDefault="00A12108" w:rsidP="00A12108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Style w:val="Textoennegrita"/>
        </w:rPr>
        <w:t>Comportamiento del FXVL:</w:t>
      </w:r>
      <w:r>
        <w:t xml:space="preserve"> </w:t>
      </w:r>
    </w:p>
    <w:p w:rsidR="00A12108" w:rsidRDefault="00A12108" w:rsidP="00A12108">
      <w:pPr>
        <w:numPr>
          <w:ilvl w:val="1"/>
          <w:numId w:val="6"/>
        </w:numPr>
        <w:spacing w:before="100" w:beforeAutospacing="1" w:after="100" w:afterAutospacing="1" w:line="240" w:lineRule="auto"/>
      </w:pPr>
      <w:r>
        <w:lastRenderedPageBreak/>
        <w:t xml:space="preserve">Establece el techo de volatilidad diaria. Si la volatilidad de 8H se satura (Percentil &gt; 90), el mercado entra en </w:t>
      </w:r>
      <w:r>
        <w:rPr>
          <w:rStyle w:val="Textoennegrita"/>
        </w:rPr>
        <w:t>Agotamiento Institucional (Exhaustion)</w:t>
      </w:r>
      <w:r>
        <w:t>, alertando a RUNE y ATLAS para asegurar beneficios y ejecutar Front-Run de Take Profits.</w:t>
      </w:r>
    </w:p>
    <w:p w:rsidR="00A12108" w:rsidRDefault="00BC23A7" w:rsidP="00A12108">
      <w:pPr>
        <w:spacing w:after="0"/>
      </w:pPr>
      <w:r>
        <w:pict>
          <v:rect id="_x0000_i1027" style="width:369.9pt;height:.75pt" o:hralign="center" o:hrstd="t" o:hr="t" fillcolor="#a0a0a0" stroked="f"/>
        </w:pict>
      </w:r>
    </w:p>
    <w:p w:rsidR="00A12108" w:rsidRDefault="00A12108" w:rsidP="00A12108">
      <w:pPr>
        <w:pStyle w:val="Ttulo2"/>
      </w:pPr>
      <w:r>
        <w:t>4. Algoritmo Cuantitativo: Detección de Consolidación vs Expansión en FXVL</w:t>
      </w:r>
    </w:p>
    <w:p w:rsidR="00A12108" w:rsidRDefault="00A12108" w:rsidP="00A12108">
      <w:pPr>
        <w:spacing w:before="100" w:beforeAutospacing="1" w:after="100" w:afterAutospacing="1"/>
      </w:pPr>
      <w:r>
        <w:t xml:space="preserve">Para que Mia identifique matemáticamente en tiempo real si el bloque de divisas está en </w:t>
      </w:r>
      <w:r>
        <w:rPr>
          <w:rStyle w:val="Textoennegrita"/>
        </w:rPr>
        <w:t>Consolidación</w:t>
      </w:r>
      <w:r>
        <w:t xml:space="preserve"> o </w:t>
      </w:r>
      <w:r>
        <w:rPr>
          <w:rStyle w:val="Textoennegrita"/>
        </w:rPr>
        <w:t>Expansión</w:t>
      </w:r>
      <w:r>
        <w:t xml:space="preserve">, se utiliza el </w:t>
      </w:r>
      <w:r>
        <w:rPr>
          <w:rStyle w:val="Textoennegrita"/>
        </w:rPr>
        <w:t>Z-Score Normalizado de Volatilidad</w:t>
      </w:r>
      <w:r>
        <w:t>:</w:t>
      </w:r>
    </w:p>
    <w:p w:rsidR="00A12108" w:rsidRDefault="00A12108" w:rsidP="00A12108">
      <w:pPr>
        <w:spacing w:after="0"/>
      </w:pPr>
      <w:r>
        <w:rPr>
          <w:rStyle w:val="katex-mathml"/>
        </w:rPr>
        <w:t>ZFXVL=FXVLactual−μ20(FXVL)σ20(FXVL)Z_{\text{FXVL}} = \frac{\text{FXVL}_{\text{actual}} - \mu_{20}(\text{FXVL})}{\sigma_{20}(\text{FXVL})}</w:t>
      </w:r>
      <w:r>
        <w:rPr>
          <w:rStyle w:val="mord"/>
        </w:rPr>
        <w:t>ZFXVL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σ20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FXVL</w:t>
      </w:r>
      <w:r>
        <w:rPr>
          <w:rStyle w:val="mclose"/>
        </w:rPr>
        <w:t>)</w:t>
      </w:r>
      <w:r>
        <w:rPr>
          <w:rStyle w:val="mord"/>
        </w:rPr>
        <w:t>FXVLactual</w:t>
      </w:r>
      <w:r>
        <w:rPr>
          <w:rStyle w:val="vlist-s"/>
        </w:rPr>
        <w:t>​</w:t>
      </w:r>
      <w:r>
        <w:rPr>
          <w:rStyle w:val="mbin"/>
        </w:rPr>
        <w:t>−</w:t>
      </w:r>
      <w:r>
        <w:rPr>
          <w:rStyle w:val="mord"/>
        </w:rPr>
        <w:t>μ20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FXVL</w:t>
      </w:r>
      <w:r>
        <w:rPr>
          <w:rStyle w:val="mclose"/>
        </w:rPr>
        <w:t>)</w:t>
      </w:r>
      <w:r>
        <w:rPr>
          <w:rStyle w:val="vlist-s"/>
        </w:rPr>
        <w:t>​</w:t>
      </w:r>
    </w:p>
    <w:p w:rsidR="00A12108" w:rsidRDefault="00A12108" w:rsidP="00A12108">
      <w:pPr>
        <w:spacing w:before="100" w:beforeAutospacing="1" w:after="100" w:afterAutospacing="1"/>
      </w:pPr>
      <w:r>
        <w:t xml:space="preserve">Donde </w:t>
      </w:r>
      <w:r>
        <w:rPr>
          <w:rStyle w:val="katex-mathml"/>
        </w:rPr>
        <w:t>μ20\mu_{20}</w:t>
      </w:r>
      <w:r>
        <w:rPr>
          <w:rStyle w:val="mord"/>
        </w:rPr>
        <w:t>μ20</w:t>
      </w:r>
      <w:r>
        <w:rPr>
          <w:rStyle w:val="vlist-s"/>
        </w:rPr>
        <w:t>​</w:t>
      </w:r>
      <w:r>
        <w:t xml:space="preserve"> es la media móvil de 20 períodos y </w:t>
      </w:r>
      <w:r>
        <w:rPr>
          <w:rStyle w:val="katex-mathml"/>
        </w:rPr>
        <w:t>σ20\sigma_{20}</w:t>
      </w:r>
      <w:r>
        <w:rPr>
          <w:rStyle w:val="mord"/>
        </w:rPr>
        <w:t>σ20</w:t>
      </w:r>
      <w:r>
        <w:rPr>
          <w:rStyle w:val="vlist-s"/>
        </w:rPr>
        <w:t>​</w:t>
      </w:r>
      <w:r>
        <w:t xml:space="preserve"> es la desviación estándar de la volatilidad implícita del CME.</w:t>
      </w:r>
    </w:p>
    <w:p w:rsidR="00A12108" w:rsidRDefault="00A12108">
      <w:r>
        <w:rPr>
          <w:noProof/>
          <w:lang w:eastAsia="es-MX"/>
        </w:rPr>
        <w:drawing>
          <wp:inline distT="0" distB="0" distL="0" distR="0" wp14:anchorId="2DCEE90D" wp14:editId="5FCD01E6">
            <wp:extent cx="5612130" cy="3782695"/>
            <wp:effectExtent l="0" t="0" r="7620" b="825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8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2108" w:rsidRDefault="00A12108" w:rsidP="00A12108">
      <w:pPr>
        <w:pStyle w:val="Ttulo3"/>
      </w:pPr>
      <w:r>
        <w:rPr>
          <w:rFonts w:ascii="Segoe UI Symbol" w:hAnsi="Segoe UI Symbol" w:cs="Segoe UI Symbol"/>
        </w:rPr>
        <w:t>📋</w:t>
      </w:r>
      <w:r>
        <w:t xml:space="preserve"> Los 4 Estados Operativos del Algoritmo:</w:t>
      </w:r>
    </w:p>
    <w:p w:rsidR="00A12108" w:rsidRDefault="00A12108" w:rsidP="00A1210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Textoennegrita"/>
        </w:rPr>
        <w:t>Estado 1: CONSOLIDACIÓN / COMPRESIÓN (</w:t>
      </w:r>
      <w:r>
        <w:rPr>
          <w:rStyle w:val="katex-mathml"/>
          <w:b/>
          <w:bCs/>
        </w:rPr>
        <w:t>ZFXVL&lt;−0.5Z_{\text{FXVL}} &lt; -0.5</w:t>
      </w:r>
      <w:r>
        <w:rPr>
          <w:rStyle w:val="mord"/>
          <w:b/>
          <w:bCs/>
        </w:rPr>
        <w:t>ZFXVL</w:t>
      </w:r>
      <w:r>
        <w:rPr>
          <w:rStyle w:val="vlist-s"/>
          <w:b/>
          <w:bCs/>
        </w:rPr>
        <w:t>​</w:t>
      </w:r>
      <w:r>
        <w:rPr>
          <w:rStyle w:val="mrel"/>
          <w:b/>
          <w:bCs/>
        </w:rPr>
        <w:t>&lt;</w:t>
      </w:r>
      <w:r>
        <w:rPr>
          <w:rStyle w:val="mord"/>
          <w:b/>
          <w:bCs/>
        </w:rPr>
        <w:t>−0.5</w:t>
      </w:r>
      <w:r>
        <w:rPr>
          <w:rStyle w:val="Textoennegrita"/>
        </w:rPr>
        <w:t>)</w:t>
      </w:r>
    </w:p>
    <w:p w:rsidR="00A12108" w:rsidRDefault="00A12108" w:rsidP="00A12108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Textoennegrita"/>
        </w:rPr>
        <w:lastRenderedPageBreak/>
        <w:t>DOM:</w:t>
      </w:r>
      <w:r>
        <w:t xml:space="preserve"> Muros densos, baja velocidad de órdenes a mercado, resting liquidity absorbe el precio.</w:t>
      </w:r>
    </w:p>
    <w:p w:rsidR="00A12108" w:rsidRDefault="00A12108" w:rsidP="00A12108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Textoennegrita"/>
        </w:rPr>
        <w:t>Directriz Mia:</w:t>
      </w:r>
      <w:r>
        <w:t xml:space="preserve"> Scalping y swing en OBs de 1H y 2H. TPs fijos, prohibido operar breakouts.</w:t>
      </w:r>
    </w:p>
    <w:p w:rsidR="00A12108" w:rsidRDefault="00A12108" w:rsidP="00A1210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Textoennegrita"/>
        </w:rPr>
        <w:t>Estado 2: RÉGIMEN NORMAL BALANCEADO (</w:t>
      </w:r>
      <w:r>
        <w:rPr>
          <w:rStyle w:val="katex-mathml"/>
          <w:b/>
          <w:bCs/>
        </w:rPr>
        <w:t>−0.5≤ZFXVL≤+0.8-0.5 \le Z_{\text{FXVL}} \le +0.8</w:t>
      </w:r>
      <w:r>
        <w:rPr>
          <w:rStyle w:val="mord"/>
          <w:b/>
          <w:bCs/>
        </w:rPr>
        <w:t>−0.5</w:t>
      </w:r>
      <w:r>
        <w:rPr>
          <w:rStyle w:val="mrel"/>
          <w:b/>
          <w:bCs/>
        </w:rPr>
        <w:t>≤</w:t>
      </w:r>
      <w:r>
        <w:rPr>
          <w:rStyle w:val="mord"/>
          <w:b/>
          <w:bCs/>
        </w:rPr>
        <w:t>ZFXVL</w:t>
      </w:r>
      <w:r>
        <w:rPr>
          <w:rStyle w:val="vlist-s"/>
          <w:b/>
          <w:bCs/>
        </w:rPr>
        <w:t>​</w:t>
      </w:r>
      <w:r>
        <w:rPr>
          <w:rStyle w:val="mrel"/>
          <w:b/>
          <w:bCs/>
        </w:rPr>
        <w:t>≤</w:t>
      </w:r>
      <w:r>
        <w:rPr>
          <w:rStyle w:val="mord"/>
          <w:b/>
          <w:bCs/>
        </w:rPr>
        <w:t>+0.8</w:t>
      </w:r>
      <w:r>
        <w:rPr>
          <w:rStyle w:val="Textoennegrita"/>
        </w:rPr>
        <w:t>)</w:t>
      </w:r>
    </w:p>
    <w:p w:rsidR="00A12108" w:rsidRDefault="00A12108" w:rsidP="00A12108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Textoennegrita"/>
        </w:rPr>
        <w:t>DOM:</w:t>
      </w:r>
      <w:r>
        <w:t xml:space="preserve"> Distribución de Gauss simétrica, POC institucional respetado.</w:t>
      </w:r>
    </w:p>
    <w:p w:rsidR="00A12108" w:rsidRDefault="00A12108" w:rsidP="00A12108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Textoennegrita"/>
        </w:rPr>
        <w:t>Directriz Mia:</w:t>
      </w:r>
      <w:r>
        <w:t xml:space="preserve"> Regla de 3 estándar (RSI + OB 2H + LuxAlgo). Máxima predictibilidad estadística.</w:t>
      </w:r>
    </w:p>
    <w:p w:rsidR="00A12108" w:rsidRDefault="00A12108" w:rsidP="00A1210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Textoennegrita"/>
        </w:rPr>
        <w:t>Estado 3: EXPANSIÓN TENDENCIAL (</w:t>
      </w:r>
      <w:r>
        <w:rPr>
          <w:rStyle w:val="katex-mathml"/>
          <w:b/>
          <w:bCs/>
        </w:rPr>
        <w:t>+0.8&lt;ZFXVL≤+2.0+0.8 &lt; Z_{\text{FXVL}} \le +2.0</w:t>
      </w:r>
      <w:r>
        <w:rPr>
          <w:rStyle w:val="mord"/>
          <w:b/>
          <w:bCs/>
        </w:rPr>
        <w:t>+0.8</w:t>
      </w:r>
      <w:r>
        <w:rPr>
          <w:rStyle w:val="mrel"/>
          <w:b/>
          <w:bCs/>
        </w:rPr>
        <w:t>&lt;</w:t>
      </w:r>
      <w:r>
        <w:rPr>
          <w:rStyle w:val="mord"/>
          <w:b/>
          <w:bCs/>
        </w:rPr>
        <w:t>ZFXVL</w:t>
      </w:r>
      <w:r>
        <w:rPr>
          <w:rStyle w:val="vlist-s"/>
          <w:b/>
          <w:bCs/>
        </w:rPr>
        <w:t>​</w:t>
      </w:r>
      <w:r>
        <w:rPr>
          <w:rStyle w:val="mrel"/>
          <w:b/>
          <w:bCs/>
        </w:rPr>
        <w:t>≤</w:t>
      </w:r>
      <w:r>
        <w:rPr>
          <w:rStyle w:val="mord"/>
          <w:b/>
          <w:bCs/>
        </w:rPr>
        <w:t>+2.0</w:t>
      </w:r>
      <w:r>
        <w:rPr>
          <w:rStyle w:val="Textoennegrita"/>
        </w:rPr>
        <w:t>)</w:t>
      </w:r>
    </w:p>
    <w:p w:rsidR="00A12108" w:rsidRDefault="00A12108" w:rsidP="00A12108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Textoennegrita"/>
        </w:rPr>
        <w:t>DOM:</w:t>
      </w:r>
      <w:r>
        <w:t xml:space="preserve"> Muros asimétricos, adelgazamiento de liquidez en el lado contrario, desbalance agresivo en CVD Delta.</w:t>
      </w:r>
    </w:p>
    <w:p w:rsidR="00A12108" w:rsidRDefault="00A12108" w:rsidP="00A12108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Textoennegrita"/>
        </w:rPr>
        <w:t>Directriz Mia:</w:t>
      </w:r>
      <w:r>
        <w:t xml:space="preserve"> Operar exclusivamente a favor de la tendencia de 4H/8H. Vetar cualquier orden en contratendencia. Activar Cascada de Gestión de Riesgo v2 (asegurar parciales al 50% de distancia y trailing lock al 75% y 85%).</w:t>
      </w:r>
    </w:p>
    <w:p w:rsidR="00A12108" w:rsidRDefault="00A12108" w:rsidP="00A12108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rPr>
          <w:rStyle w:val="Textoennegrita"/>
        </w:rPr>
        <w:t>Estado 4: SHOCK DE VOLATILIDAD / EVENTO MACRO (</w:t>
      </w:r>
      <w:r>
        <w:rPr>
          <w:rStyle w:val="katex-mathml"/>
          <w:b/>
          <w:bCs/>
        </w:rPr>
        <w:t>ZFXVL&gt;+2.0Z_{\text{FXVL}} &gt; +2.0</w:t>
      </w:r>
      <w:r>
        <w:rPr>
          <w:rStyle w:val="mord"/>
          <w:b/>
          <w:bCs/>
        </w:rPr>
        <w:t>ZFXVL</w:t>
      </w:r>
      <w:r>
        <w:rPr>
          <w:rStyle w:val="vlist-s"/>
          <w:b/>
          <w:bCs/>
        </w:rPr>
        <w:t>​</w:t>
      </w:r>
      <w:r>
        <w:rPr>
          <w:rStyle w:val="mrel"/>
          <w:b/>
          <w:bCs/>
        </w:rPr>
        <w:t>&gt;</w:t>
      </w:r>
      <w:r>
        <w:rPr>
          <w:rStyle w:val="mord"/>
          <w:b/>
          <w:bCs/>
        </w:rPr>
        <w:t>+2.0</w:t>
      </w:r>
      <w:r>
        <w:rPr>
          <w:rStyle w:val="Textoennegrita"/>
        </w:rPr>
        <w:t>)</w:t>
      </w:r>
    </w:p>
    <w:p w:rsidR="00A12108" w:rsidRDefault="00A12108" w:rsidP="00A12108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Textoennegrita"/>
        </w:rPr>
        <w:t>DOM:</w:t>
      </w:r>
      <w:r>
        <w:t xml:space="preserve"> Ruptura total de liquidez, spreads ensanchados, deslizamiento severo.</w:t>
      </w:r>
    </w:p>
    <w:p w:rsidR="00A12108" w:rsidRDefault="00A12108" w:rsidP="00A12108">
      <w:pPr>
        <w:numPr>
          <w:ilvl w:val="1"/>
          <w:numId w:val="7"/>
        </w:numPr>
        <w:spacing w:before="100" w:beforeAutospacing="1" w:after="100" w:afterAutospacing="1" w:line="240" w:lineRule="auto"/>
      </w:pPr>
      <w:r>
        <w:rPr>
          <w:rStyle w:val="Textoennegrita"/>
        </w:rPr>
        <w:t>Directriz Mia:</w:t>
      </w:r>
      <w:r>
        <w:t xml:space="preserve"> Activación del </w:t>
      </w:r>
      <w:r>
        <w:rPr>
          <w:rStyle w:val="Textoennegrita"/>
        </w:rPr>
        <w:t>Filtro de Trampa de Noticias</w:t>
      </w:r>
      <w:r>
        <w:t xml:space="preserve"> (</w:t>
      </w:r>
      <w:r>
        <w:rPr>
          <w:rStyle w:val="katex-mathml"/>
        </w:rPr>
        <w:t>Δtbloqueo=15\Delta t_{\text{bloqueo}} = 15</w:t>
      </w:r>
      <w:r>
        <w:rPr>
          <w:rStyle w:val="mord"/>
        </w:rPr>
        <w:t>Δtbloqueo</w:t>
      </w:r>
      <w:r>
        <w:rPr>
          <w:rStyle w:val="vlist-s"/>
        </w:rPr>
        <w:t>​</w:t>
      </w:r>
      <w:r>
        <w:rPr>
          <w:rStyle w:val="mrel"/>
        </w:rPr>
        <w:t>=</w:t>
      </w:r>
      <w:r>
        <w:rPr>
          <w:rStyle w:val="mord"/>
        </w:rPr>
        <w:t>15</w:t>
      </w:r>
      <w:r>
        <w:t xml:space="preserve"> min antes, </w:t>
      </w:r>
      <w:r>
        <w:rPr>
          <w:rStyle w:val="katex-mathml"/>
        </w:rPr>
        <w:t>88</w:t>
      </w:r>
      <w:r>
        <w:rPr>
          <w:rStyle w:val="mord"/>
        </w:rPr>
        <w:t>8</w:t>
      </w:r>
      <w:r>
        <w:t xml:space="preserve"> min después). Cierre defensivo de parciales o bloqueo de nuevas aperturas.</w:t>
      </w:r>
    </w:p>
    <w:p w:rsidR="00A12108" w:rsidRDefault="00BC23A7" w:rsidP="00A12108">
      <w:pPr>
        <w:spacing w:after="0"/>
      </w:pPr>
      <w:r>
        <w:pict>
          <v:rect id="_x0000_i1028" style="width:369.9pt;height:.75pt" o:hralign="center" o:hrstd="t" o:hr="t" fillcolor="#a0a0a0" stroked="f"/>
        </w:pict>
      </w:r>
    </w:p>
    <w:p w:rsidR="00A12108" w:rsidRDefault="00A12108" w:rsidP="00A12108">
      <w:pPr>
        <w:pStyle w:val="Ttulo2"/>
      </w:pPr>
      <w:r>
        <w:t>5. Arquitectura de Código Propuesta para Homologación</w:t>
      </w:r>
    </w:p>
    <w:p w:rsidR="00A12108" w:rsidRDefault="00A12108" w:rsidP="00A12108">
      <w:pPr>
        <w:pStyle w:val="Ttulo3"/>
      </w:pPr>
      <w:r>
        <w:t xml:space="preserve">A) En </w:t>
      </w:r>
      <w:r>
        <w:rPr>
          <w:rStyle w:val="CdigoHTML"/>
          <w:rFonts w:eastAsiaTheme="majorEastAsia"/>
        </w:rPr>
        <w:t>dom_institutional_scanner.py</w:t>
      </w:r>
      <w:r>
        <w:t>:</w:t>
      </w:r>
    </w:p>
    <w:p w:rsidR="00A12108" w:rsidRDefault="00A12108" w:rsidP="00A12108">
      <w:pPr>
        <w:spacing w:before="100" w:beforeAutospacing="1" w:after="100" w:afterAutospacing="1"/>
      </w:pPr>
      <w:r>
        <w:t>Inyección de la matriz jerárquica CME con clasificación G5 FX / COMEX y el calculador de régimen multi-temporal:</w:t>
      </w:r>
    </w:p>
    <w:p w:rsidR="00A12108" w:rsidRDefault="00A12108" w:rsidP="00A12108">
      <w:pPr>
        <w:pStyle w:val="HTMLconformatoprevio"/>
      </w:pPr>
      <w:r>
        <w:t>python</w:t>
      </w:r>
    </w:p>
    <w:p w:rsidR="00A12108" w:rsidRDefault="00A12108" w:rsidP="00A12108">
      <w:pPr>
        <w:pStyle w:val="HTMLconformatoprevio"/>
      </w:pPr>
      <w:r>
        <w:t xml:space="preserve">CME_ASSET_MATRIX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{</w:t>
      </w:r>
    </w:p>
    <w:p w:rsidR="00A12108" w:rsidRDefault="00A12108" w:rsidP="00A12108">
      <w:pPr>
        <w:pStyle w:val="HTMLconformatoprevio"/>
      </w:pPr>
      <w:r>
        <w:t xml:space="preserve">    </w:t>
      </w:r>
      <w:r>
        <w:rPr>
          <w:rStyle w:val="token"/>
        </w:rPr>
        <w:t>"G5_FX_BASKET":</w:t>
      </w:r>
      <w:r>
        <w:t xml:space="preserve"> </w:t>
      </w:r>
      <w:r>
        <w:rPr>
          <w:rStyle w:val="token"/>
        </w:rPr>
        <w:t>{</w:t>
      </w:r>
    </w:p>
    <w:p w:rsidR="00A12108" w:rsidRDefault="00A12108" w:rsidP="00A12108">
      <w:pPr>
        <w:pStyle w:val="HTMLconformatoprevio"/>
      </w:pPr>
      <w:r>
        <w:t xml:space="preserve">        </w:t>
      </w:r>
      <w:r>
        <w:rPr>
          <w:rStyle w:val="token"/>
        </w:rPr>
        <w:t>"cluster":</w:t>
      </w:r>
      <w:r>
        <w:t xml:space="preserve"> </w:t>
      </w:r>
      <w:r>
        <w:rPr>
          <w:rStyle w:val="token"/>
        </w:rPr>
        <w:t>"CME G5 Foreign Exchange Futures",</w:t>
      </w:r>
    </w:p>
    <w:p w:rsidR="00A12108" w:rsidRDefault="00A12108" w:rsidP="00A12108">
      <w:pPr>
        <w:pStyle w:val="HTMLconformatoprevio"/>
      </w:pPr>
      <w:r>
        <w:t xml:space="preserve">        </w:t>
      </w:r>
      <w:r>
        <w:rPr>
          <w:rStyle w:val="token"/>
        </w:rPr>
        <w:t>"volatility_index":</w:t>
      </w:r>
      <w:r>
        <w:t xml:space="preserve"> </w:t>
      </w:r>
      <w:r>
        <w:rPr>
          <w:rStyle w:val="token"/>
        </w:rPr>
        <w:t>"FXVL (CME G5 FX CVOL)",</w:t>
      </w:r>
    </w:p>
    <w:p w:rsidR="00A12108" w:rsidRDefault="00A12108" w:rsidP="00A12108">
      <w:pPr>
        <w:pStyle w:val="HTMLconformatoprevio"/>
      </w:pPr>
      <w:r>
        <w:t xml:space="preserve">        </w:t>
      </w:r>
      <w:r>
        <w:rPr>
          <w:rStyle w:val="token"/>
        </w:rPr>
        <w:t>"pares":</w:t>
      </w:r>
      <w:r>
        <w:t xml:space="preserve"> </w:t>
      </w:r>
      <w:r>
        <w:rPr>
          <w:rStyle w:val="token"/>
        </w:rPr>
        <w:t>{</w:t>
      </w:r>
    </w:p>
    <w:p w:rsidR="00A12108" w:rsidRDefault="00A12108" w:rsidP="00A12108">
      <w:pPr>
        <w:pStyle w:val="HTMLconformatoprevio"/>
      </w:pPr>
      <w:r>
        <w:t xml:space="preserve">            </w:t>
      </w:r>
      <w:r>
        <w:rPr>
          <w:rStyle w:val="token"/>
        </w:rPr>
        <w:t>"EURUSD":</w:t>
      </w:r>
      <w:r>
        <w:t xml:space="preserve"> </w:t>
      </w:r>
      <w:r>
        <w:rPr>
          <w:rStyle w:val="token"/>
        </w:rPr>
        <w:t>{"ticker":</w:t>
      </w:r>
      <w:r>
        <w:t xml:space="preserve"> </w:t>
      </w:r>
      <w:r>
        <w:rPr>
          <w:rStyle w:val="token"/>
        </w:rPr>
        <w:t>"6E",</w:t>
      </w:r>
      <w:r>
        <w:t xml:space="preserve"> </w:t>
      </w:r>
      <w:r>
        <w:rPr>
          <w:rStyle w:val="token"/>
        </w:rPr>
        <w:t>"contrato":</w:t>
      </w:r>
      <w:r>
        <w:t xml:space="preserve"> </w:t>
      </w:r>
      <w:r>
        <w:rPr>
          <w:rStyle w:val="token"/>
        </w:rPr>
        <w:t>"Euro FX Futures",</w:t>
      </w:r>
      <w:r>
        <w:t xml:space="preserve"> </w:t>
      </w:r>
      <w:r>
        <w:rPr>
          <w:rStyle w:val="token"/>
        </w:rPr>
        <w:t>"cvol":</w:t>
      </w:r>
      <w:r>
        <w:t xml:space="preserve"> </w:t>
      </w:r>
      <w:r>
        <w:rPr>
          <w:rStyle w:val="token"/>
        </w:rPr>
        <w:t>"EUCO"},</w:t>
      </w:r>
    </w:p>
    <w:p w:rsidR="00A12108" w:rsidRDefault="00A12108" w:rsidP="00A12108">
      <w:pPr>
        <w:pStyle w:val="HTMLconformatoprevio"/>
      </w:pPr>
      <w:r>
        <w:t xml:space="preserve">            </w:t>
      </w:r>
      <w:r>
        <w:rPr>
          <w:rStyle w:val="token"/>
        </w:rPr>
        <w:t>"GBPUSD":</w:t>
      </w:r>
      <w:r>
        <w:t xml:space="preserve"> </w:t>
      </w:r>
      <w:r>
        <w:rPr>
          <w:rStyle w:val="token"/>
        </w:rPr>
        <w:t>{"ticker":</w:t>
      </w:r>
      <w:r>
        <w:t xml:space="preserve"> </w:t>
      </w:r>
      <w:r>
        <w:rPr>
          <w:rStyle w:val="token"/>
        </w:rPr>
        <w:t>"6B",</w:t>
      </w:r>
      <w:r>
        <w:t xml:space="preserve"> </w:t>
      </w:r>
      <w:r>
        <w:rPr>
          <w:rStyle w:val="token"/>
        </w:rPr>
        <w:t>"contrato":</w:t>
      </w:r>
      <w:r>
        <w:t xml:space="preserve"> </w:t>
      </w:r>
      <w:r>
        <w:rPr>
          <w:rStyle w:val="token"/>
        </w:rPr>
        <w:t>"British Pound Futures",</w:t>
      </w:r>
      <w:r>
        <w:t xml:space="preserve"> </w:t>
      </w:r>
      <w:r>
        <w:rPr>
          <w:rStyle w:val="token"/>
        </w:rPr>
        <w:t>"cvol":</w:t>
      </w:r>
      <w:r>
        <w:t xml:space="preserve"> </w:t>
      </w:r>
      <w:r>
        <w:rPr>
          <w:rStyle w:val="token"/>
        </w:rPr>
        <w:t>"BPCO"},</w:t>
      </w:r>
    </w:p>
    <w:p w:rsidR="00A12108" w:rsidRDefault="00A12108" w:rsidP="00A12108">
      <w:pPr>
        <w:pStyle w:val="HTMLconformatoprevio"/>
      </w:pPr>
      <w:r>
        <w:t xml:space="preserve">            </w:t>
      </w:r>
      <w:r>
        <w:rPr>
          <w:rStyle w:val="token"/>
        </w:rPr>
        <w:t>"AUDUSD":</w:t>
      </w:r>
      <w:r>
        <w:t xml:space="preserve"> </w:t>
      </w:r>
      <w:r>
        <w:rPr>
          <w:rStyle w:val="token"/>
        </w:rPr>
        <w:t>{"ticker":</w:t>
      </w:r>
      <w:r>
        <w:t xml:space="preserve"> </w:t>
      </w:r>
      <w:r>
        <w:rPr>
          <w:rStyle w:val="token"/>
        </w:rPr>
        <w:t>"6A",</w:t>
      </w:r>
      <w:r>
        <w:t xml:space="preserve"> </w:t>
      </w:r>
      <w:r>
        <w:rPr>
          <w:rStyle w:val="token"/>
        </w:rPr>
        <w:t>"contrato":</w:t>
      </w:r>
      <w:r>
        <w:t xml:space="preserve"> </w:t>
      </w:r>
      <w:r>
        <w:rPr>
          <w:rStyle w:val="token"/>
        </w:rPr>
        <w:t>"Australian Dollar Futures",</w:t>
      </w:r>
      <w:r>
        <w:t xml:space="preserve"> </w:t>
      </w:r>
      <w:r>
        <w:rPr>
          <w:rStyle w:val="token"/>
        </w:rPr>
        <w:t>"cvol":</w:t>
      </w:r>
      <w:r>
        <w:t xml:space="preserve"> </w:t>
      </w:r>
      <w:r>
        <w:rPr>
          <w:rStyle w:val="token"/>
        </w:rPr>
        <w:t>"ADCO"},</w:t>
      </w:r>
    </w:p>
    <w:p w:rsidR="00A12108" w:rsidRDefault="00A12108" w:rsidP="00A12108">
      <w:pPr>
        <w:pStyle w:val="HTMLconformatoprevio"/>
      </w:pPr>
      <w:r>
        <w:t xml:space="preserve">            </w:t>
      </w:r>
      <w:r>
        <w:rPr>
          <w:rStyle w:val="token"/>
        </w:rPr>
        <w:t>"GBPJPY":</w:t>
      </w:r>
      <w:r>
        <w:t xml:space="preserve"> </w:t>
      </w:r>
      <w:r>
        <w:rPr>
          <w:rStyle w:val="token"/>
        </w:rPr>
        <w:t>{"ticker":</w:t>
      </w:r>
      <w:r>
        <w:t xml:space="preserve"> </w:t>
      </w:r>
      <w:r>
        <w:rPr>
          <w:rStyle w:val="token"/>
        </w:rPr>
        <w:t>"6B/6J",</w:t>
      </w:r>
      <w:r>
        <w:t xml:space="preserve"> </w:t>
      </w:r>
      <w:r>
        <w:rPr>
          <w:rStyle w:val="token"/>
        </w:rPr>
        <w:t>"contrato":</w:t>
      </w:r>
      <w:r>
        <w:t xml:space="preserve"> </w:t>
      </w:r>
      <w:r>
        <w:rPr>
          <w:rStyle w:val="token"/>
        </w:rPr>
        <w:t>"Sintético Cruzado G5",</w:t>
      </w:r>
      <w:r>
        <w:t xml:space="preserve"> </w:t>
      </w:r>
      <w:r>
        <w:rPr>
          <w:rStyle w:val="token"/>
        </w:rPr>
        <w:t>"cvol":</w:t>
      </w:r>
      <w:r>
        <w:t xml:space="preserve"> </w:t>
      </w:r>
      <w:r>
        <w:rPr>
          <w:rStyle w:val="token"/>
        </w:rPr>
        <w:t>"FXVL_PROXY"},</w:t>
      </w:r>
    </w:p>
    <w:p w:rsidR="00A12108" w:rsidRDefault="00A12108" w:rsidP="00A12108">
      <w:pPr>
        <w:pStyle w:val="HTMLconformatoprevio"/>
      </w:pPr>
      <w:r>
        <w:t xml:space="preserve">            </w:t>
      </w:r>
      <w:r>
        <w:rPr>
          <w:rStyle w:val="token"/>
        </w:rPr>
        <w:t>"NZDCAD":</w:t>
      </w:r>
      <w:r>
        <w:t xml:space="preserve"> </w:t>
      </w:r>
      <w:r>
        <w:rPr>
          <w:rStyle w:val="token"/>
        </w:rPr>
        <w:t>{"ticker":</w:t>
      </w:r>
      <w:r>
        <w:t xml:space="preserve"> </w:t>
      </w:r>
      <w:r>
        <w:rPr>
          <w:rStyle w:val="token"/>
        </w:rPr>
        <w:t>"6N/6C",</w:t>
      </w:r>
      <w:r>
        <w:t xml:space="preserve"> </w:t>
      </w:r>
      <w:r>
        <w:rPr>
          <w:rStyle w:val="token"/>
        </w:rPr>
        <w:t>"contrato":</w:t>
      </w:r>
      <w:r>
        <w:t xml:space="preserve"> </w:t>
      </w:r>
      <w:r>
        <w:rPr>
          <w:rStyle w:val="token"/>
        </w:rPr>
        <w:t>"Sintético Cruzado FX",</w:t>
      </w:r>
      <w:r>
        <w:t xml:space="preserve"> </w:t>
      </w:r>
      <w:r>
        <w:rPr>
          <w:rStyle w:val="token"/>
        </w:rPr>
        <w:t>"cvol":</w:t>
      </w:r>
      <w:r>
        <w:t xml:space="preserve"> </w:t>
      </w:r>
      <w:r>
        <w:rPr>
          <w:rStyle w:val="token"/>
        </w:rPr>
        <w:t>"FXVL_PROXY"}</w:t>
      </w:r>
    </w:p>
    <w:p w:rsidR="00A12108" w:rsidRDefault="00A12108" w:rsidP="00A12108">
      <w:pPr>
        <w:pStyle w:val="HTMLconformatoprevio"/>
      </w:pPr>
      <w:r>
        <w:t xml:space="preserve">        </w:t>
      </w:r>
      <w:r>
        <w:rPr>
          <w:rStyle w:val="token"/>
        </w:rPr>
        <w:t>}</w:t>
      </w:r>
    </w:p>
    <w:p w:rsidR="00A12108" w:rsidRDefault="00A12108" w:rsidP="00A12108">
      <w:pPr>
        <w:pStyle w:val="HTMLconformatoprevio"/>
      </w:pPr>
      <w:r>
        <w:t xml:space="preserve">    </w:t>
      </w:r>
      <w:r>
        <w:rPr>
          <w:rStyle w:val="token"/>
        </w:rPr>
        <w:t>},</w:t>
      </w:r>
    </w:p>
    <w:p w:rsidR="00A12108" w:rsidRDefault="00A12108" w:rsidP="00A12108">
      <w:pPr>
        <w:pStyle w:val="HTMLconformatoprevio"/>
      </w:pPr>
      <w:r>
        <w:lastRenderedPageBreak/>
        <w:t xml:space="preserve">    </w:t>
      </w:r>
      <w:r>
        <w:rPr>
          <w:rStyle w:val="token"/>
        </w:rPr>
        <w:t>"COMEX_METALS":</w:t>
      </w:r>
      <w:r>
        <w:t xml:space="preserve"> </w:t>
      </w:r>
      <w:r>
        <w:rPr>
          <w:rStyle w:val="token"/>
        </w:rPr>
        <w:t>{</w:t>
      </w:r>
    </w:p>
    <w:p w:rsidR="00A12108" w:rsidRDefault="00A12108" w:rsidP="00A12108">
      <w:pPr>
        <w:pStyle w:val="HTMLconformatoprevio"/>
      </w:pPr>
      <w:r>
        <w:t xml:space="preserve">        </w:t>
      </w:r>
      <w:r>
        <w:rPr>
          <w:rStyle w:val="token"/>
        </w:rPr>
        <w:t>"cluster":</w:t>
      </w:r>
      <w:r>
        <w:t xml:space="preserve"> </w:t>
      </w:r>
      <w:r>
        <w:rPr>
          <w:rStyle w:val="token"/>
        </w:rPr>
        <w:t>"COMEX Precious Metals Division",</w:t>
      </w:r>
    </w:p>
    <w:p w:rsidR="00A12108" w:rsidRDefault="00A12108" w:rsidP="00A12108">
      <w:pPr>
        <w:pStyle w:val="HTMLconformatoprevio"/>
      </w:pPr>
      <w:r>
        <w:t xml:space="preserve">        </w:t>
      </w:r>
      <w:r>
        <w:rPr>
          <w:rStyle w:val="token"/>
        </w:rPr>
        <w:t>"volatility_index":</w:t>
      </w:r>
      <w:r>
        <w:t xml:space="preserve"> </w:t>
      </w:r>
      <w:r>
        <w:rPr>
          <w:rStyle w:val="token"/>
        </w:rPr>
        <w:t>"GVZ / GLCO (Gold Volatility Index / Gold CVOL)",</w:t>
      </w:r>
    </w:p>
    <w:p w:rsidR="00A12108" w:rsidRDefault="00A12108" w:rsidP="00A12108">
      <w:pPr>
        <w:pStyle w:val="HTMLconformatoprevio"/>
      </w:pPr>
      <w:r>
        <w:t xml:space="preserve">        </w:t>
      </w:r>
      <w:r>
        <w:rPr>
          <w:rStyle w:val="token"/>
        </w:rPr>
        <w:t>"pares":</w:t>
      </w:r>
      <w:r>
        <w:t xml:space="preserve"> </w:t>
      </w:r>
      <w:r>
        <w:rPr>
          <w:rStyle w:val="token"/>
        </w:rPr>
        <w:t>{</w:t>
      </w:r>
    </w:p>
    <w:p w:rsidR="00A12108" w:rsidRDefault="00A12108" w:rsidP="00A12108">
      <w:pPr>
        <w:pStyle w:val="HTMLconformatoprevio"/>
      </w:pPr>
      <w:r>
        <w:t xml:space="preserve">            </w:t>
      </w:r>
      <w:r>
        <w:rPr>
          <w:rStyle w:val="token"/>
        </w:rPr>
        <w:t>"XAUUSD":</w:t>
      </w:r>
      <w:r>
        <w:t xml:space="preserve"> </w:t>
      </w:r>
      <w:r>
        <w:rPr>
          <w:rStyle w:val="token"/>
        </w:rPr>
        <w:t>{"ticker":</w:t>
      </w:r>
      <w:r>
        <w:t xml:space="preserve"> </w:t>
      </w:r>
      <w:r>
        <w:rPr>
          <w:rStyle w:val="token"/>
        </w:rPr>
        <w:t>"GC",</w:t>
      </w:r>
      <w:r>
        <w:t xml:space="preserve"> </w:t>
      </w:r>
      <w:r>
        <w:rPr>
          <w:rStyle w:val="token"/>
        </w:rPr>
        <w:t>"contrato":</w:t>
      </w:r>
      <w:r>
        <w:t xml:space="preserve"> </w:t>
      </w:r>
      <w:r>
        <w:rPr>
          <w:rStyle w:val="token"/>
        </w:rPr>
        <w:t>"COMEX Gold Futures (100 oz)",</w:t>
      </w:r>
      <w:r>
        <w:t xml:space="preserve"> </w:t>
      </w:r>
      <w:r>
        <w:rPr>
          <w:rStyle w:val="token"/>
        </w:rPr>
        <w:t>"cvol":</w:t>
      </w:r>
      <w:r>
        <w:t xml:space="preserve"> </w:t>
      </w:r>
      <w:r>
        <w:rPr>
          <w:rStyle w:val="token"/>
        </w:rPr>
        <w:t>"GLCO"}</w:t>
      </w:r>
    </w:p>
    <w:p w:rsidR="00A12108" w:rsidRDefault="00A12108" w:rsidP="00A12108">
      <w:pPr>
        <w:pStyle w:val="HTMLconformatoprevio"/>
      </w:pPr>
      <w:r>
        <w:t xml:space="preserve">        </w:t>
      </w:r>
      <w:r>
        <w:rPr>
          <w:rStyle w:val="token"/>
        </w:rPr>
        <w:t>}</w:t>
      </w:r>
    </w:p>
    <w:p w:rsidR="00A12108" w:rsidRDefault="00A12108" w:rsidP="00A12108">
      <w:pPr>
        <w:pStyle w:val="HTMLconformatoprevio"/>
      </w:pPr>
      <w:r>
        <w:t xml:space="preserve">    </w:t>
      </w:r>
      <w:r>
        <w:rPr>
          <w:rStyle w:val="token"/>
        </w:rPr>
        <w:t>}</w:t>
      </w:r>
    </w:p>
    <w:p w:rsidR="00A12108" w:rsidRDefault="00A12108" w:rsidP="00A12108">
      <w:pPr>
        <w:pStyle w:val="HTMLconformatoprevio"/>
      </w:pPr>
      <w:r>
        <w:rPr>
          <w:rStyle w:val="token"/>
        </w:rPr>
        <w:t>}</w:t>
      </w:r>
    </w:p>
    <w:p w:rsidR="00A12108" w:rsidRDefault="00A12108" w:rsidP="00A12108">
      <w:pPr>
        <w:pStyle w:val="Ttulo3"/>
      </w:pPr>
      <w:r>
        <w:t xml:space="preserve">B) En </w:t>
      </w:r>
      <w:r>
        <w:rPr>
          <w:rStyle w:val="CdigoHTML"/>
          <w:rFonts w:eastAsiaTheme="majorEastAsia"/>
        </w:rPr>
        <w:t>atlas_dom_visualizer_l3.py</w:t>
      </w:r>
      <w:r>
        <w:t>:</w:t>
      </w:r>
    </w:p>
    <w:p w:rsidR="00A12108" w:rsidRDefault="00A12108" w:rsidP="00A12108">
      <w:pPr>
        <w:spacing w:before="100" w:beforeAutospacing="1" w:after="100" w:afterAutospacing="1"/>
      </w:pPr>
      <w:r>
        <w:t xml:space="preserve">Enriquecimiento de los perfiles </w:t>
      </w:r>
      <w:r>
        <w:rPr>
          <w:rStyle w:val="CdigoHTML"/>
          <w:rFonts w:eastAsiaTheme="minorHAnsi"/>
        </w:rPr>
        <w:t>TIMEFRAME_PROFILES</w:t>
      </w:r>
      <w:r>
        <w:t xml:space="preserve"> para reflejar el estado del </w:t>
      </w:r>
      <w:r>
        <w:rPr>
          <w:rStyle w:val="Textoennegrita"/>
        </w:rPr>
        <w:t>FXVL</w:t>
      </w:r>
      <w:r>
        <w:t xml:space="preserve"> en cada una de las 5 temporalidades (1H, 2H, 3H, 4H, 8H).</w:t>
      </w:r>
    </w:p>
    <w:p w:rsidR="00A12108" w:rsidRDefault="00A12108" w:rsidP="00A12108">
      <w:pPr>
        <w:pStyle w:val="Ttulo3"/>
      </w:pPr>
      <w:r>
        <w:t xml:space="preserve">C) En </w:t>
      </w:r>
      <w:r>
        <w:rPr>
          <w:rStyle w:val="CdigoHTML"/>
          <w:rFonts w:eastAsiaTheme="majorEastAsia"/>
        </w:rPr>
        <w:t>mia_master_swarm_rest.py</w:t>
      </w:r>
      <w:r>
        <w:t>:</w:t>
      </w:r>
    </w:p>
    <w:p w:rsidR="00BC23A7" w:rsidRDefault="00A12108" w:rsidP="00BC23A7">
      <w:pPr>
        <w:pStyle w:val="Ttulo3"/>
      </w:pPr>
      <w:r>
        <w:t xml:space="preserve">Inyección en el debate de los 7 Herds (especialmente </w:t>
      </w:r>
      <w:r>
        <w:rPr>
          <w:rStyle w:val="Textoennegrita"/>
        </w:rPr>
        <w:t>ATLAS Herd 7</w:t>
      </w:r>
      <w:r>
        <w:t xml:space="preserve"> y </w:t>
      </w:r>
      <w:r>
        <w:rPr>
          <w:rStyle w:val="Textoennegrita"/>
        </w:rPr>
        <w:t>TIDAL Herd 1</w:t>
      </w:r>
      <w:r>
        <w:t xml:space="preserve">) del campo </w:t>
      </w:r>
      <w:r>
        <w:rPr>
          <w:rStyle w:val="context-scope-mention"/>
          <w:rFonts w:eastAsiaTheme="minorHAnsi"/>
        </w:rPr>
        <w:t>cme_volatility_regime</w:t>
      </w:r>
      <w:r>
        <w:t xml:space="preserve"> para condicionar las decisiones de entrada y evitar trampas de volatilidad.</w:t>
      </w:r>
      <w:r w:rsidR="00BC23A7">
        <w:br/>
      </w:r>
      <w:r w:rsidR="00BC23A7">
        <w:br/>
      </w:r>
      <w:r w:rsidR="00BC23A7">
        <w:t>PARTE 1: ¿NORO ya calcula el CVOL y se seguirá analizando el CVD?</w:t>
      </w:r>
    </w:p>
    <w:p w:rsidR="00BC23A7" w:rsidRDefault="00BC23A7" w:rsidP="00BC23A7">
      <w:pPr>
        <w:pStyle w:val="Ttulo4"/>
      </w:pPr>
      <w:r>
        <w:t>1. ¿NORO ya calcula el CVOL?</w:t>
      </w:r>
    </w:p>
    <w:p w:rsidR="00BC23A7" w:rsidRDefault="00BC23A7" w:rsidP="00BC23A7">
      <w:pPr>
        <w:spacing w:before="100" w:beforeAutospacing="1" w:after="100" w:afterAutospacing="1"/>
      </w:pPr>
      <w:r>
        <w:rPr>
          <w:rStyle w:val="Textoennegrita"/>
        </w:rPr>
        <w:t>SÍ.</w:t>
      </w:r>
      <w:r>
        <w:t xml:space="preserve"> NORO (HERD 2) ha sido equipado oficialmente en </w:t>
      </w:r>
      <w:r>
        <w:rPr>
          <w:rStyle w:val="context-scope-mention"/>
        </w:rPr>
        <w:t>math_agent_skills.py</w:t>
      </w:r>
      <w:r>
        <w:t xml:space="preserve"> y en </w:t>
      </w:r>
      <w:r>
        <w:rPr>
          <w:rStyle w:val="context-scope-mention"/>
        </w:rPr>
        <w:t>mia_master_swarm_rest.py</w:t>
      </w:r>
      <w:r>
        <w:t xml:space="preserve"> con la función </w:t>
      </w:r>
      <w:r>
        <w:rPr>
          <w:rStyle w:val="CdigoHTML"/>
          <w:rFonts w:eastAsiaTheme="minorHAnsi"/>
        </w:rPr>
        <w:t>@tool("Calcular Area de Energia CVOL")</w:t>
      </w:r>
      <w:r>
        <w:t xml:space="preserve"> (</w:t>
      </w:r>
      <w:r>
        <w:rPr>
          <w:rStyle w:val="CdigoHTML"/>
          <w:rFonts w:eastAsiaTheme="minorHAnsi"/>
        </w:rPr>
        <w:t>calc_area_energia_cvol</w:t>
      </w:r>
      <w:r>
        <w:t>). Anteriormente, NORO se limitaba a informar el POC dinámico y la matriz de transición de Markov, mientras que el CVOL solo figuraba como etiqueta de benchmark en el DOM (</w:t>
      </w:r>
      <w:r>
        <w:rPr>
          <w:rStyle w:val="CdigoHTML"/>
          <w:rFonts w:eastAsiaTheme="minorHAnsi"/>
        </w:rPr>
        <w:t>FXVL</w:t>
      </w:r>
      <w:r>
        <w:t xml:space="preserve"> para Forex y </w:t>
      </w:r>
      <w:r>
        <w:rPr>
          <w:rStyle w:val="CdigoHTML"/>
          <w:rFonts w:eastAsiaTheme="minorHAnsi"/>
        </w:rPr>
        <w:t>GVZ/GLCO</w:t>
      </w:r>
      <w:r>
        <w:t xml:space="preserve"> para Oro). A partir de este momento, </w:t>
      </w:r>
      <w:r>
        <w:rPr>
          <w:rStyle w:val="Textoennegrita"/>
        </w:rPr>
        <w:t>NORO calcula explícitamente el Área de Energía de la integral de fuerza neta y su régimen cinético CVOL en cada ciclo para todos los activos.</w:t>
      </w:r>
    </w:p>
    <w:p w:rsidR="00BC23A7" w:rsidRDefault="00BC23A7" w:rsidP="00BC23A7">
      <w:pPr>
        <w:pStyle w:val="Ttulo4"/>
      </w:pPr>
      <w:r>
        <w:t>2. ¿Se seguirá analizando el CVD?</w:t>
      </w:r>
    </w:p>
    <w:p w:rsidR="00BC23A7" w:rsidRDefault="00BC23A7" w:rsidP="00BC23A7">
      <w:pPr>
        <w:spacing w:before="100" w:beforeAutospacing="1" w:after="100" w:afterAutospacing="1"/>
      </w:pPr>
      <w:r>
        <w:rPr>
          <w:rStyle w:val="Textoennegrita"/>
        </w:rPr>
        <w:t>SÍ, ABSOLUTAMENTE Y DE FORMA SIMULTÁNEA.</w:t>
      </w:r>
      <w:r>
        <w:t xml:space="preserve"> El </w:t>
      </w:r>
      <w:r>
        <w:rPr>
          <w:rStyle w:val="Textoennegrita"/>
        </w:rPr>
        <w:t>CVD (Cumulative Volume Delta)</w:t>
      </w:r>
      <w:r>
        <w:t xml:space="preserve"> y el </w:t>
      </w:r>
      <w:r>
        <w:rPr>
          <w:rStyle w:val="Textoennegrita"/>
        </w:rPr>
        <w:t>CVOL (Área de Energía bajo la curva)</w:t>
      </w:r>
      <w:r>
        <w:t xml:space="preserve"> no compiten ni se excluyen; son </w:t>
      </w:r>
      <w:r>
        <w:rPr>
          <w:rStyle w:val="Textoennegrita"/>
        </w:rPr>
        <w:t>dos dimensiones complementarias de la física del mercado institucional</w:t>
      </w:r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8"/>
        <w:gridCol w:w="1332"/>
        <w:gridCol w:w="3632"/>
        <w:gridCol w:w="2466"/>
      </w:tblGrid>
      <w:tr w:rsidR="00BC23A7" w:rsidTr="00BC23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23A7" w:rsidRDefault="00BC23A7">
            <w:pPr>
              <w:spacing w:after="0"/>
              <w:rPr>
                <w:b/>
                <w:bCs/>
              </w:rPr>
            </w:pPr>
            <w:r>
              <w:rPr>
                <w:b/>
                <w:bCs/>
              </w:rPr>
              <w:t>Métrica</w:t>
            </w:r>
          </w:p>
        </w:tc>
        <w:tc>
          <w:tcPr>
            <w:tcW w:w="0" w:type="auto"/>
            <w:vAlign w:val="center"/>
            <w:hideMark/>
          </w:tcPr>
          <w:p w:rsidR="00BC23A7" w:rsidRDefault="00BC23A7">
            <w:pPr>
              <w:rPr>
                <w:b/>
                <w:bCs/>
              </w:rPr>
            </w:pPr>
            <w:r>
              <w:rPr>
                <w:b/>
                <w:bCs/>
              </w:rPr>
              <w:t>Enjambre Responsable</w:t>
            </w:r>
          </w:p>
        </w:tc>
        <w:tc>
          <w:tcPr>
            <w:tcW w:w="0" w:type="auto"/>
            <w:vAlign w:val="center"/>
            <w:hideMark/>
          </w:tcPr>
          <w:p w:rsidR="00BC23A7" w:rsidRDefault="00BC23A7">
            <w:pPr>
              <w:rPr>
                <w:b/>
                <w:bCs/>
              </w:rPr>
            </w:pPr>
            <w:r>
              <w:rPr>
                <w:b/>
                <w:bCs/>
              </w:rPr>
              <w:t>Concepto Físico</w:t>
            </w:r>
          </w:p>
        </w:tc>
        <w:tc>
          <w:tcPr>
            <w:tcW w:w="0" w:type="auto"/>
            <w:vAlign w:val="center"/>
            <w:hideMark/>
          </w:tcPr>
          <w:p w:rsidR="00BC23A7" w:rsidRDefault="00BC23A7">
            <w:pPr>
              <w:rPr>
                <w:b/>
                <w:bCs/>
              </w:rPr>
            </w:pPr>
            <w:r>
              <w:rPr>
                <w:b/>
                <w:bCs/>
              </w:rPr>
              <w:t>Qué Mide en el Mercado</w:t>
            </w:r>
          </w:p>
        </w:tc>
      </w:tr>
      <w:tr w:rsidR="00BC23A7" w:rsidTr="00BC23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23A7" w:rsidRDefault="00BC23A7">
            <w:r>
              <w:rPr>
                <w:rStyle w:val="Textoennegrita"/>
              </w:rPr>
              <w:t>CVD (Cumulative Volume Delta)</w:t>
            </w:r>
          </w:p>
        </w:tc>
        <w:tc>
          <w:tcPr>
            <w:tcW w:w="0" w:type="auto"/>
            <w:vAlign w:val="center"/>
            <w:hideMark/>
          </w:tcPr>
          <w:p w:rsidR="00BC23A7" w:rsidRDefault="00BC23A7">
            <w:r>
              <w:rPr>
                <w:rStyle w:val="Textoennegrita"/>
              </w:rPr>
              <w:t>HERD 7 (ATLAS)</w:t>
            </w:r>
          </w:p>
        </w:tc>
        <w:tc>
          <w:tcPr>
            <w:tcW w:w="0" w:type="auto"/>
            <w:vAlign w:val="center"/>
            <w:hideMark/>
          </w:tcPr>
          <w:p w:rsidR="00BC23A7" w:rsidRDefault="00BC23A7">
            <w:r>
              <w:rPr>
                <w:rStyle w:val="Textoennegrita"/>
              </w:rPr>
              <w:t>Vector Direccional</w:t>
            </w:r>
            <w:r>
              <w:t xml:space="preserve"> (</w:t>
            </w:r>
            <w:r>
              <w:rPr>
                <w:rStyle w:val="katex-mathml"/>
              </w:rPr>
              <w:t>ΔV=∑[VolAsk−VolBid]\Delta V = \sum [Vol_{\text{Ask}} - Vol_{\text{Bid}}]</w:t>
            </w:r>
            <w:r>
              <w:rPr>
                <w:rStyle w:val="mord"/>
              </w:rPr>
              <w:t>ΔV</w:t>
            </w:r>
            <w:r>
              <w:rPr>
                <w:rStyle w:val="mrel"/>
              </w:rPr>
              <w:t>=</w:t>
            </w:r>
            <w:r>
              <w:rPr>
                <w:rStyle w:val="mop"/>
              </w:rPr>
              <w:t>∑</w:t>
            </w:r>
            <w:r>
              <w:rPr>
                <w:rStyle w:val="mopen"/>
              </w:rPr>
              <w:t>[</w:t>
            </w:r>
            <w:r>
              <w:rPr>
                <w:rStyle w:val="mord"/>
              </w:rPr>
              <w:t>VolAsk</w:t>
            </w:r>
            <w:r>
              <w:rPr>
                <w:rStyle w:val="vlist-s"/>
              </w:rPr>
              <w:t>​</w:t>
            </w:r>
            <w:r>
              <w:rPr>
                <w:rStyle w:val="mbin"/>
              </w:rPr>
              <w:t>−</w:t>
            </w:r>
            <w:r>
              <w:rPr>
                <w:rStyle w:val="mord"/>
              </w:rPr>
              <w:t>VolBid</w:t>
            </w:r>
            <w:r>
              <w:rPr>
                <w:rStyle w:val="vlist-s"/>
              </w:rPr>
              <w:t>​</w:t>
            </w:r>
            <w:r>
              <w:rPr>
                <w:rStyle w:val="mclose"/>
              </w:rPr>
              <w:t>]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BC23A7" w:rsidRDefault="00BC23A7">
            <w:r>
              <w:t xml:space="preserve">Nos dice </w:t>
            </w:r>
            <w:r>
              <w:rPr>
                <w:rStyle w:val="Textoennegrita"/>
              </w:rPr>
              <w:t>hacia dónde</w:t>
            </w:r>
            <w:r>
              <w:t xml:space="preserve"> está presionando la agresión en el micro-libro (si hay absorción de compras o agotamiento de ventas).</w:t>
            </w:r>
          </w:p>
        </w:tc>
      </w:tr>
      <w:tr w:rsidR="00BC23A7" w:rsidTr="00BC23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23A7" w:rsidRDefault="00BC23A7">
            <w:r>
              <w:rPr>
                <w:rStyle w:val="Textoennegrita"/>
              </w:rPr>
              <w:lastRenderedPageBreak/>
              <w:t>CVOL (Área de Energía)</w:t>
            </w:r>
          </w:p>
        </w:tc>
        <w:tc>
          <w:tcPr>
            <w:tcW w:w="0" w:type="auto"/>
            <w:vAlign w:val="center"/>
            <w:hideMark/>
          </w:tcPr>
          <w:p w:rsidR="00BC23A7" w:rsidRDefault="00BC23A7">
            <w:r>
              <w:rPr>
                <w:rStyle w:val="Textoennegrita"/>
              </w:rPr>
              <w:t>HERD 2 (NORO)</w:t>
            </w:r>
          </w:p>
        </w:tc>
        <w:tc>
          <w:tcPr>
            <w:tcW w:w="0" w:type="auto"/>
            <w:vAlign w:val="center"/>
            <w:hideMark/>
          </w:tcPr>
          <w:p w:rsidR="00BC23A7" w:rsidRDefault="00BC23A7">
            <w:r>
              <w:rPr>
                <w:rStyle w:val="Textoennegrita"/>
              </w:rPr>
              <w:t>Trabajo Mecánico / Energía Cinética</w:t>
            </w:r>
            <w:r>
              <w:t xml:space="preserve"> (</w:t>
            </w:r>
            <w:r>
              <w:rPr>
                <w:rStyle w:val="katex-mathml"/>
              </w:rPr>
              <w:t>W=∫F</w:t>
            </w:r>
            <w:r>
              <w:rPr>
                <w:rStyle w:val="katex-mathml"/>
                <w:rFonts w:ascii="Cambria Math" w:hAnsi="Cambria Math" w:cs="Cambria Math"/>
              </w:rPr>
              <w:t>⋅</w:t>
            </w:r>
            <w:r>
              <w:rPr>
                <w:rStyle w:val="katex-mathml"/>
              </w:rPr>
              <w:t>dxW = \int F \cdot dx</w:t>
            </w:r>
            <w:r>
              <w:rPr>
                <w:rStyle w:val="mord"/>
              </w:rPr>
              <w:t>W</w:t>
            </w:r>
            <w:r>
              <w:rPr>
                <w:rStyle w:val="mrel"/>
              </w:rPr>
              <w:t>=</w:t>
            </w:r>
            <w:r>
              <w:rPr>
                <w:rStyle w:val="mop"/>
              </w:rPr>
              <w:t>∫</w:t>
            </w:r>
            <w:r>
              <w:rPr>
                <w:rStyle w:val="mord"/>
              </w:rPr>
              <w:t>F</w:t>
            </w:r>
            <w:r>
              <w:rPr>
                <w:rStyle w:val="mbin"/>
                <w:rFonts w:ascii="Cambria Math" w:hAnsi="Cambria Math" w:cs="Cambria Math"/>
              </w:rPr>
              <w:t>⋅</w:t>
            </w:r>
            <w:r>
              <w:rPr>
                <w:rStyle w:val="mord"/>
              </w:rPr>
              <w:t>dx</w:t>
            </w:r>
            <w:r>
              <w:t>)</w:t>
            </w:r>
          </w:p>
        </w:tc>
        <w:tc>
          <w:tcPr>
            <w:tcW w:w="0" w:type="auto"/>
            <w:vAlign w:val="center"/>
            <w:hideMark/>
          </w:tcPr>
          <w:p w:rsidR="00BC23A7" w:rsidRDefault="00BC23A7">
            <w:r>
              <w:t xml:space="preserve">Nos dice </w:t>
            </w:r>
            <w:r>
              <w:rPr>
                <w:rStyle w:val="Textoennegrita"/>
              </w:rPr>
              <w:t>cuánta masa y energía monetaria acumulada</w:t>
            </w:r>
            <w:r>
              <w:t xml:space="preserve"> respalda el movimiento a través de los niveles de precio.</w:t>
            </w:r>
          </w:p>
        </w:tc>
      </w:tr>
    </w:tbl>
    <w:p w:rsidR="00BC23A7" w:rsidRDefault="00BC23A7" w:rsidP="00BC23A7">
      <w:pPr>
        <w:pStyle w:val="markdown-alert-title"/>
      </w:pPr>
      <w:r>
        <w:t>NOTE</w:t>
      </w:r>
    </w:p>
    <w:p w:rsidR="00BC23A7" w:rsidRDefault="00BC23A7" w:rsidP="00BC23A7">
      <w:pPr>
        <w:spacing w:before="100" w:beforeAutospacing="1" w:after="100" w:afterAutospacing="1"/>
      </w:pPr>
      <w:r>
        <w:rPr>
          <w:rStyle w:val="Textoennegrita"/>
        </w:rPr>
        <w:t>Sinergia Institucional:</w:t>
      </w:r>
      <w:r>
        <w:t xml:space="preserve"> Si el CVD de ATLAS muestra absorción alcista pero el Área de Energía de NORO es raquítica, el movimiento es una trampa de liquidez sin volumen. Si el CVD muestra absorción y el Área de Energía CVOL se expande, la confluencia es máxima para ejecutar.</w:t>
      </w:r>
    </w:p>
    <w:p w:rsidR="00BC23A7" w:rsidRDefault="00BC23A7" w:rsidP="00BC23A7">
      <w:pPr>
        <w:spacing w:after="0"/>
      </w:pPr>
      <w:r>
        <w:pict>
          <v:rect id="_x0000_i1029" style="width:441.9pt;height:.75pt" o:hralign="center" o:hrstd="t" o:hr="t" fillcolor="#a0a0a0" stroked="f"/>
        </w:pict>
      </w:r>
    </w:p>
    <w:p w:rsidR="00BC23A7" w:rsidRDefault="00BC23A7" w:rsidP="00BC23A7">
      <w:pPr>
        <w:pStyle w:val="Ttulo3"/>
      </w:pPr>
      <w:r>
        <w:t xml:space="preserve">PARTE 2: Validación Matemática de la Integral y Calibración de la Constante </w:t>
      </w:r>
      <w:r>
        <w:rPr>
          <w:rStyle w:val="katex-mathml"/>
        </w:rPr>
        <w:t>C(t)C(t)</w:t>
      </w:r>
      <w:r>
        <w:rPr>
          <w:rStyle w:val="mord"/>
        </w:rPr>
        <w:t>C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</w:p>
    <w:p w:rsidR="00BC23A7" w:rsidRDefault="00BC23A7" w:rsidP="00BC23A7">
      <w:pPr>
        <w:spacing w:before="100" w:beforeAutospacing="1" w:after="100" w:afterAutospacing="1"/>
      </w:pPr>
      <w:r>
        <w:t xml:space="preserve">Tu deducción sobre la constante </w:t>
      </w:r>
      <w:r>
        <w:rPr>
          <w:rStyle w:val="katex-mathml"/>
        </w:rPr>
        <w:t>C(t)C(t)</w:t>
      </w:r>
      <w:r>
        <w:rPr>
          <w:rStyle w:val="mord"/>
        </w:rPr>
        <w:t>C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t xml:space="preserve"> es brillante: en cálculo integral y física de sistemas dinámicos, la constante de integración </w:t>
      </w:r>
      <w:r>
        <w:rPr>
          <w:rStyle w:val="Textoennegrita"/>
        </w:rPr>
        <w:t>nunca es un número arbitrario</w:t>
      </w:r>
      <w:r>
        <w:t xml:space="preserve">, sino la </w:t>
      </w:r>
      <w:r>
        <w:rPr>
          <w:rStyle w:val="Textoennegrita"/>
        </w:rPr>
        <w:t>energía basal o inercia del sistema</w:t>
      </w:r>
      <w:r>
        <w:t>, la cual depende estrictamente del horizonte de tiempo observado (</w:t>
      </w:r>
      <w:r>
        <w:rPr>
          <w:rStyle w:val="katex-mathml"/>
        </w:rPr>
        <w:t>tt</w:t>
      </w:r>
      <w:r>
        <w:rPr>
          <w:rStyle w:val="mord"/>
        </w:rPr>
        <w:t>t</w:t>
      </w:r>
      <w:r>
        <w:t>).</w:t>
      </w:r>
    </w:p>
    <w:p w:rsidR="00BC23A7" w:rsidRDefault="00BC23A7" w:rsidP="00BC23A7">
      <w:pPr>
        <w:spacing w:after="0"/>
      </w:pPr>
      <w:r>
        <w:rPr>
          <w:rStyle w:val="katex-mathml"/>
        </w:rPr>
        <w:t>Aˊrea de Energıˊa (CVOL)=∫x1x2[FuerzaA(x)−FuerzaB(x)] dx+C(t)\text{Área de Energía (CVOL)} = \int_{x_1}^{x_2} [Fuerza_A(x) - Fuerza_B(x)] \, dx + C(t)</w:t>
      </w:r>
      <w:r>
        <w:rPr>
          <w:rStyle w:val="mord"/>
        </w:rPr>
        <w:t>Aˊrea de Energıˊa (CVOL)</w:t>
      </w:r>
      <w:r>
        <w:rPr>
          <w:rStyle w:val="mrel"/>
        </w:rPr>
        <w:t>=</w:t>
      </w:r>
      <w:r>
        <w:rPr>
          <w:rStyle w:val="mop"/>
        </w:rPr>
        <w:t>∫</w:t>
      </w:r>
      <w:r>
        <w:rPr>
          <w:rStyle w:val="mord"/>
        </w:rPr>
        <w:t>x1</w:t>
      </w:r>
      <w:r>
        <w:rPr>
          <w:rStyle w:val="vlist-s"/>
        </w:rPr>
        <w:t>​</w:t>
      </w:r>
      <w:r>
        <w:rPr>
          <w:rStyle w:val="mord"/>
        </w:rPr>
        <w:t>x2</w:t>
      </w:r>
      <w:r>
        <w:rPr>
          <w:rStyle w:val="vlist-s"/>
        </w:rPr>
        <w:t>​​</w:t>
      </w:r>
      <w:r>
        <w:rPr>
          <w:rStyle w:val="mopen"/>
        </w:rPr>
        <w:t>[</w:t>
      </w:r>
      <w:r>
        <w:rPr>
          <w:rStyle w:val="mord"/>
        </w:rPr>
        <w:t>FuerzaA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close"/>
        </w:rPr>
        <w:t>)</w:t>
      </w:r>
      <w:r>
        <w:rPr>
          <w:rStyle w:val="mbin"/>
        </w:rPr>
        <w:t>−</w:t>
      </w:r>
      <w:r>
        <w:rPr>
          <w:rStyle w:val="mord"/>
        </w:rPr>
        <w:t>FuerzaB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close"/>
        </w:rPr>
        <w:t>)]</w:t>
      </w:r>
      <w:r>
        <w:rPr>
          <w:rStyle w:val="mord"/>
        </w:rPr>
        <w:t>dx</w:t>
      </w:r>
      <w:r>
        <w:rPr>
          <w:rStyle w:val="mbin"/>
        </w:rPr>
        <w:t>+</w:t>
      </w:r>
      <w:r>
        <w:rPr>
          <w:rStyle w:val="mord"/>
        </w:rPr>
        <w:t>C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</w:p>
    <w:p w:rsidR="00BC23A7" w:rsidRDefault="00BC23A7" w:rsidP="00BC23A7">
      <w:pPr>
        <w:spacing w:before="100" w:beforeAutospacing="1" w:after="100" w:afterAutospacing="1"/>
      </w:pPr>
      <w:r>
        <w:t>Donde:</w:t>
      </w:r>
    </w:p>
    <w:p w:rsidR="00BC23A7" w:rsidRDefault="00BC23A7" w:rsidP="00BC23A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katex-mathml"/>
        </w:rPr>
        <w:t>x1,x2x_1, x_2</w:t>
      </w:r>
      <w:r>
        <w:rPr>
          <w:rStyle w:val="mord"/>
        </w:rPr>
        <w:t>x1</w:t>
      </w:r>
      <w:r>
        <w:rPr>
          <w:rStyle w:val="vlist-s"/>
        </w:rPr>
        <w:t>​</w:t>
      </w:r>
      <w:r>
        <w:rPr>
          <w:rStyle w:val="mpunct"/>
        </w:rPr>
        <w:t>,</w:t>
      </w:r>
      <w:r>
        <w:rPr>
          <w:rStyle w:val="mord"/>
        </w:rPr>
        <w:t>x2</w:t>
      </w:r>
      <w:r>
        <w:rPr>
          <w:rStyle w:val="vlist-s"/>
        </w:rPr>
        <w:t>​</w:t>
      </w:r>
      <w:r>
        <w:t>: Rangos de precio de interacción institucional en torno al Point of Control (POC).</w:t>
      </w:r>
    </w:p>
    <w:p w:rsidR="00BC23A7" w:rsidRDefault="00BC23A7" w:rsidP="00BC23A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katex-mathml"/>
        </w:rPr>
        <w:t>FuerzaA(x)−FuerzaB(x)Fuerza_A(x) - Fuerza_B(x)</w:t>
      </w:r>
      <w:r>
        <w:rPr>
          <w:rStyle w:val="mord"/>
        </w:rPr>
        <w:t>FuerzaA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close"/>
        </w:rPr>
        <w:t>)</w:t>
      </w:r>
      <w:r>
        <w:rPr>
          <w:rStyle w:val="mbin"/>
        </w:rPr>
        <w:t>−</w:t>
      </w:r>
      <w:r>
        <w:rPr>
          <w:rStyle w:val="mord"/>
        </w:rPr>
        <w:t>FuerzaB</w:t>
      </w:r>
      <w:r>
        <w:rPr>
          <w:rStyle w:val="vlist-s"/>
        </w:rPr>
        <w:t>​</w:t>
      </w:r>
      <w:r>
        <w:rPr>
          <w:rStyle w:val="mopen"/>
        </w:rPr>
        <w:t>(</w:t>
      </w:r>
      <w:r>
        <w:rPr>
          <w:rStyle w:val="mord"/>
        </w:rPr>
        <w:t>x</w:t>
      </w:r>
      <w:r>
        <w:rPr>
          <w:rStyle w:val="mclose"/>
        </w:rPr>
        <w:t>)</w:t>
      </w:r>
      <w:r>
        <w:t>: Diferencial de agresión y profundidad compradora vs vendedora.</w:t>
      </w:r>
    </w:p>
    <w:p w:rsidR="00BC23A7" w:rsidRDefault="00BC23A7" w:rsidP="00BC23A7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rPr>
          <w:rStyle w:val="katex-mathml"/>
        </w:rPr>
        <w:t>C(t)C(t)</w:t>
      </w:r>
      <w:r>
        <w:rPr>
          <w:rStyle w:val="mord"/>
        </w:rPr>
        <w:t>C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t xml:space="preserve">: </w:t>
      </w:r>
      <w:r>
        <w:rPr>
          <w:rStyle w:val="Textoennegrita"/>
        </w:rPr>
        <w:t>Función de Inercia Temporal Institucional</w:t>
      </w:r>
      <w:r>
        <w:t>.</w:t>
      </w:r>
    </w:p>
    <w:p w:rsidR="00BC23A7" w:rsidRDefault="00BC23A7" w:rsidP="00BC23A7">
      <w:pPr>
        <w:pStyle w:val="Ttulo4"/>
      </w:pPr>
      <w:r>
        <w:t>Blindaje Anti-Ruido (Prohibición de 1m, 5m y 15m)</w:t>
      </w:r>
    </w:p>
    <w:p w:rsidR="00BC23A7" w:rsidRDefault="00BC23A7" w:rsidP="00BC23A7">
      <w:pPr>
        <w:spacing w:before="100" w:beforeAutospacing="1" w:after="100" w:afterAutospacing="1"/>
      </w:pPr>
      <w:r>
        <w:t xml:space="preserve">Si el algoritmo calculara con temporalidades como 1m o 15m, caería en la trampa del </w:t>
      </w:r>
      <w:r>
        <w:rPr>
          <w:rStyle w:val="Textoennegrita"/>
        </w:rPr>
        <w:t>ruido micro-retail</w:t>
      </w:r>
      <w:r>
        <w:t xml:space="preserve">, distorsionando la energía del trade. Por ello, hemos anclado </w:t>
      </w:r>
      <w:r>
        <w:rPr>
          <w:rStyle w:val="katex-mathml"/>
        </w:rPr>
        <w:t>C(t)C(t)</w:t>
      </w:r>
      <w:r>
        <w:rPr>
          <w:rStyle w:val="mord"/>
        </w:rPr>
        <w:t>C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t xml:space="preserve"> de forma estricta e inquebrantable a las </w:t>
      </w:r>
      <w:r>
        <w:rPr>
          <w:rStyle w:val="Textoennegrita"/>
        </w:rPr>
        <w:t>5 temporalidades oficiales que opera Mia</w:t>
      </w:r>
      <w:r>
        <w:t>:</w:t>
      </w:r>
    </w:p>
    <w:p w:rsidR="00BC23A7" w:rsidRDefault="00BC23A7" w:rsidP="00BC23A7">
      <w:pPr>
        <w:spacing w:after="0"/>
      </w:pPr>
      <w:r>
        <w:rPr>
          <w:rStyle w:val="katex-mathml"/>
        </w:rPr>
        <w:t>C(t)=Factor de Escala×Inercia Institucional(TF)C(t) = \text{Factor de Escala} \times \text{Inercia Institucional}(TF)</w:t>
      </w:r>
      <w:r>
        <w:rPr>
          <w:rStyle w:val="mord"/>
        </w:rPr>
        <w:t>C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rPr>
          <w:rStyle w:val="mrel"/>
        </w:rPr>
        <w:t>=</w:t>
      </w:r>
      <w:r>
        <w:rPr>
          <w:rStyle w:val="mord"/>
        </w:rPr>
        <w:t>Factor de Escala</w:t>
      </w:r>
      <w:r>
        <w:rPr>
          <w:rStyle w:val="mbin"/>
        </w:rPr>
        <w:t>×</w:t>
      </w:r>
      <w:r>
        <w:rPr>
          <w:rStyle w:val="mord"/>
        </w:rPr>
        <w:t>Inercia Institucional</w:t>
      </w:r>
      <w:r>
        <w:rPr>
          <w:rStyle w:val="mopen"/>
        </w:rPr>
        <w:t>(</w:t>
      </w:r>
      <w:r>
        <w:rPr>
          <w:rStyle w:val="mord"/>
        </w:rPr>
        <w:t>TF</w:t>
      </w:r>
      <w:r>
        <w:rPr>
          <w:rStyle w:val="mclose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1688"/>
        <w:gridCol w:w="4069"/>
        <w:gridCol w:w="1206"/>
      </w:tblGrid>
      <w:tr w:rsidR="00BC23A7" w:rsidTr="00BC23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C23A7" w:rsidRDefault="00BC23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Temporalidad Oficial</w:t>
            </w:r>
          </w:p>
        </w:tc>
        <w:tc>
          <w:tcPr>
            <w:tcW w:w="0" w:type="auto"/>
            <w:vAlign w:val="center"/>
            <w:hideMark/>
          </w:tcPr>
          <w:p w:rsidR="00BC23A7" w:rsidRDefault="00BC23A7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Valor de </w:t>
            </w:r>
            <w:r>
              <w:rPr>
                <w:rStyle w:val="katex-mathml"/>
                <w:b/>
                <w:bCs/>
              </w:rPr>
              <w:t>C(t)C(t)</w:t>
            </w:r>
            <w:r>
              <w:rPr>
                <w:rStyle w:val="mord"/>
                <w:b/>
                <w:bCs/>
              </w:rPr>
              <w:t>C</w:t>
            </w:r>
            <w:r>
              <w:rPr>
                <w:rStyle w:val="mopen"/>
                <w:b/>
                <w:bCs/>
              </w:rPr>
              <w:t>(</w:t>
            </w:r>
            <w:r>
              <w:rPr>
                <w:rStyle w:val="mord"/>
                <w:b/>
                <w:bCs/>
              </w:rPr>
              <w:t>t</w:t>
            </w:r>
            <w:r>
              <w:rPr>
                <w:rStyle w:val="mclose"/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BC23A7" w:rsidRDefault="00BC23A7">
            <w:pPr>
              <w:rPr>
                <w:b/>
                <w:bCs/>
              </w:rPr>
            </w:pPr>
            <w:r>
              <w:rPr>
                <w:b/>
                <w:bCs/>
              </w:rPr>
              <w:t>Rol Arquitectónico en Mia</w:t>
            </w:r>
          </w:p>
        </w:tc>
        <w:tc>
          <w:tcPr>
            <w:tcW w:w="0" w:type="auto"/>
            <w:vAlign w:val="center"/>
            <w:hideMark/>
          </w:tcPr>
          <w:p w:rsidR="00BC23A7" w:rsidRDefault="00BC23A7">
            <w:pPr>
              <w:rPr>
                <w:b/>
                <w:bCs/>
              </w:rPr>
            </w:pPr>
            <w:r>
              <w:rPr>
                <w:b/>
                <w:bCs/>
              </w:rPr>
              <w:t>Filtro Anti-Ruido</w:t>
            </w:r>
          </w:p>
        </w:tc>
      </w:tr>
      <w:tr w:rsidR="00BC23A7" w:rsidTr="00BC23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23A7" w:rsidRDefault="00BC23A7">
            <w:pPr>
              <w:jc w:val="center"/>
            </w:pPr>
            <w:r>
              <w:rPr>
                <w:rStyle w:val="Textoennegrita"/>
              </w:rPr>
              <w:t>1H</w:t>
            </w:r>
          </w:p>
        </w:tc>
        <w:tc>
          <w:tcPr>
            <w:tcW w:w="0" w:type="auto"/>
            <w:vAlign w:val="center"/>
            <w:hideMark/>
          </w:tcPr>
          <w:p w:rsidR="00BC23A7" w:rsidRDefault="00BC23A7">
            <w:pPr>
              <w:jc w:val="center"/>
            </w:pPr>
            <w:r>
              <w:rPr>
                <w:rStyle w:val="katex-mathml"/>
                <w:b/>
                <w:bCs/>
              </w:rPr>
              <w:t>1.001.00</w:t>
            </w:r>
            <w:r>
              <w:rPr>
                <w:rStyle w:val="mord"/>
                <w:b/>
                <w:bCs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:rsidR="00BC23A7" w:rsidRDefault="00BC23A7">
            <w:r>
              <w:t>Intradía Rápido · Microestructura &amp; Sweeps de liquidez local.</w:t>
            </w:r>
          </w:p>
        </w:tc>
        <w:tc>
          <w:tcPr>
            <w:tcW w:w="0" w:type="auto"/>
            <w:vAlign w:val="center"/>
            <w:hideMark/>
          </w:tcPr>
          <w:p w:rsidR="00BC23A7" w:rsidRDefault="00BC23A7">
            <w:r>
              <w:t>Aprobada</w:t>
            </w:r>
          </w:p>
        </w:tc>
      </w:tr>
      <w:tr w:rsidR="00BC23A7" w:rsidTr="00BC23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23A7" w:rsidRDefault="00BC23A7">
            <w:pPr>
              <w:jc w:val="center"/>
            </w:pPr>
            <w:r>
              <w:rPr>
                <w:rStyle w:val="Textoennegrita"/>
              </w:rPr>
              <w:t>2H</w:t>
            </w:r>
          </w:p>
        </w:tc>
        <w:tc>
          <w:tcPr>
            <w:tcW w:w="0" w:type="auto"/>
            <w:vAlign w:val="center"/>
            <w:hideMark/>
          </w:tcPr>
          <w:p w:rsidR="00BC23A7" w:rsidRDefault="00BC23A7">
            <w:pPr>
              <w:jc w:val="center"/>
            </w:pPr>
            <w:r>
              <w:rPr>
                <w:rStyle w:val="katex-mathml"/>
                <w:b/>
                <w:bCs/>
              </w:rPr>
              <w:t>2.252.25</w:t>
            </w:r>
            <w:r>
              <w:rPr>
                <w:rStyle w:val="mord"/>
                <w:b/>
                <w:bCs/>
              </w:rPr>
              <w:t>2.25</w:t>
            </w:r>
          </w:p>
        </w:tc>
        <w:tc>
          <w:tcPr>
            <w:tcW w:w="0" w:type="auto"/>
            <w:vAlign w:val="center"/>
            <w:hideMark/>
          </w:tcPr>
          <w:p w:rsidR="00BC23A7" w:rsidRDefault="00BC23A7">
            <w:r>
              <w:t xml:space="preserve">Swing Intradía · </w:t>
            </w:r>
            <w:r>
              <w:rPr>
                <w:rStyle w:val="Textoennegrita"/>
              </w:rPr>
              <w:t>POC Dinámico y Order Blocks de 2H (Top 2 Regla de 3 · WR 80.38%)</w:t>
            </w:r>
            <w:r>
              <w:t>.</w:t>
            </w:r>
          </w:p>
        </w:tc>
        <w:tc>
          <w:tcPr>
            <w:tcW w:w="0" w:type="auto"/>
            <w:vAlign w:val="center"/>
            <w:hideMark/>
          </w:tcPr>
          <w:p w:rsidR="00BC23A7" w:rsidRDefault="00BC23A7">
            <w:r>
              <w:rPr>
                <w:rStyle w:val="Textoennegrita"/>
              </w:rPr>
              <w:t>Núcleo Canónico</w:t>
            </w:r>
          </w:p>
        </w:tc>
      </w:tr>
      <w:tr w:rsidR="00BC23A7" w:rsidTr="00BC23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23A7" w:rsidRDefault="00BC23A7">
            <w:pPr>
              <w:jc w:val="center"/>
            </w:pPr>
            <w:r>
              <w:rPr>
                <w:rStyle w:val="Textoennegrita"/>
              </w:rPr>
              <w:t>3H</w:t>
            </w:r>
          </w:p>
        </w:tc>
        <w:tc>
          <w:tcPr>
            <w:tcW w:w="0" w:type="auto"/>
            <w:vAlign w:val="center"/>
            <w:hideMark/>
          </w:tcPr>
          <w:p w:rsidR="00BC23A7" w:rsidRDefault="00BC23A7">
            <w:pPr>
              <w:jc w:val="center"/>
            </w:pPr>
            <w:r>
              <w:rPr>
                <w:rStyle w:val="katex-mathml"/>
                <w:b/>
                <w:bCs/>
              </w:rPr>
              <w:t>3.903.90</w:t>
            </w:r>
            <w:r>
              <w:rPr>
                <w:rStyle w:val="mord"/>
                <w:b/>
                <w:bCs/>
              </w:rPr>
              <w:t>3.90</w:t>
            </w:r>
          </w:p>
        </w:tc>
        <w:tc>
          <w:tcPr>
            <w:tcW w:w="0" w:type="auto"/>
            <w:vAlign w:val="center"/>
            <w:hideMark/>
          </w:tcPr>
          <w:p w:rsidR="00BC23A7" w:rsidRDefault="00BC23A7">
            <w:r>
              <w:t>Sesión Londres &amp; Overlap · Manipulación y Flujo AMD Institucional.</w:t>
            </w:r>
          </w:p>
        </w:tc>
        <w:tc>
          <w:tcPr>
            <w:tcW w:w="0" w:type="auto"/>
            <w:vAlign w:val="center"/>
            <w:hideMark/>
          </w:tcPr>
          <w:p w:rsidR="00BC23A7" w:rsidRDefault="00BC23A7">
            <w:r>
              <w:t>Aprobada</w:t>
            </w:r>
          </w:p>
        </w:tc>
      </w:tr>
      <w:tr w:rsidR="00BC23A7" w:rsidTr="00BC23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23A7" w:rsidRDefault="00BC23A7">
            <w:pPr>
              <w:jc w:val="center"/>
            </w:pPr>
            <w:r>
              <w:rPr>
                <w:rStyle w:val="Textoennegrita"/>
              </w:rPr>
              <w:t>4H</w:t>
            </w:r>
          </w:p>
        </w:tc>
        <w:tc>
          <w:tcPr>
            <w:tcW w:w="0" w:type="auto"/>
            <w:vAlign w:val="center"/>
            <w:hideMark/>
          </w:tcPr>
          <w:p w:rsidR="00BC23A7" w:rsidRDefault="00BC23A7">
            <w:pPr>
              <w:jc w:val="center"/>
            </w:pPr>
            <w:r>
              <w:rPr>
                <w:rStyle w:val="katex-mathml"/>
                <w:b/>
                <w:bCs/>
              </w:rPr>
              <w:t>7.037.03</w:t>
            </w:r>
            <w:r>
              <w:rPr>
                <w:rStyle w:val="mord"/>
                <w:b/>
                <w:bCs/>
              </w:rPr>
              <w:t>7.03</w:t>
            </w:r>
          </w:p>
        </w:tc>
        <w:tc>
          <w:tcPr>
            <w:tcW w:w="0" w:type="auto"/>
            <w:vAlign w:val="center"/>
            <w:hideMark/>
          </w:tcPr>
          <w:p w:rsidR="00BC23A7" w:rsidRDefault="00BC23A7">
            <w:r>
              <w:t>Macro Intradía · Absorción Mayor y Ballenas de Futuros CME.</w:t>
            </w:r>
          </w:p>
        </w:tc>
        <w:tc>
          <w:tcPr>
            <w:tcW w:w="0" w:type="auto"/>
            <w:vAlign w:val="center"/>
            <w:hideMark/>
          </w:tcPr>
          <w:p w:rsidR="00BC23A7" w:rsidRDefault="00BC23A7">
            <w:r>
              <w:t>Aprobada</w:t>
            </w:r>
          </w:p>
        </w:tc>
      </w:tr>
      <w:tr w:rsidR="00BC23A7" w:rsidTr="00BC23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23A7" w:rsidRDefault="00BC23A7">
            <w:pPr>
              <w:jc w:val="center"/>
            </w:pPr>
            <w:r>
              <w:rPr>
                <w:rStyle w:val="Textoennegrita"/>
              </w:rPr>
              <w:t>8H</w:t>
            </w:r>
          </w:p>
        </w:tc>
        <w:tc>
          <w:tcPr>
            <w:tcW w:w="0" w:type="auto"/>
            <w:vAlign w:val="center"/>
            <w:hideMark/>
          </w:tcPr>
          <w:p w:rsidR="00BC23A7" w:rsidRDefault="00BC23A7">
            <w:pPr>
              <w:jc w:val="center"/>
            </w:pPr>
            <w:r>
              <w:rPr>
                <w:rStyle w:val="katex-mathml"/>
                <w:b/>
                <w:bCs/>
              </w:rPr>
              <w:t>15.6015.60</w:t>
            </w:r>
            <w:r>
              <w:rPr>
                <w:rStyle w:val="mord"/>
                <w:b/>
                <w:bCs/>
              </w:rPr>
              <w:t>15.60</w:t>
            </w:r>
          </w:p>
        </w:tc>
        <w:tc>
          <w:tcPr>
            <w:tcW w:w="0" w:type="auto"/>
            <w:vAlign w:val="center"/>
            <w:hideMark/>
          </w:tcPr>
          <w:p w:rsidR="00BC23A7" w:rsidRDefault="00BC23A7">
            <w:r>
              <w:t>Sesión Completa · Campana Interbancaria Consenso Fondos Soberanos.</w:t>
            </w:r>
          </w:p>
        </w:tc>
        <w:tc>
          <w:tcPr>
            <w:tcW w:w="0" w:type="auto"/>
            <w:vAlign w:val="center"/>
            <w:hideMark/>
          </w:tcPr>
          <w:p w:rsidR="00BC23A7" w:rsidRDefault="00BC23A7">
            <w:r>
              <w:t>Aprobada</w:t>
            </w:r>
          </w:p>
        </w:tc>
      </w:tr>
      <w:tr w:rsidR="00BC23A7" w:rsidTr="00BC23A7">
        <w:trPr>
          <w:tblCellSpacing w:w="15" w:type="dxa"/>
        </w:trPr>
        <w:tc>
          <w:tcPr>
            <w:tcW w:w="0" w:type="auto"/>
            <w:vAlign w:val="center"/>
            <w:hideMark/>
          </w:tcPr>
          <w:p w:rsidR="00BC23A7" w:rsidRDefault="00BC23A7">
            <w:pPr>
              <w:jc w:val="center"/>
            </w:pPr>
            <w:r>
              <w:rPr>
                <w:rStyle w:val="nfasis"/>
              </w:rPr>
              <w:t>Cualquier otra (1m, 5m, 15m)</w:t>
            </w:r>
          </w:p>
        </w:tc>
        <w:tc>
          <w:tcPr>
            <w:tcW w:w="0" w:type="auto"/>
            <w:vAlign w:val="center"/>
            <w:hideMark/>
          </w:tcPr>
          <w:p w:rsidR="00BC23A7" w:rsidRDefault="00BC23A7">
            <w:pPr>
              <w:jc w:val="center"/>
            </w:pPr>
            <w:r>
              <w:rPr>
                <w:rStyle w:val="nfasis"/>
              </w:rPr>
              <w:t>Bloqueada</w:t>
            </w:r>
          </w:p>
        </w:tc>
        <w:tc>
          <w:tcPr>
            <w:tcW w:w="0" w:type="auto"/>
            <w:vAlign w:val="center"/>
            <w:hideMark/>
          </w:tcPr>
          <w:p w:rsidR="00BC23A7" w:rsidRDefault="00BC23A7">
            <w:r>
              <w:rPr>
                <w:rStyle w:val="nfasis"/>
              </w:rPr>
              <w:t>Considerada ruido ciego. El sistema la rechaza automáticamente y la re-homologa a 2H.</w:t>
            </w:r>
          </w:p>
        </w:tc>
        <w:tc>
          <w:tcPr>
            <w:tcW w:w="0" w:type="auto"/>
            <w:vAlign w:val="center"/>
            <w:hideMark/>
          </w:tcPr>
          <w:p w:rsidR="00BC23A7" w:rsidRDefault="00BC23A7">
            <w:r>
              <w:rPr>
                <w:rStyle w:val="Textoennegrita"/>
              </w:rPr>
              <w:t>VETO TOTAL</w:t>
            </w:r>
            <w:r>
              <w:t xml:space="preserve"> </w:t>
            </w:r>
            <w:r>
              <w:rPr>
                <w:rFonts w:ascii="Segoe UI Symbol" w:hAnsi="Segoe UI Symbol" w:cs="Segoe UI Symbol"/>
              </w:rPr>
              <w:t>⛔</w:t>
            </w:r>
          </w:p>
        </w:tc>
      </w:tr>
    </w:tbl>
    <w:p w:rsidR="00BC23A7" w:rsidRDefault="00BC23A7" w:rsidP="00BC23A7">
      <w:pPr>
        <w:pStyle w:val="HTMLconformatoprevio"/>
      </w:pPr>
      <w:r>
        <w:t>python</w:t>
      </w:r>
    </w:p>
    <w:p w:rsidR="00BC23A7" w:rsidRDefault="00BC23A7" w:rsidP="00BC23A7">
      <w:pPr>
        <w:pStyle w:val="HTMLconformatoprevio"/>
      </w:pPr>
      <w:r>
        <w:rPr>
          <w:rStyle w:val="token"/>
        </w:rPr>
        <w:t># Ejemplo de validación en math_agent_skills.py</w:t>
      </w:r>
    </w:p>
    <w:p w:rsidR="00BC23A7" w:rsidRDefault="00BC23A7" w:rsidP="00BC23A7">
      <w:pPr>
        <w:pStyle w:val="HTMLconformatoprevio"/>
      </w:pPr>
      <w:r>
        <w:rPr>
          <w:rStyle w:val="token"/>
        </w:rPr>
        <w:t>if</w:t>
      </w:r>
      <w:r>
        <w:t xml:space="preserve"> tf_input </w:t>
      </w:r>
      <w:r>
        <w:rPr>
          <w:rStyle w:val="token"/>
        </w:rPr>
        <w:t>not</w:t>
      </w:r>
      <w:r>
        <w:t xml:space="preserve"> </w:t>
      </w:r>
      <w:r>
        <w:rPr>
          <w:rStyle w:val="token"/>
        </w:rPr>
        <w:t>in</w:t>
      </w:r>
      <w:r>
        <w:t xml:space="preserve"> </w:t>
      </w:r>
      <w:r>
        <w:rPr>
          <w:rStyle w:val="token"/>
        </w:rPr>
        <w:t>["1H",</w:t>
      </w:r>
      <w:r>
        <w:t xml:space="preserve"> </w:t>
      </w:r>
      <w:r>
        <w:rPr>
          <w:rStyle w:val="token"/>
        </w:rPr>
        <w:t>"2H",</w:t>
      </w:r>
      <w:r>
        <w:t xml:space="preserve"> </w:t>
      </w:r>
      <w:r>
        <w:rPr>
          <w:rStyle w:val="token"/>
        </w:rPr>
        <w:t>"3H",</w:t>
      </w:r>
      <w:r>
        <w:t xml:space="preserve"> </w:t>
      </w:r>
      <w:r>
        <w:rPr>
          <w:rStyle w:val="token"/>
        </w:rPr>
        <w:t>"4H",</w:t>
      </w:r>
      <w:r>
        <w:t xml:space="preserve"> </w:t>
      </w:r>
      <w:r>
        <w:rPr>
          <w:rStyle w:val="token"/>
        </w:rPr>
        <w:t>"8H"]:</w:t>
      </w:r>
    </w:p>
    <w:p w:rsidR="00BC23A7" w:rsidRDefault="00BC23A7" w:rsidP="00BC23A7">
      <w:pPr>
        <w:pStyle w:val="HTMLconformatoprevio"/>
      </w:pPr>
      <w:r>
        <w:t xml:space="preserve">    </w:t>
      </w:r>
      <w:r>
        <w:rPr>
          <w:rStyle w:val="token"/>
        </w:rPr>
        <w:t># Veto inmediato a temporalidades ciegas</w:t>
      </w:r>
    </w:p>
    <w:p w:rsidR="00BC23A7" w:rsidRDefault="00BC23A7" w:rsidP="00BC23A7">
      <w:pPr>
        <w:pStyle w:val="HTMLconformatoprevio"/>
      </w:pPr>
      <w:r>
        <w:t xml:space="preserve">    filtro_bloqueo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f"Temporalidad '{tf_input}' rechazada (ruido ciego 1m/15m). Homologada forzosamente a 2H (Top 2 Regla de 3)."</w:t>
      </w:r>
    </w:p>
    <w:p w:rsidR="00BC23A7" w:rsidRDefault="00BC23A7" w:rsidP="00BC23A7">
      <w:pPr>
        <w:pStyle w:val="HTMLconformatoprevio"/>
      </w:pPr>
      <w:r>
        <w:t xml:space="preserve">    tf </w:t>
      </w:r>
      <w:r>
        <w:rPr>
          <w:rStyle w:val="token"/>
        </w:rPr>
        <w:t>=</w:t>
      </w:r>
      <w:r>
        <w:t xml:space="preserve"> </w:t>
      </w:r>
      <w:r>
        <w:rPr>
          <w:rStyle w:val="token"/>
        </w:rPr>
        <w:t>"2H"</w:t>
      </w:r>
    </w:p>
    <w:p w:rsidR="00BC23A7" w:rsidRDefault="00BC23A7" w:rsidP="00BC23A7">
      <w:r>
        <w:pict>
          <v:rect id="_x0000_i1030" style="width:441.9pt;height:.75pt" o:hralign="center" o:hrstd="t" o:hr="t" fillcolor="#a0a0a0" stroked="f"/>
        </w:pict>
      </w:r>
    </w:p>
    <w:p w:rsidR="00BC23A7" w:rsidRDefault="00BC23A7" w:rsidP="00BC23A7">
      <w:pPr>
        <w:pStyle w:val="Ttulo3"/>
      </w:pPr>
      <w:r>
        <w:t>PARTE 3: Estado del Despliegue y Bóveda de Obsidian</w:t>
      </w:r>
    </w:p>
    <w:p w:rsidR="00BC23A7" w:rsidRDefault="00BC23A7" w:rsidP="00BC23A7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rPr>
          <w:rStyle w:val="Textoennegrita"/>
        </w:rPr>
        <w:t>Código Actualizado y Compilado:</w:t>
      </w:r>
      <w:r>
        <w:t xml:space="preserve"> </w:t>
      </w:r>
    </w:p>
    <w:p w:rsidR="00BC23A7" w:rsidRDefault="00BC23A7" w:rsidP="00BC23A7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rPr>
          <w:rStyle w:val="context-scope-mention"/>
        </w:rPr>
        <w:t>math_agent_skills.py</w:t>
      </w:r>
      <w:r>
        <w:t xml:space="preserve">: Integra </w:t>
      </w:r>
      <w:r>
        <w:rPr>
          <w:rStyle w:val="CdigoHTML"/>
          <w:rFonts w:eastAsiaTheme="minorHAnsi"/>
        </w:rPr>
        <w:t>calc_area_energia_cvol()</w:t>
      </w:r>
      <w:r>
        <w:t xml:space="preserve"> con </w:t>
      </w:r>
      <w:r>
        <w:rPr>
          <w:rStyle w:val="katex-mathml"/>
        </w:rPr>
        <w:t>C(t)C(t)</w:t>
      </w:r>
      <w:r>
        <w:rPr>
          <w:rStyle w:val="mord"/>
        </w:rPr>
        <w:t>C</w:t>
      </w:r>
      <w:r>
        <w:rPr>
          <w:rStyle w:val="mopen"/>
        </w:rPr>
        <w:t>(</w:t>
      </w:r>
      <w:r>
        <w:rPr>
          <w:rStyle w:val="mord"/>
        </w:rPr>
        <w:t>t</w:t>
      </w:r>
      <w:r>
        <w:rPr>
          <w:rStyle w:val="mclose"/>
        </w:rPr>
        <w:t>)</w:t>
      </w:r>
      <w:r>
        <w:t xml:space="preserve"> multi-timeframe y filtro anti-ruido.</w:t>
      </w:r>
    </w:p>
    <w:p w:rsidR="00BC23A7" w:rsidRDefault="00BC23A7" w:rsidP="00BC23A7">
      <w:pPr>
        <w:numPr>
          <w:ilvl w:val="1"/>
          <w:numId w:val="9"/>
        </w:numPr>
        <w:spacing w:before="100" w:beforeAutospacing="1" w:after="100" w:afterAutospacing="1" w:line="240" w:lineRule="auto"/>
      </w:pPr>
      <w:r>
        <w:rPr>
          <w:rStyle w:val="context-scope-mention"/>
        </w:rPr>
        <w:t>mia_master_swarm_rest.py</w:t>
      </w:r>
      <w:r>
        <w:t>: Alimenta a NORO con el Área de Energía de los 6 activos y articula la sinergia con el CVD de ATLAS.</w:t>
      </w:r>
    </w:p>
    <w:p w:rsidR="00A12108" w:rsidRDefault="00A12108" w:rsidP="00A12108">
      <w:pPr>
        <w:spacing w:before="100" w:beforeAutospacing="1" w:after="100" w:afterAutospacing="1"/>
      </w:pPr>
      <w:bookmarkStart w:id="0" w:name="_GoBack"/>
      <w:bookmarkEnd w:id="0"/>
    </w:p>
    <w:p w:rsidR="00A12108" w:rsidRDefault="00A12108"/>
    <w:sectPr w:rsidR="00A1210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A44798"/>
    <w:multiLevelType w:val="multilevel"/>
    <w:tmpl w:val="9B4E9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ED44A8"/>
    <w:multiLevelType w:val="multilevel"/>
    <w:tmpl w:val="38EE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7F13C9"/>
    <w:multiLevelType w:val="multilevel"/>
    <w:tmpl w:val="556A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3E2FCD"/>
    <w:multiLevelType w:val="multilevel"/>
    <w:tmpl w:val="2A161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DF4DA8"/>
    <w:multiLevelType w:val="multilevel"/>
    <w:tmpl w:val="DC44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057E6E"/>
    <w:multiLevelType w:val="multilevel"/>
    <w:tmpl w:val="3202D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80545F"/>
    <w:multiLevelType w:val="multilevel"/>
    <w:tmpl w:val="1C684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4C2E66"/>
    <w:multiLevelType w:val="multilevel"/>
    <w:tmpl w:val="5C64C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5F2906"/>
    <w:multiLevelType w:val="multilevel"/>
    <w:tmpl w:val="0EF2D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3"/>
  </w:num>
  <w:num w:numId="4">
    <w:abstractNumId w:val="1"/>
  </w:num>
  <w:num w:numId="5">
    <w:abstractNumId w:val="2"/>
  </w:num>
  <w:num w:numId="6">
    <w:abstractNumId w:val="7"/>
  </w:num>
  <w:num w:numId="7">
    <w:abstractNumId w:val="5"/>
  </w:num>
  <w:num w:numId="8">
    <w:abstractNumId w:val="4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2108"/>
    <w:rsid w:val="00731262"/>
    <w:rsid w:val="00A12108"/>
    <w:rsid w:val="00BC2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73722"/>
  <w15:chartTrackingRefBased/>
  <w15:docId w15:val="{3684CAB9-E071-4EEE-BE55-E71FBCD076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A121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paragraph" w:styleId="Ttulo2">
    <w:name w:val="heading 2"/>
    <w:basedOn w:val="Normal"/>
    <w:link w:val="Ttulo2Car"/>
    <w:uiPriority w:val="9"/>
    <w:qFormat/>
    <w:rsid w:val="00A121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210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C23A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2108"/>
    <w:rPr>
      <w:rFonts w:ascii="Times New Roman" w:eastAsia="Times New Roman" w:hAnsi="Times New Roman" w:cs="Times New Roman"/>
      <w:b/>
      <w:bCs/>
      <w:kern w:val="36"/>
      <w:sz w:val="48"/>
      <w:szCs w:val="48"/>
      <w:lang w:eastAsia="es-MX"/>
    </w:rPr>
  </w:style>
  <w:style w:type="character" w:customStyle="1" w:styleId="Ttulo2Car">
    <w:name w:val="Título 2 Car"/>
    <w:basedOn w:val="Fuentedeprrafopredeter"/>
    <w:link w:val="Ttulo2"/>
    <w:uiPriority w:val="9"/>
    <w:rsid w:val="00A12108"/>
    <w:rPr>
      <w:rFonts w:ascii="Times New Roman" w:eastAsia="Times New Roman" w:hAnsi="Times New Roman" w:cs="Times New Roman"/>
      <w:b/>
      <w:bCs/>
      <w:sz w:val="36"/>
      <w:szCs w:val="36"/>
      <w:lang w:eastAsia="es-MX"/>
    </w:rPr>
  </w:style>
  <w:style w:type="character" w:styleId="Textoennegrita">
    <w:name w:val="Strong"/>
    <w:basedOn w:val="Fuentedeprrafopredeter"/>
    <w:uiPriority w:val="22"/>
    <w:qFormat/>
    <w:rsid w:val="00A12108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12108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210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121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12108"/>
    <w:rPr>
      <w:rFonts w:ascii="Courier New" w:eastAsia="Times New Roman" w:hAnsi="Courier New" w:cs="Courier New"/>
      <w:sz w:val="20"/>
      <w:szCs w:val="20"/>
      <w:lang w:eastAsia="es-MX"/>
    </w:rPr>
  </w:style>
  <w:style w:type="character" w:styleId="nfasis">
    <w:name w:val="Emphasis"/>
    <w:basedOn w:val="Fuentedeprrafopredeter"/>
    <w:uiPriority w:val="20"/>
    <w:qFormat/>
    <w:rsid w:val="00A12108"/>
    <w:rPr>
      <w:i/>
      <w:iCs/>
    </w:rPr>
  </w:style>
  <w:style w:type="character" w:customStyle="1" w:styleId="katex-mathml">
    <w:name w:val="katex-mathml"/>
    <w:basedOn w:val="Fuentedeprrafopredeter"/>
    <w:rsid w:val="00A12108"/>
  </w:style>
  <w:style w:type="character" w:customStyle="1" w:styleId="mord">
    <w:name w:val="mord"/>
    <w:basedOn w:val="Fuentedeprrafopredeter"/>
    <w:rsid w:val="00A12108"/>
  </w:style>
  <w:style w:type="character" w:customStyle="1" w:styleId="vlist-s">
    <w:name w:val="vlist-s"/>
    <w:basedOn w:val="Fuentedeprrafopredeter"/>
    <w:rsid w:val="00A12108"/>
  </w:style>
  <w:style w:type="character" w:customStyle="1" w:styleId="mrel">
    <w:name w:val="mrel"/>
    <w:basedOn w:val="Fuentedeprrafopredeter"/>
    <w:rsid w:val="00A12108"/>
  </w:style>
  <w:style w:type="character" w:customStyle="1" w:styleId="mopen">
    <w:name w:val="mopen"/>
    <w:basedOn w:val="Fuentedeprrafopredeter"/>
    <w:rsid w:val="00A12108"/>
  </w:style>
  <w:style w:type="character" w:customStyle="1" w:styleId="mclose">
    <w:name w:val="mclose"/>
    <w:basedOn w:val="Fuentedeprrafopredeter"/>
    <w:rsid w:val="00A12108"/>
  </w:style>
  <w:style w:type="character" w:customStyle="1" w:styleId="mbin">
    <w:name w:val="mbin"/>
    <w:basedOn w:val="Fuentedeprrafopredeter"/>
    <w:rsid w:val="00A12108"/>
  </w:style>
  <w:style w:type="character" w:customStyle="1" w:styleId="token">
    <w:name w:val="token"/>
    <w:basedOn w:val="Fuentedeprrafopredeter"/>
    <w:rsid w:val="00A12108"/>
  </w:style>
  <w:style w:type="character" w:customStyle="1" w:styleId="Ttulo4Car">
    <w:name w:val="Título 4 Car"/>
    <w:basedOn w:val="Fuentedeprrafopredeter"/>
    <w:link w:val="Ttulo4"/>
    <w:uiPriority w:val="9"/>
    <w:semiHidden/>
    <w:rsid w:val="00BC23A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context-scope-mention">
    <w:name w:val="context-scope-mention"/>
    <w:basedOn w:val="Fuentedeprrafopredeter"/>
    <w:rsid w:val="00BC23A7"/>
  </w:style>
  <w:style w:type="character" w:customStyle="1" w:styleId="mop">
    <w:name w:val="mop"/>
    <w:basedOn w:val="Fuentedeprrafopredeter"/>
    <w:rsid w:val="00BC23A7"/>
  </w:style>
  <w:style w:type="paragraph" w:customStyle="1" w:styleId="markdown-alert-title">
    <w:name w:val="markdown-alert-title"/>
    <w:basedOn w:val="Normal"/>
    <w:rsid w:val="00BC23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customStyle="1" w:styleId="mpunct">
    <w:name w:val="mpunct"/>
    <w:basedOn w:val="Fuentedeprrafopredeter"/>
    <w:rsid w:val="00BC23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524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0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6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39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8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17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289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17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9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25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6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99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533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893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7005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1694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3470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5358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553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2140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4314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3106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667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887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8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8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14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01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219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90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7005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5964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5331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015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2877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9616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7018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670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6553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23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653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5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5256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8934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345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378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63863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904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9253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385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6341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338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4731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8743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2460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803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8536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886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130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060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9234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148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6074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604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594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6032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1981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99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04743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494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2086</Words>
  <Characters>11477</Characters>
  <Application>Microsoft Office Word</Application>
  <DocSecurity>0</DocSecurity>
  <Lines>95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garcia</dc:creator>
  <cp:keywords/>
  <dc:description/>
  <cp:lastModifiedBy>ivan garcia</cp:lastModifiedBy>
  <cp:revision>3</cp:revision>
  <dcterms:created xsi:type="dcterms:W3CDTF">2026-10-23T08:28:00Z</dcterms:created>
  <dcterms:modified xsi:type="dcterms:W3CDTF">2026-10-23T08:38:00Z</dcterms:modified>
</cp:coreProperties>
</file>