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40"/>
        <w:jc w:val="center"/>
      </w:pPr>
      <w:r>
        <w:rPr>
          <w:rFonts w:ascii="Times New Roman" w:cs="Times New Roman" w:eastAsia="Times New Roman" w:hAnsi="Times New Roman"/>
          <w:b/>
          <w:bCs/>
          <w:color w:val="000000"/>
          <w:sz w:val="32"/>
          <w:szCs w:val="32"/>
        </w:rPr>
        <w:t xml:space="preserve">Spatially Variable Gene Detection via Multi-Modal Graph Benchmarking</w:t>
      </w:r>
    </w:p>
    <w:p>
      <w:pPr>
        <w:spacing w:after="220"/>
        <w:jc w:val="center"/>
      </w:pPr>
      <w:r>
        <w:rPr>
          <w:rFonts w:ascii="Times New Roman" w:cs="Times New Roman" w:eastAsia="Times New Roman" w:hAnsi="Times New Roman"/>
          <w:i/>
          <w:iCs/>
          <w:color w:val="000000"/>
          <w:sz w:val="22"/>
          <w:szCs w:val="22"/>
        </w:rPr>
        <w:t xml:space="preserve">A Computational Pipeline for Spatial Transcriptomics Analysis</w:t>
      </w:r>
    </w:p>
    <w:p>
      <w:pPr>
        <w:pBdr>
          <w:bottom w:val="single" w:color="000000" w:sz="2" w:space="1"/>
        </w:pBdr>
        <w:spacing w:after="220"/>
        <w:jc w:val="center"/>
      </w:pPr>
    </w:p>
    <w:p>
      <w:pPr>
        <w:pBdr>
          <w:bottom w:val="single" w:color="000000" w:sz="2" w:space="1"/>
        </w:pBdr>
        <w:spacing w:after="140" w:before="300"/>
      </w:pPr>
      <w:r>
        <w:rPr>
          <w:rFonts w:ascii="Times New Roman" w:cs="Times New Roman" w:eastAsia="Times New Roman" w:hAnsi="Times New Roman"/>
          <w:b/>
          <w:bCs/>
          <w:color w:val="000000"/>
          <w:sz w:val="22"/>
          <w:szCs w:val="22"/>
        </w:rPr>
        <w:t xml:space="preserve">ABSTRACT</w:t>
      </w:r>
    </w:p>
    <w:p>
      <w:pPr>
        <w:spacing w:after="120" w:line="280" w:lineRule="auto"/>
      </w:pPr>
      <w:r>
        <w:rPr>
          <w:rFonts w:ascii="Times New Roman" w:cs="Times New Roman" w:eastAsia="Times New Roman" w:hAnsi="Times New Roman"/>
          <w:b/>
          <w:bCs/>
          <w:color w:val="000000"/>
          <w:sz w:val="22"/>
          <w:szCs w:val="22"/>
        </w:rPr>
        <w:t xml:space="preserve">Background. </w:t>
      </w:r>
      <w:r>
        <w:rPr>
          <w:rFonts w:ascii="Times New Roman" w:cs="Times New Roman" w:eastAsia="Times New Roman" w:hAnsi="Times New Roman"/>
          <w:color w:val="000000"/>
          <w:sz w:val="22"/>
          <w:szCs w:val="22"/>
        </w:rPr>
        <w:t xml:space="preserve">Spatial transcriptomics enables genome-wide gene expression profiling while retaining the spatial organization of cells within intact tissue. A fundamental challenge is the identification of spatially variable genes (SVGs) — genes whose expression is non-randomly distributed in tissue space, reflecting biological structure such as cell-type boundaries and morphological domains.</w:t>
      </w:r>
    </w:p>
    <w:p>
      <w:pPr>
        <w:spacing w:after="120" w:line="280" w:lineRule="auto"/>
      </w:pPr>
      <w:r>
        <w:rPr>
          <w:rFonts w:ascii="Times New Roman" w:cs="Times New Roman" w:eastAsia="Times New Roman" w:hAnsi="Times New Roman"/>
          <w:b/>
          <w:bCs/>
          <w:color w:val="000000"/>
          <w:sz w:val="22"/>
          <w:szCs w:val="22"/>
        </w:rPr>
        <w:t xml:space="preserve">Methods. </w:t>
      </w:r>
      <w:r>
        <w:rPr>
          <w:rFonts w:ascii="Times New Roman" w:cs="Times New Roman" w:eastAsia="Times New Roman" w:hAnsi="Times New Roman"/>
          <w:color w:val="000000"/>
          <w:sz w:val="22"/>
          <w:szCs w:val="22"/>
        </w:rPr>
        <w:t xml:space="preserve">We present a scalable, modular pipeline that treats spatial graph topology as an explicit experimental variable. For each tissue sample, approximately 50 graphs are constructed across four feature spaces and six graph families. SVG detection algorithms spanning spatial statistics, graph signal processing, graph neural networks, and probabilistic segmentation are evaluated on shared graph sets. All methods receive identical graph inputs per sample, eliminating neighborhood-definition confounds.</w:t>
      </w:r>
    </w:p>
    <w:p>
      <w:pPr>
        <w:spacing w:after="120" w:line="280" w:lineRule="auto"/>
      </w:pPr>
      <w:r>
        <w:rPr>
          <w:rFonts w:ascii="Times New Roman" w:cs="Times New Roman" w:eastAsia="Times New Roman" w:hAnsi="Times New Roman"/>
          <w:b/>
          <w:bCs/>
          <w:color w:val="000000"/>
          <w:sz w:val="22"/>
          <w:szCs w:val="22"/>
        </w:rPr>
        <w:t xml:space="preserve">Results. </w:t>
      </w:r>
      <w:r>
        <w:rPr>
          <w:rFonts w:ascii="Times New Roman" w:cs="Times New Roman" w:eastAsia="Times New Roman" w:hAnsi="Times New Roman"/>
          <w:color w:val="000000"/>
          <w:sz w:val="22"/>
          <w:szCs w:val="22"/>
        </w:rPr>
        <w:t xml:space="preserve">Applied to the first 20 samples of the STimage-1K4M human spatial transcriptomics dataset, the Moran's I evaluation is actively running with 179 of approximately 1,000 graph-level outputs completed. The decoupled architecture enables clean cross-method and cross-graph comparison.</w:t>
      </w:r>
    </w:p>
    <w:p>
      <w:pPr>
        <w:spacing w:after="120" w:line="280" w:lineRule="auto"/>
      </w:pPr>
      <w:r>
        <w:rPr>
          <w:rFonts w:ascii="Times New Roman" w:cs="Times New Roman" w:eastAsia="Times New Roman" w:hAnsi="Times New Roman"/>
          <w:b/>
          <w:bCs/>
          <w:color w:val="000000"/>
          <w:sz w:val="22"/>
          <w:szCs w:val="22"/>
        </w:rPr>
        <w:t xml:space="preserve">Conclusions. </w:t>
      </w:r>
      <w:r>
        <w:rPr>
          <w:rFonts w:ascii="Times New Roman" w:cs="Times New Roman" w:eastAsia="Times New Roman" w:hAnsi="Times New Roman"/>
          <w:color w:val="000000"/>
          <w:sz w:val="22"/>
          <w:szCs w:val="22"/>
        </w:rPr>
        <w:t xml:space="preserve">This framework enables the first systematic ablation study over graph topology in SVG detection, with planned analyses covering cross-method agreement, morphological feature contribution, and computational scalability.</w:t>
      </w:r>
    </w:p>
    <w:p>
      <w:pPr>
        <w:spacing w:after="80"/>
      </w:pPr>
    </w:p>
    <w:p>
      <w:pPr>
        <w:spacing w:after="120" w:line="280" w:lineRule="auto"/>
      </w:pPr>
      <w:r>
        <w:rPr>
          <w:rFonts w:ascii="Times New Roman" w:cs="Times New Roman" w:eastAsia="Times New Roman" w:hAnsi="Times New Roman"/>
          <w:b/>
          <w:bCs/>
          <w:color w:val="000000"/>
          <w:sz w:val="22"/>
          <w:szCs w:val="22"/>
        </w:rPr>
        <w:t xml:space="preserve">Keywords. </w:t>
      </w:r>
      <w:r>
        <w:rPr>
          <w:rFonts w:ascii="Times New Roman" w:cs="Times New Roman" w:eastAsia="Times New Roman" w:hAnsi="Times New Roman"/>
          <w:i/>
          <w:iCs/>
          <w:color w:val="000000"/>
          <w:sz w:val="22"/>
          <w:szCs w:val="22"/>
        </w:rPr>
        <w:t xml:space="preserve">spatial transcriptomics; spatially variable genes; graph construction; multi-modal feature fusion; Moran’s I; spatial autocorrelation; benchmarking; high-performance computing</w:t>
      </w:r>
    </w:p>
    <w:p>
      <w:pPr>
        <w:spacing w:after="200"/>
      </w:pPr>
    </w:p>
    <w:p>
      <w:pPr>
        <w:pBdr>
          <w:bottom w:val="single" w:color="000000" w:sz="2" w:space="1"/>
        </w:pBdr>
        <w:spacing w:after="140" w:before="300"/>
      </w:pPr>
      <w:r>
        <w:rPr>
          <w:rFonts w:ascii="Times New Roman" w:cs="Times New Roman" w:eastAsia="Times New Roman" w:hAnsi="Times New Roman"/>
          <w:b/>
          <w:bCs/>
          <w:color w:val="000000"/>
          <w:sz w:val="22"/>
          <w:szCs w:val="22"/>
        </w:rPr>
        <w:t xml:space="preserve">1. INTRODUCTION</w:t>
      </w:r>
    </w:p>
    <w:p>
      <w:pPr>
        <w:spacing w:after="120" w:line="280" w:lineRule="auto"/>
      </w:pPr>
      <w:r>
        <w:rPr>
          <w:rFonts w:ascii="Times New Roman" w:cs="Times New Roman" w:eastAsia="Times New Roman" w:hAnsi="Times New Roman"/>
          <w:color w:val="000000"/>
          <w:sz w:val="22"/>
          <w:szCs w:val="22"/>
        </w:rPr>
        <w:t xml:space="preserve">Spatial transcriptomics technologies have transformed our ability to study gene expression in its native tissue context. Unlike bulk or single-cell RNA sequencing, spatial platforms retain the physical coordinates of measurement spots, enabling the study of spatially organized expression programs that underlie tissue architecture and function.</w:t>
      </w:r>
    </w:p>
    <w:p>
      <w:pPr>
        <w:spacing w:after="120" w:line="280" w:lineRule="auto"/>
      </w:pPr>
      <w:r>
        <w:rPr>
          <w:rFonts w:ascii="Times New Roman" w:cs="Times New Roman" w:eastAsia="Times New Roman" w:hAnsi="Times New Roman"/>
          <w:color w:val="000000"/>
          <w:sz w:val="22"/>
          <w:szCs w:val="22"/>
        </w:rPr>
        <w:t xml:space="preserve">A fundamental analytical task is the identification of spatially variable genes (SVGs) — genes whose expression across a tissue section exhibits non-random spatial structure. SVGs serve as markers of cell-type regions, indicators of spatially regulated biological processes, and inputs for downstream spatial clustering and trajectory analyses.</w:t>
      </w:r>
    </w:p>
    <w:p>
      <w:pPr>
        <w:spacing w:after="120" w:line="280" w:lineRule="auto"/>
      </w:pPr>
      <w:r>
        <w:rPr>
          <w:rFonts w:ascii="Times New Roman" w:cs="Times New Roman" w:eastAsia="Times New Roman" w:hAnsi="Times New Roman"/>
          <w:color w:val="000000"/>
          <w:sz w:val="22"/>
          <w:szCs w:val="22"/>
        </w:rPr>
        <w:t xml:space="preserve">Despite a growing number of SVG detection methods, the definition of spatial neighborhoods remains an underexamined variable. Almost all methods rely on a graph representing adjacency or similarity between tissue spots; yet the topology of this graph — which spots are connected, with what weights, and based on what features — is typically fixed by convention rather than studied systematically. This work treats graph construction as a first-class experimental variable.</w:t>
      </w:r>
    </w:p>
    <w:p>
      <w:pPr>
        <w:spacing w:after="60"/>
      </w:pPr>
    </w:p>
    <w:p>
      <w:pPr>
        <w:spacing w:after="80" w:before="220"/>
      </w:pPr>
      <w:r>
        <w:rPr>
          <w:rFonts w:ascii="Times New Roman" w:cs="Times New Roman" w:eastAsia="Times New Roman" w:hAnsi="Times New Roman"/>
          <w:b/>
          <w:bCs/>
          <w:i/>
          <w:iCs/>
          <w:color w:val="000000"/>
          <w:sz w:val="22"/>
          <w:szCs w:val="22"/>
        </w:rPr>
        <w:t xml:space="preserve">1.1 Research Objectives</w:t>
      </w:r>
    </w:p>
    <w:p>
      <w:pPr>
        <w:pStyle w:val="ListParagraph"/>
        <w:numPr>
          <w:ilvl w:val="0"/>
          <w:numId w:val="2"/>
        </w:numPr>
        <w:spacing w:after="80" w:line="276" w:lineRule="auto"/>
      </w:pPr>
      <w:r>
        <w:rPr>
          <w:rFonts w:ascii="Times New Roman" w:cs="Times New Roman" w:eastAsia="Times New Roman" w:hAnsi="Times New Roman"/>
          <w:color w:val="000000"/>
          <w:sz w:val="22"/>
          <w:szCs w:val="22"/>
        </w:rPr>
        <w:t xml:space="preserve">How sensitive are SVG detection results to the topology of the spatial graph?</w:t>
      </w:r>
    </w:p>
    <w:p>
      <w:pPr>
        <w:pStyle w:val="ListParagraph"/>
        <w:numPr>
          <w:ilvl w:val="0"/>
          <w:numId w:val="2"/>
        </w:numPr>
        <w:spacing w:after="80" w:line="276" w:lineRule="auto"/>
      </w:pPr>
      <w:r>
        <w:rPr>
          <w:rFonts w:ascii="Times New Roman" w:cs="Times New Roman" w:eastAsia="Times New Roman" w:hAnsi="Times New Roman"/>
          <w:color w:val="000000"/>
          <w:sz w:val="22"/>
          <w:szCs w:val="22"/>
        </w:rPr>
        <w:t xml:space="preserve">Does incorporating tissue morphology (image features) or gene expression features into graph construction improve detection quality or consistency?</w:t>
      </w:r>
    </w:p>
    <w:p>
      <w:pPr>
        <w:pStyle w:val="ListParagraph"/>
        <w:numPr>
          <w:ilvl w:val="0"/>
          <w:numId w:val="2"/>
        </w:numPr>
        <w:spacing w:after="80" w:line="276" w:lineRule="auto"/>
      </w:pPr>
      <w:r>
        <w:rPr>
          <w:rFonts w:ascii="Times New Roman" w:cs="Times New Roman" w:eastAsia="Times New Roman" w:hAnsi="Times New Roman"/>
          <w:color w:val="000000"/>
          <w:sz w:val="22"/>
          <w:szCs w:val="22"/>
        </w:rPr>
        <w:t xml:space="preserve">Do different algorithmic paradigms identify concordant SVGs when given identical graph inputs?</w:t>
      </w:r>
    </w:p>
    <w:p>
      <w:pPr>
        <w:pStyle w:val="ListParagraph"/>
        <w:numPr>
          <w:ilvl w:val="0"/>
          <w:numId w:val="2"/>
        </w:numPr>
        <w:spacing w:after="80" w:line="276" w:lineRule="auto"/>
      </w:pPr>
      <w:r>
        <w:rPr>
          <w:rFonts w:ascii="Times New Roman" w:cs="Times New Roman" w:eastAsia="Times New Roman" w:hAnsi="Times New Roman"/>
          <w:color w:val="000000"/>
          <w:sz w:val="22"/>
          <w:szCs w:val="22"/>
        </w:rPr>
        <w:t xml:space="preserve">Which methods exhibit favorable computational scalability for large-scale spatial transcriptomics datasets?</w:t>
      </w:r>
    </w:p>
    <w:p>
      <w:pPr>
        <w:spacing w:after="200"/>
      </w:pPr>
    </w:p>
    <w:p>
      <w:pPr>
        <w:pBdr>
          <w:bottom w:val="single" w:color="000000" w:sz="2" w:space="1"/>
        </w:pBdr>
        <w:spacing w:after="140" w:before="300"/>
      </w:pPr>
      <w:r>
        <w:rPr>
          <w:rFonts w:ascii="Times New Roman" w:cs="Times New Roman" w:eastAsia="Times New Roman" w:hAnsi="Times New Roman"/>
          <w:b/>
          <w:bCs/>
          <w:color w:val="000000"/>
          <w:sz w:val="22"/>
          <w:szCs w:val="22"/>
        </w:rPr>
        <w:t xml:space="preserve">2. DATA</w:t>
      </w:r>
    </w:p>
    <w:p>
      <w:pPr>
        <w:spacing w:after="120" w:line="280" w:lineRule="auto"/>
      </w:pPr>
      <w:r>
        <w:rPr>
          <w:rFonts w:ascii="Times New Roman" w:cs="Times New Roman" w:eastAsia="Times New Roman" w:hAnsi="Times New Roman"/>
          <w:color w:val="000000"/>
          <w:sz w:val="22"/>
          <w:szCs w:val="22"/>
        </w:rPr>
        <w:t xml:space="preserve">The pipeline operates on human spatial transcriptomics slides from the STimage-1K4M dataset. The current evaluation focuses on the first 20 samples. Each sample is standardized into an AnnData object containing the following modalities: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2"/>
                <w:szCs w:val="22"/>
              </w:rPr>
              <w:t xml:space="preserve">Symbol</w:t>
            </w:r>
          </w:p>
        </w:tc>
        <w:tc>
          <w:tcPr>
            <w:tcW w:type="dxa" w:w="6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2"/>
                <w:szCs w:val="22"/>
              </w:rPr>
              <w:t xml:space="preserve">Description</w:t>
            </w:r>
          </w:p>
        </w:tc>
      </w:tr>
      <w:tr>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drawing>
                <wp:inline distT="0" distB="0" distL="0" distR="0">
                  <wp:extent cx="600075" cy="171450"/>
                  <wp:effectExtent t="0" r="0" b="0" l="0"/>
                  <wp:docPr id="1" name="data_X" descr="data_X" title="data_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 cy="171450"/>
                          </a:xfrm>
                          <a:prstGeom prst="rect">
                            <a:avLst/>
                          </a:prstGeom>
                        </pic:spPr>
                      </pic:pic>
                    </a:graphicData>
                  </a:graphic>
                </wp:inline>
              </w:drawing>
            </w:r>
          </w:p>
        </w:tc>
        <w:tc>
          <w:tcPr>
            <w:tcW w:type="dxa" w:w="6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Gene expression count matrix; n spots, p genes</w:t>
            </w:r>
          </w:p>
        </w:tc>
      </w:tr>
      <w:tr>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drawing>
                <wp:inline distT="0" distB="0" distL="0" distR="0">
                  <wp:extent cx="581025" cy="171450"/>
                  <wp:effectExtent t="0" r="0" b="0" l="0"/>
                  <wp:docPr id="1" name="data_S" descr="data_S" title="data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 cy="171450"/>
                          </a:xfrm>
                          <a:prstGeom prst="rect">
                            <a:avLst/>
                          </a:prstGeom>
                        </pic:spPr>
                      </pic:pic>
                    </a:graphicData>
                  </a:graphic>
                </wp:inline>
              </w:drawing>
            </w:r>
          </w:p>
        </w:tc>
        <w:tc>
          <w:tcPr>
            <w:tcW w:type="dxa" w:w="6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Physical spatial coordinates per spot</w:t>
            </w:r>
          </w:p>
        </w:tc>
      </w:tr>
      <w:tr>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I</w:t>
            </w:r>
          </w:p>
        </w:tc>
        <w:tc>
          <w:tcPr>
            <w:tcW w:type="dxa" w:w="6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Tissue histology image (H&amp;E or fluorescence)</w:t>
            </w:r>
          </w:p>
        </w:tc>
      </w:tr>
      <w:tr>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drawing>
                <wp:inline distT="0" distB="0" distL="0" distR="0">
                  <wp:extent cx="752475" cy="219075"/>
                  <wp:effectExtent t="0" r="0" b="0" l="0"/>
                  <wp:docPr id="1" name="data_Fimg" descr="data_Fimg" title="data_F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2475" cy="219075"/>
                          </a:xfrm>
                          <a:prstGeom prst="rect">
                            <a:avLst/>
                          </a:prstGeom>
                        </pic:spPr>
                      </pic:pic>
                    </a:graphicData>
                  </a:graphic>
                </wp:inline>
              </w:drawing>
            </w:r>
          </w:p>
        </w:tc>
        <w:tc>
          <w:tcPr>
            <w:tcW w:type="dxa" w:w="6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Image patch embeddings encoding local morphology</w:t>
            </w:r>
          </w:p>
        </w:tc>
      </w:tr>
      <w:tr>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drawing>
                <wp:inline distT="0" distB="0" distL="0" distR="0">
                  <wp:extent cx="914400" cy="190500"/>
                  <wp:effectExtent t="0" r="0" b="0" l="0"/>
                  <wp:docPr id="1" name="data_Fgene" descr="data_Fgene" title="data_Fg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14400" cy="190500"/>
                          </a:xfrm>
                          <a:prstGeom prst="rect">
                            <a:avLst/>
                          </a:prstGeom>
                        </pic:spPr>
                      </pic:pic>
                    </a:graphicData>
                  </a:graphic>
                </wp:inline>
              </w:drawing>
            </w:r>
          </w:p>
        </w:tc>
        <w:tc>
          <w:tcPr>
            <w:tcW w:type="dxa" w:w="6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Low-dimensional expression features via PCA</w:t>
            </w:r>
          </w:p>
        </w:tc>
      </w:tr>
    </w:tbl>
    <w:p>
      <w:pPr>
        <w:spacing w:after="200"/>
      </w:pPr>
    </w:p>
    <w:p>
      <w:pPr>
        <w:pBdr>
          <w:bottom w:val="single" w:color="000000" w:sz="2" w:space="1"/>
        </w:pBdr>
        <w:spacing w:after="140" w:before="300"/>
      </w:pPr>
      <w:r>
        <w:rPr>
          <w:rFonts w:ascii="Times New Roman" w:cs="Times New Roman" w:eastAsia="Times New Roman" w:hAnsi="Times New Roman"/>
          <w:b/>
          <w:bCs/>
          <w:color w:val="000000"/>
          <w:sz w:val="22"/>
          <w:szCs w:val="22"/>
        </w:rPr>
        <w:t xml:space="preserve">3. METHODS</w:t>
      </w:r>
    </w:p>
    <w:p>
      <w:pPr>
        <w:spacing w:after="80" w:before="220"/>
      </w:pPr>
      <w:r>
        <w:rPr>
          <w:rFonts w:ascii="Times New Roman" w:cs="Times New Roman" w:eastAsia="Times New Roman" w:hAnsi="Times New Roman"/>
          <w:b/>
          <w:bCs/>
          <w:i/>
          <w:iCs/>
          <w:color w:val="000000"/>
          <w:sz w:val="22"/>
          <w:szCs w:val="22"/>
        </w:rPr>
        <w:t xml:space="preserve">3.1 Pipeline Architecture</w:t>
      </w:r>
    </w:p>
    <w:p>
      <w:pPr>
        <w:spacing w:after="120" w:line="280" w:lineRule="auto"/>
      </w:pPr>
      <w:r>
        <w:rPr>
          <w:rFonts w:ascii="Times New Roman" w:cs="Times New Roman" w:eastAsia="Times New Roman" w:hAnsi="Times New Roman"/>
          <w:color w:val="000000"/>
          <w:sz w:val="22"/>
          <w:szCs w:val="22"/>
        </w:rPr>
        <w:t xml:space="preserve">The pipeline is organized as a decoupled three-stage system. This ensures that graph outputs from Step 2 are reusable across all Step 3 algorithms without recomputation, and that adding a new algorithm requires only implementing the Step 3 interface.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2"/>
                <w:szCs w:val="22"/>
              </w:rPr>
              <w:t xml:space="preserve">Stage</w:t>
            </w:r>
          </w:p>
        </w:tc>
        <w:tc>
          <w:tcPr>
            <w:tcW w:type="dxa" w:w="4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2"/>
                <w:szCs w:val="22"/>
              </w:rPr>
              <w:t xml:space="preserve">Description</w:t>
            </w:r>
          </w:p>
        </w:tc>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2"/>
                <w:szCs w:val="22"/>
              </w:rPr>
              <w:t xml:space="preserve">Output</w:t>
            </w:r>
          </w:p>
        </w:tc>
      </w:tr>
      <w:tr>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Step 1 — Data preparation</w:t>
            </w:r>
          </w:p>
        </w:tc>
        <w:tc>
          <w:tcPr>
            <w:tcW w:type="dxa" w:w="4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Load raw counts, coordinates, images; extract image patch features; construct unified AnnData objects</w:t>
            </w:r>
          </w:p>
        </w:tc>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.h5ad files</w:t>
            </w:r>
          </w:p>
        </w:tc>
      </w:tr>
      <w:tr>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Step 2 — Graph construction</w:t>
            </w:r>
          </w:p>
        </w:tc>
        <w:tc>
          <w:tcPr>
            <w:tcW w:type="dxa" w:w="4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Build ~50 graphs per sample across feature spaces and graph families</w:t>
            </w:r>
          </w:p>
        </w:tc>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Parquet edge lists (source, target, weight)</w:t>
            </w:r>
          </w:p>
        </w:tc>
      </w:tr>
      <w:tr>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Step 3 — SVG evaluation</w:t>
            </w:r>
          </w:p>
        </w:tc>
        <w:tc>
          <w:tcPr>
            <w:tcW w:type="dxa" w:w="4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Run SVG algorithms using per-sample graphs as spatial connectivity input</w:t>
            </w:r>
          </w:p>
        </w:tc>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Per-graph gene score tables (.parquet)</w:t>
            </w:r>
          </w:p>
        </w:tc>
      </w:tr>
    </w:tbl>
    <w:p>
      <w:pPr>
        <w:spacing w:after="160"/>
      </w:pPr>
    </w:p>
    <w:p>
      <w:pPr>
        <w:spacing w:after="80" w:before="220"/>
      </w:pPr>
      <w:r>
        <w:rPr>
          <w:rFonts w:ascii="Times New Roman" w:cs="Times New Roman" w:eastAsia="Times New Roman" w:hAnsi="Times New Roman"/>
          <w:b/>
          <w:bCs/>
          <w:i/>
          <w:iCs/>
          <w:color w:val="000000"/>
          <w:sz w:val="22"/>
          <w:szCs w:val="22"/>
        </w:rPr>
        <w:t xml:space="preserve">3.2 Graph Construction</w:t>
      </w:r>
    </w:p>
    <w:p>
      Graphs are formally defined as 
      <w:r>
        <w:drawing>
          <wp:inline distT="0" distB="0" distL="0" distR="0">
            <wp:extent cx="800100" cy="171450"/>
            <wp:effectExtent t="0" r="0" b="0" l="0"/>
            <wp:docPr id="1" name="graph_G" descr="graph_G" title="graph_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00100" cy="171450"/>
                    </a:xfrm>
                    <a:prstGeom prst="rect">
                      <a:avLst/>
                    </a:prstGeom>
                  </pic:spPr>
                </pic:pic>
              </a:graphicData>
            </a:graphic>
          </wp:inline>
        </w:drawing>
      </w:r>
      <w:r>
        <w:rPr>
          <w:rFonts w:ascii="Times New Roman" w:cs="Times New Roman" w:eastAsia="Times New Roman" w:hAnsi="Times New Roman"/>
          <w:color w:val="000000"/>
          <w:sz w:val="22"/>
          <w:szCs w:val="22"/>
        </w:rPr>
        <w:t xml:space="preserve"> where </w:t>
      </w:r>
      <w:r>
        <w:rPr>
          <w:rFonts w:ascii="Times New Roman" w:cs="Times New Roman" w:eastAsia="Times New Roman" w:hAnsi="Times New Roman"/>
          <w:color w:val="000000"/>
          <w:sz w:val="22"/>
          <w:szCs w:val="22"/>
        </w:rPr>
        <w:t xml:space="preserve">V</w:t>
      </w:r>
      <w:r>
        <w:rPr>
          <w:rFonts w:ascii="Times New Roman" w:cs="Times New Roman" w:eastAsia="Times New Roman" w:hAnsi="Times New Roman"/>
          <w:color w:val="000000"/>
          <w:sz w:val="22"/>
          <w:szCs w:val="22"/>
        </w:rPr>
        <w:t xml:space="preserve"> denotes spatial spots, </w:t>
      </w:r>
      <w:r>
        <w:rPr>
          <w:rFonts w:ascii="Times New Roman" w:cs="Times New Roman" w:eastAsia="Times New Roman" w:hAnsi="Times New Roman"/>
          <w:color w:val="000000"/>
          <w:sz w:val="22"/>
          <w:szCs w:val="22"/>
        </w:rPr>
        <w:t xml:space="preserve">E</w:t>
      </w:r>
      <w:r>
        <w:rPr>
          <w:rFonts w:ascii="Times New Roman" w:cs="Times New Roman" w:eastAsia="Times New Roman" w:hAnsi="Times New Roman"/>
          <w:color w:val="000000"/>
          <w:sz w:val="22"/>
          <w:szCs w:val="22"/>
        </w:rPr>
        <w:t xml:space="preserve"> neighborhood edges, and </w:t>
      </w:r>
      <w:r>
        <w:rPr>
          <w:rFonts w:ascii="Times New Roman" w:cs="Times New Roman" w:eastAsia="Times New Roman" w:hAnsi="Times New Roman"/>
          <w:color w:val="000000"/>
          <w:sz w:val="22"/>
          <w:szCs w:val="22"/>
        </w:rPr>
        <w:t xml:space="preserve">W</w:t>
      </w:r>
      <w:r>
        <w:rPr>
          <w:rFonts w:ascii="Times New Roman" w:cs="Times New Roman" w:eastAsia="Times New Roman" w:hAnsi="Times New Roman"/>
          <w:color w:val="000000"/>
          <w:sz w:val="22"/>
          <w:szCs w:val="22"/>
        </w:rPr>
        <w:t xml:space="preserve"> edge weights. Graph construction is performed over four feature spaces:</w:t>
      </w:r>
    </w:p>
    <w:p>
      <w:pPr>
        <w:spacing w:after="60"/>
      </w:pPr>
    </w:p>
    <w:p>
      <w:pPr>
        <w:pStyle w:val="ListParagraph"/>
        <w:numPr>
          <w:ilvl w:val="0"/>
          <w:numId w:val="2"/>
        </w:numPr>
        <w:spacing w:after="80" w:line="276" w:lineRule="auto"/>
      </w:pPr>
      <w:r>
        <w:rPr>
          <w:rFonts w:ascii="Times New Roman" w:cs="Times New Roman" w:eastAsia="Times New Roman" w:hAnsi="Times New Roman"/>
          <w:b/>
          <w:bCs/>
          <w:color w:val="000000"/>
          <w:sz w:val="22"/>
          <w:szCs w:val="22"/>
        </w:rPr>
        <w:t xml:space="preserve">Spatial-only: </w:t>
      </w:r>
      <w:r>
        <w:drawing>
          <wp:inline distT="0" distB="0" distL="0" distR="0">
            <wp:extent cx="342900" cy="171450"/>
            <wp:effectExtent t="0" r="0" b="0" l="0"/>
            <wp:docPr id="1" name="feat_sp" descr="feat_sp" title="feat_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 cy="171450"/>
                    </a:xfrm>
                    <a:prstGeom prst="rect">
                      <a:avLst/>
                    </a:prstGeom>
                  </pic:spPr>
                </pic:pic>
              </a:graphicData>
            </a:graphic>
          </wp:inline>
        </w:drawing>
      </w:r>
    </w:p>
    <w:p>
      <w:pPr>
        <w:pStyle w:val="ListParagraph"/>
        <w:numPr>
          <w:ilvl w:val="0"/>
          <w:numId w:val="2"/>
        </w:numPr>
        <w:spacing w:after="80" w:line="276" w:lineRule="auto"/>
      </w:pPr>
      <w:r>
        <w:rPr>
          <w:rFonts w:ascii="Times New Roman" w:cs="Times New Roman" w:eastAsia="Times New Roman" w:hAnsi="Times New Roman"/>
          <w:b/>
          <w:bCs/>
          <w:color w:val="000000"/>
          <w:sz w:val="22"/>
          <w:szCs w:val="22"/>
        </w:rPr>
        <w:t xml:space="preserve">Spatial + Image: </w:t>
      </w:r>
      <w:r>
        <w:drawing>
          <wp:inline distT="0" distB="0" distL="0" distR="0">
            <wp:extent cx="771525" cy="190500"/>
            <wp:effectExtent t="0" r="0" b="0" l="0"/>
            <wp:docPr id="1" name="feat_spimg" descr="feat_spimg" title="feat_sp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71525" cy="190500"/>
                    </a:xfrm>
                    <a:prstGeom prst="rect">
                      <a:avLst/>
                    </a:prstGeom>
                  </pic:spPr>
                </pic:pic>
              </a:graphicData>
            </a:graphic>
          </wp:inline>
        </w:drawing>
      </w:r>
    </w:p>
    <w:p>
      <w:pPr>
        <w:pStyle w:val="ListParagraph"/>
        <w:numPr>
          <w:ilvl w:val="0"/>
          <w:numId w:val="2"/>
        </w:numPr>
        <w:spacing w:after="80" w:line="276" w:lineRule="auto"/>
      </w:pPr>
      <w:r>
        <w:rPr>
          <w:rFonts w:ascii="Times New Roman" w:cs="Times New Roman" w:eastAsia="Times New Roman" w:hAnsi="Times New Roman"/>
          <w:b/>
          <w:bCs/>
          <w:color w:val="000000"/>
          <w:sz w:val="22"/>
          <w:szCs w:val="22"/>
        </w:rPr>
        <w:t xml:space="preserve">Multi-modal: </w:t>
      </w:r>
      <w:r>
        <w:drawing>
          <wp:inline distT="0" distB="0" distL="0" distR="0">
            <wp:extent cx="1162050" cy="190500"/>
            <wp:effectExtent t="0" r="0" b="0" l="0"/>
            <wp:docPr id="1" name="feat_all" descr="feat_all" title="feat_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162050" cy="190500"/>
                    </a:xfrm>
                    <a:prstGeom prst="rect">
                      <a:avLst/>
                    </a:prstGeom>
                  </pic:spPr>
                </pic:pic>
              </a:graphicData>
            </a:graphic>
          </wp:inline>
        </w:drawing>
      </w:r>
    </w:p>
    <w:p>
      <w:pPr>
        <w:pStyle w:val="ListParagraph"/>
        <w:numPr>
          <w:ilvl w:val="0"/>
          <w:numId w:val="2"/>
        </w:numPr>
        <w:spacing w:after="80" w:line="276" w:lineRule="auto"/>
      </w:pPr>
      <w:r>
        <w:rPr>
          <w:rFonts w:ascii="Times New Roman" w:cs="Times New Roman" w:eastAsia="Times New Roman" w:hAnsi="Times New Roman"/>
          <w:b/>
          <w:bCs/>
          <w:color w:val="000000"/>
          <w:sz w:val="22"/>
          <w:szCs w:val="22"/>
        </w:rPr>
        <w:t xml:space="preserve">SME-normalized: </w:t>
      </w:r>
      <w:r>
        <w:rPr>
          <w:rFonts w:ascii="Times New Roman" w:cs="Times New Roman" w:eastAsia="Times New Roman" w:hAnsi="Times New Roman"/>
          <w:color w:val="000000"/>
          <w:sz w:val="22"/>
          <w:szCs w:val="22"/>
        </w:rPr>
        <w:t xml:space="preserve">stLearn spatially-morphology-aware expression embedding</w:t>
      </w:r>
    </w:p>
    <w:p>
      <w:pPr>
        <w:spacing w:after="100"/>
      </w:pPr>
    </w:p>
    <w:p>
      <w:pPr>
        <w:spacing w:after="120" w:line="280" w:lineRule="auto"/>
      </w:pPr>
      <w:r>
        <w:rPr>
          <w:rFonts w:ascii="Times New Roman" w:cs="Times New Roman" w:eastAsia="Times New Roman" w:hAnsi="Times New Roman"/>
          <w:color w:val="000000"/>
          <w:sz w:val="22"/>
          <w:szCs w:val="22"/>
        </w:rPr>
        <w:t xml:space="preserve">For each feature space, six graph families are constructed: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2"/>
                <w:szCs w:val="22"/>
              </w:rPr>
              <w:t xml:space="preserve">Graph Family</w:t>
            </w:r>
          </w:p>
        </w:tc>
        <w:tc>
          <w:tcPr>
            <w:tcW w:type="dxa" w:w="4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2"/>
                <w:szCs w:val="22"/>
              </w:rPr>
              <w:t xml:space="preserve">Definition</w:t>
            </w:r>
          </w:p>
        </w:tc>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2"/>
                <w:szCs w:val="22"/>
              </w:rPr>
              <w:t xml:space="preserve">Parameters</w:t>
            </w:r>
          </w:p>
        </w:tc>
      </w:tr>
      <w:tr>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Directed kNN</w:t>
            </w:r>
          </w:p>
        </w:tc>
        <w:tc>
          <w:tcPr>
            <w:tcW w:type="dxa" w:w="4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drawing>
                <wp:inline distT="0" distB="0" distL="0" distR="0">
                  <wp:extent cx="914400" cy="171450"/>
                  <wp:effectExtent t="0" r="0" b="0" l="0"/>
                  <wp:docPr id="1" name="graph_knn" descr="graph_knn" title="graph_k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14400" cy="171450"/>
                          </a:xfrm>
                          <a:prstGeom prst="rect">
                            <a:avLst/>
                          </a:prstGeom>
                        </pic:spPr>
                      </pic:pic>
                    </a:graphicData>
                  </a:graphic>
                </wp:inline>
              </w:drawing>
            </w:r>
            <w:r>
              <w:rPr>
                <w:rFonts w:ascii="Times New Roman" w:cs="Times New Roman" w:eastAsia="Times New Roman" w:hAnsi="Times New Roman"/>
                <w:color w:val="000000"/>
                <w:sz w:val="22"/>
                <w:szCs w:val="22"/>
              </w:rPr>
              <w:t xml:space="preserve">, directed</w:t>
            </w:r>
          </w:p>
        </w:tc>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k = 3, 10, 15, 20</w:t>
            </w:r>
          </w:p>
        </w:tc>
      </w:tr>
      <w:tr>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Undirected kNN</w:t>
            </w:r>
          </w:p>
        </w:tc>
        <w:tc>
          <w:tcPr>
            <w:tcW w:type="dxa" w:w="4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drawing>
                <wp:inline distT="0" distB="0" distL="0" distR="0">
                  <wp:extent cx="914400" cy="171450"/>
                  <wp:effectExtent t="0" r="0" b="0" l="0"/>
                  <wp:docPr id="1" name="graph_knn" descr="graph_knn" title="graph_k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14400" cy="171450"/>
                          </a:xfrm>
                          <a:prstGeom prst="rect">
                            <a:avLst/>
                          </a:prstGeom>
                        </pic:spPr>
                      </pic:pic>
                    </a:graphicData>
                  </a:graphic>
                </wp:inline>
              </w:drawing>
            </w:r>
            <w:r>
              <w:rPr>
                <w:rFonts w:ascii="Times New Roman" w:cs="Times New Roman" w:eastAsia="Times New Roman" w:hAnsi="Times New Roman"/>
                <w:color w:val="000000"/>
                <w:sz w:val="22"/>
                <w:szCs w:val="22"/>
              </w:rPr>
              <w:t xml:space="preserve">, symmetrized</w:t>
            </w:r>
          </w:p>
        </w:tc>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k = 3, 10, 15, 20</w:t>
            </w:r>
          </w:p>
        </w:tc>
      </w:tr>
      <w:tr>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Radius graph</w:t>
            </w:r>
          </w:p>
        </w:tc>
        <w:tc>
          <w:tcPr>
            <w:tcW w:type="dxa" w:w="4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drawing>
                <wp:inline distT="0" distB="0" distL="0" distR="0">
                  <wp:extent cx="1476375" cy="190500"/>
                  <wp:effectExtent t="0" r="0" b="0" l="0"/>
                  <wp:docPr id="1" name="graph_rad" descr="graph_rad" title="graph_r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476375" cy="190500"/>
                          </a:xfrm>
                          <a:prstGeom prst="rect">
                            <a:avLst/>
                          </a:prstGeom>
                        </pic:spPr>
                      </pic:pic>
                    </a:graphicData>
                  </a:graphic>
                </wp:inline>
              </w:drawing>
            </w:r>
          </w:p>
        </w:tc>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r = 50, 150, 300</w:t>
            </w:r>
          </w:p>
        </w:tc>
      </w:tr>
      <w:tr>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Fully connected</w:t>
            </w:r>
          </w:p>
        </w:tc>
        <w:tc>
          <w:tcPr>
            <w:tcW w:type="dxa" w:w="4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Complete graph over feature space</w:t>
            </w:r>
          </w:p>
        </w:tc>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w:t>
            </w:r>
          </w:p>
        </w:tc>
      </w:tr>
      <w:tr>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Delaunay</w:t>
            </w:r>
          </w:p>
        </w:tc>
        <w:tc>
          <w:tcPr>
            <w:tcW w:type="dxa" w:w="4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Triangulation on spatial coordinates S</w:t>
            </w:r>
          </w:p>
        </w:tc>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spatial-only</w:t>
            </w:r>
          </w:p>
        </w:tc>
      </w:tr>
      <w:tr>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Alpha complex</w:t>
            </w:r>
          </w:p>
        </w:tc>
        <w:tc>
          <w:tcPr>
            <w:tcW w:type="dxa" w:w="4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Topological filtration on S</w:t>
            </w:r>
          </w:p>
        </w:tc>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spatial-only</w:t>
            </w:r>
          </w:p>
        </w:tc>
      </w:tr>
    </w:tbl>
    <w:p>
      <w:pPr>
        <w:spacing w:after="160"/>
      </w:pPr>
    </w:p>
    <w:p>
      <w:pPr>
        <w:spacing w:after="80" w:before="220"/>
      </w:pPr>
      <w:r>
        <w:rPr>
          <w:rFonts w:ascii="Times New Roman" w:cs="Times New Roman" w:eastAsia="Times New Roman" w:hAnsi="Times New Roman"/>
          <w:b/>
          <w:bCs/>
          <w:i/>
          <w:iCs/>
          <w:color w:val="000000"/>
          <w:sz w:val="22"/>
          <w:szCs w:val="22"/>
        </w:rPr>
        <w:t xml:space="preserve">3.3 SVG Detection Algorithms</w:t>
      </w:r>
    </w:p>
    <w:p>
      <w:pPr>
        <w:spacing w:after="120" w:line="280" w:lineRule="auto"/>
      </w:pPr>
      <w:r>
        <w:rPr>
          <w:rFonts w:ascii="Times New Roman" w:cs="Times New Roman" w:eastAsia="Times New Roman" w:hAnsi="Times New Roman"/>
          <w:color w:val="000000"/>
          <w:sz w:val="22"/>
          <w:szCs w:val="22"/>
        </w:rPr>
        <w:t xml:space="preserve">Seven methods spanning distinct algorithmic paradigms are evaluated on the shared graph sets.</w:t>
      </w:r>
    </w:p>
    <w:p>
      <w:pPr>
        <w:spacing w:after="60"/>
      </w:pPr>
    </w:p>
    <w:p>
      <w:pPr>
        <w:spacing w:after="120" w:line="280" w:lineRule="auto"/>
      </w:pPr>
      <w:r>
        <w:rPr>
          <w:rFonts w:ascii="Times New Roman" w:cs="Times New Roman" w:eastAsia="Times New Roman" w:hAnsi="Times New Roman"/>
          <w:b/>
          <w:bCs/>
          <w:color w:val="000000"/>
          <w:sz w:val="22"/>
          <w:szCs w:val="22"/>
        </w:rPr>
        <w:t xml:space="preserve">Moran’s I. </w:t>
      </w:r>
      <w:r>
        <w:rPr>
          <w:rFonts w:ascii="Times New Roman" w:cs="Times New Roman" w:eastAsia="Times New Roman" w:hAnsi="Times New Roman"/>
          <w:color w:val="000000"/>
          <w:sz w:val="22"/>
          <w:szCs w:val="22"/>
        </w:rPr>
        <w:t xml:space="preserve">A classical spatial autocorrelation statistic. For a gene with expression vector </w:t>
      </w:r>
      <w:r>
        <w:rPr>
          <w:rFonts w:ascii="Times New Roman" w:cs="Times New Roman" w:eastAsia="Times New Roman" w:hAnsi="Times New Roman"/>
          <w:color w:val="000000"/>
          <w:sz w:val="22"/>
          <w:szCs w:val="22"/>
        </w:rPr>
        <w:t xml:space="preserve">x</w:t>
      </w:r>
      <w:r>
        <w:rPr>
          <w:rFonts w:ascii="Times New Roman" w:cs="Times New Roman" w:eastAsia="Times New Roman" w:hAnsi="Times New Roman"/>
          <w:color w:val="000000"/>
          <w:sz w:val="22"/>
          <w:szCs w:val="22"/>
        </w:rPr>
        <w:t xml:space="preserve"> and spatial weight matrix </w:t>
      </w:r>
      <w:r>
        <w:rPr>
          <w:rFonts w:ascii="Times New Roman" w:cs="Times New Roman" w:eastAsia="Times New Roman" w:hAnsi="Times New Roman"/>
          <w:color w:val="000000"/>
          <w:sz w:val="22"/>
          <w:szCs w:val="22"/>
        </w:rPr>
        <w:t xml:space="preserve">W</w:t>
      </w:r>
      <w:r>
        <w:rPr>
          <w:rFonts w:ascii="Times New Roman" w:cs="Times New Roman" w:eastAsia="Times New Roman" w:hAnsi="Times New Roman"/>
          <w:color w:val="000000"/>
          <w:sz w:val="22"/>
          <w:szCs w:val="22"/>
        </w:rPr>
        <w:t xml:space="preserve"> with total weight </w:t>
      </w:r>
      <w:r>
        <w:rPr>
          <w:rFonts w:ascii="Times New Roman" w:cs="Times New Roman" w:eastAsia="Times New Roman" w:hAnsi="Times New Roman"/>
          <w:color w:val="000000"/>
          <w:sz w:val="22"/>
          <w:szCs w:val="22"/>
        </w:rPr>
        <w:t xml:space="preserve">W</w:t>
      </w:r>
      <w:r>
        <w:rPr>
          <w:rFonts w:ascii="Times New Roman" w:cs="Times New Roman" w:eastAsia="Times New Roman" w:hAnsi="Times New Roman"/>
          <w:color w:val="000000"/>
          <w:sz w:val="22"/>
          <w:szCs w:val="22"/>
        </w:rPr>
        <w:t xml:space="preserve">, Moran’s I is:</w:t>
      </w:r>
    </w:p>
    <w:p>
      <w:pPr>
        <w:spacing w:after="120" w:before="120"/>
        <w:jc w:val="center"/>
      </w:pPr>
      <w:r>
        <w:drawing>
          <wp:inline distT="0" distB="0" distL="0" distR="0">
            <wp:extent cx="1552575" cy="552450"/>
            <wp:effectExtent t="0" r="0" b="0" l="0"/>
            <wp:docPr id="1" name="morans_display" descr="morans_display" title="morans_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52575" cy="552450"/>
                    </a:xfrm>
                    <a:prstGeom prst="rect">
                      <a:avLst/>
                    </a:prstGeom>
                  </pic:spPr>
                </pic:pic>
              </a:graphicData>
            </a:graphic>
          </wp:inline>
        </w:drawing>
      </w:r>
    </w:p>
    <w:p>
      <w:pPr>
        <w:spacing w:after="120" w:line="280" w:lineRule="auto"/>
      </w:pPr>
      <w:r>
        <w:rPr>
          <w:rFonts w:ascii="Times New Roman" w:cs="Times New Roman" w:eastAsia="Times New Roman" w:hAnsi="Times New Roman"/>
          <w:color w:val="000000"/>
          <w:sz w:val="22"/>
          <w:szCs w:val="22"/>
        </w:rPr>
        <w:t xml:space="preserve">Large positive values indicate spatial clustering; values near zero indicate random distribution. Computation is performed via Squidpy using the custom graph as the spatial connectivity matrix.</w:t>
      </w:r>
    </w:p>
    <w:p>
      <w:pPr>
        <w:spacing w:after="100"/>
      </w:pPr>
    </w:p>
    <w:p>
      <w:pPr>
        <w:spacing w:after="120" w:line="280" w:lineRule="auto"/>
      </w:pPr>
      <w:r>
        <w:rPr>
          <w:rFonts w:ascii="Times New Roman" w:cs="Times New Roman" w:eastAsia="Times New Roman" w:hAnsi="Times New Roman"/>
          <w:b/>
          <w:bCs/>
          <w:color w:val="000000"/>
          <w:sz w:val="22"/>
          <w:szCs w:val="22"/>
        </w:rPr>
        <w:t xml:space="preserve">SpaGCN. </w:t>
      </w:r>
      <w:r>
        <w:rPr>
          <w:rFonts w:ascii="Times New Roman" w:cs="Times New Roman" w:eastAsia="Times New Roman" w:hAnsi="Times New Roman"/>
          <w:color w:val="000000"/>
          <w:sz w:val="22"/>
          <w:szCs w:val="22"/>
        </w:rPr>
        <w:t xml:space="preserve">A graph convolutional network that learns spatially coherent expression patterns via message passing. At each layer </w:t>
      </w:r>
    </w:p>
    <w:p>
      <w:pPr>
        <w:spacing w:after="120" w:before="120"/>
        <w:jc w:val="center"/>
      </w:pPr>
      <w:r>
        <w:drawing>
          <wp:inline distT="0" distB="0" distL="0" distR="0">
            <wp:extent cx="1581150" cy="219075"/>
            <wp:effectExtent t="0" r="0" b="0" l="0"/>
            <wp:docPr id="1" name="gcn_display" descr="gcn_display" title="gcn_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81150" cy="219075"/>
                    </a:xfrm>
                    <a:prstGeom prst="rect">
                      <a:avLst/>
                    </a:prstGeom>
                  </pic:spPr>
                </pic:pic>
              </a:graphicData>
            </a:graphic>
          </wp:inline>
        </w:drawing>
      </w:r>
    </w:p>
    <w:p>
      where 
      <w:r>
        <w:drawing>
          <wp:inline distT="0" distB="0" distL="0" distR="0">
            <wp:extent cx="676275" cy="142875"/>
            <wp:effectExtent t="0" r="0" b="0" l="0"/>
            <wp:docPr id="1" name="graph_G" descr="graph_G" title="graph_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76275" cy="142875"/>
                    </a:xfrm>
                    <a:prstGeom prst="rect">
                      <a:avLst/>
                    </a:prstGeom>
                  </pic:spPr>
                </pic:pic>
              </a:graphicData>
            </a:graphic>
          </wp:inline>
        </w:drawing>
      </w:r>
      <w:r>
        <w:rPr>
          <w:rFonts w:ascii="Times New Roman" w:cs="Times New Roman" w:eastAsia="Times New Roman" w:hAnsi="Times New Roman"/>
          <w:color w:val="000000"/>
          <w:sz w:val="22"/>
          <w:szCs w:val="22"/>
        </w:rPr>
        <w:t xml:space="preserve"> denotes the normalized adjacency matrix. The graph encodes the spatial neighborhood structure.</w:t>
      </w:r>
    </w:p>
    <w:p>
      <w:pPr>
        <w:spacing w:after="100"/>
      </w:pPr>
    </w:p>
    <w:p>
      <w:pPr>
        <w:spacing w:after="120" w:line="280" w:lineRule="auto"/>
      </w:pPr>
      <w:r>
        <w:rPr>
          <w:rFonts w:ascii="Times New Roman" w:cs="Times New Roman" w:eastAsia="Times New Roman" w:hAnsi="Times New Roman"/>
          <w:b/>
          <w:bCs/>
          <w:color w:val="000000"/>
          <w:sz w:val="22"/>
          <w:szCs w:val="22"/>
        </w:rPr>
        <w:t xml:space="preserve">SpaGFT / RayleighSelection. </w:t>
      </w:r>
      <w:r>
        <w:rPr>
          <w:rFonts w:ascii="Times New Roman" w:cs="Times New Roman" w:eastAsia="Times New Roman" w:hAnsi="Times New Roman"/>
          <w:color w:val="000000"/>
          <w:sz w:val="22"/>
          <w:szCs w:val="22"/>
        </w:rPr>
        <w:t xml:space="preserve">Graph signal processing methods that treat gene expression as a signal over the graph. The graph Laplacian is defined as </w:t>
      </w:r>
    </w:p>
    <w:p>
      <w:pPr>
        <w:spacing w:after="120" w:before="120"/>
        <w:jc w:val="center"/>
      </w:pPr>
      <w:r>
        <w:drawing>
          <wp:inline distT="0" distB="0" distL="0" distR="0">
            <wp:extent cx="647700" cy="171450"/>
            <wp:effectExtent t="0" r="0" b="0" l="0"/>
            <wp:docPr id="1" name="laplacian" descr="laplacian" title="laplac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47700" cy="171450"/>
                    </a:xfrm>
                    <a:prstGeom prst="rect">
                      <a:avLst/>
                    </a:prstGeom>
                  </pic:spPr>
                </pic:pic>
              </a:graphicData>
            </a:graphic>
          </wp:inline>
        </w:drawing>
      </w:r>
    </w:p>
    <w:p>Genes with low Rayleigh quotient </w:p>
    <w:p>
      <w:pPr>
        <w:spacing w:after="120" w:before="120"/>
        <w:jc w:val="center"/>
      </w:pPr>
      <w:r>
        <w:drawing>
          <wp:inline distT="0" distB="0" distL="0" distR="0">
            <wp:extent cx="866775" cy="295275"/>
            <wp:effectExtent t="0" r="0" b="0" l="0"/>
            <wp:docPr id="1" name="rayleigh_display" descr="rayleigh_display" title="rayleigh_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66775" cy="295275"/>
                    </a:xfrm>
                    <a:prstGeom prst="rect">
                      <a:avLst/>
                    </a:prstGeom>
                  </pic:spPr>
                </pic:pic>
              </a:graphicData>
            </a:graphic>
          </wp:inline>
        </w:drawing>
      </w:r>
    </w:p>
    <w:p>
      <w:pPr>
        <w:spacing w:after="120" w:line="280" w:lineRule="auto"/>
      </w:pPr>
      <w:r>
        <w:rPr>
          <w:rFonts w:ascii="Times New Roman" w:cs="Times New Roman" w:eastAsia="Times New Roman" w:hAnsi="Times New Roman"/>
          <w:color w:val="000000"/>
          <w:sz w:val="22"/>
          <w:szCs w:val="22"/>
        </w:rPr>
        <w:t xml:space="preserve">are smooth over the graph and thus spatially structured. SpaGFT projects gene signals onto the Laplacian eigenbasis to identify dominant spatial frequency components.</w:t>
      </w:r>
    </w:p>
    <w:p>
      <w:pPr>
        <w:spacing w:after="100"/>
      </w:pPr>
    </w:p>
    <w:p>
      <w:pPr>
        <w:spacing w:after="120" w:line="280" w:lineRule="auto"/>
      </w:pPr>
      <w:r>
        <w:rPr>
          <w:rFonts w:ascii="Times New Roman" w:cs="Times New Roman" w:eastAsia="Times New Roman" w:hAnsi="Times New Roman"/>
          <w:b/>
          <w:bCs/>
          <w:color w:val="000000"/>
          <w:sz w:val="22"/>
          <w:szCs w:val="22"/>
        </w:rPr>
        <w:t xml:space="preserve">scGCO. </w:t>
      </w:r>
      <w:r>
        <w:rPr>
          <w:rFonts w:ascii="Times New Roman" w:cs="Times New Roman" w:eastAsia="Times New Roman" w:hAnsi="Times New Roman"/>
          <w:color w:val="000000"/>
          <w:sz w:val="22"/>
          <w:szCs w:val="22"/>
        </w:rPr>
        <w:t xml:space="preserve">A probabilistic segmentation method using a Hidden Markov Random Field with graph cut optimization. It identifies spatially coherent expression domains by minimizing an energy functional over the graph.</w:t>
      </w:r>
    </w:p>
    <w:p>
      <w:pPr>
        <w:spacing w:after="60"/>
      </w:pPr>
    </w:p>
    <w:p>
      <w:pPr>
        <w:spacing w:after="120" w:line="280" w:lineRule="auto"/>
      </w:pPr>
      <w:r>
        <w:rPr>
          <w:rFonts w:ascii="Times New Roman" w:cs="Times New Roman" w:eastAsia="Times New Roman" w:hAnsi="Times New Roman"/>
          <w:b/>
          <w:bCs/>
          <w:color w:val="000000"/>
          <w:sz w:val="22"/>
          <w:szCs w:val="22"/>
        </w:rPr>
        <w:t xml:space="preserve">SINFONIA. </w:t>
      </w:r>
      <w:r>
        <w:rPr>
          <w:rFonts w:ascii="Times New Roman" w:cs="Times New Roman" w:eastAsia="Times New Roman" w:hAnsi="Times New Roman"/>
          <w:color w:val="000000"/>
          <w:sz w:val="22"/>
          <w:szCs w:val="22"/>
        </w:rPr>
        <w:t xml:space="preserve">A graph-aware scoring method with neighborhood aggregation for spatial gene ranking.</w:t>
      </w:r>
    </w:p>
    <w:p>
      <w:pPr>
        <w:spacing w:after="60"/>
      </w:pPr>
    </w:p>
    <w:p>
      <w:pPr>
        <w:spacing w:after="120" w:line="280" w:lineRule="auto"/>
      </w:pPr>
      <w:r>
        <w:rPr>
          <w:rFonts w:ascii="Times New Roman" w:cs="Times New Roman" w:eastAsia="Times New Roman" w:hAnsi="Times New Roman"/>
          <w:b/>
          <w:bCs/>
          <w:color w:val="000000"/>
          <w:sz w:val="22"/>
          <w:szCs w:val="22"/>
        </w:rPr>
        <w:t xml:space="preserve">Giotto binSpect. </w:t>
      </w:r>
      <w:r>
        <w:rPr>
          <w:rFonts w:ascii="Times New Roman" w:cs="Times New Roman" w:eastAsia="Times New Roman" w:hAnsi="Times New Roman"/>
          <w:color w:val="000000"/>
          <w:sz w:val="22"/>
          <w:szCs w:val="22"/>
        </w:rPr>
        <w:t xml:space="preserve">A spatial statistics method supporting user-defined network structures for SVG detection.</w:t>
      </w:r>
    </w:p>
    <w:p>
      <w:pPr>
        <w:spacing w:after="160"/>
      </w:pPr>
    </w:p>
    <w:p>
      <w:pPr>
        <w:spacing w:after="80" w:before="220"/>
      </w:pPr>
      <w:r>
        <w:rPr>
          <w:rFonts w:ascii="Times New Roman" w:cs="Times New Roman" w:eastAsia="Times New Roman" w:hAnsi="Times New Roman"/>
          <w:b/>
          <w:bCs/>
          <w:i/>
          <w:iCs/>
          <w:color w:val="000000"/>
          <w:sz w:val="22"/>
          <w:szCs w:val="22"/>
        </w:rPr>
        <w:t xml:space="preserve">3.4 HPC Execution</w:t>
      </w:r>
    </w:p>
    <w:p>
      <w:pPr>
        <w:spacing w:after="120" w:line="280" w:lineRule="auto"/>
      </w:pPr>
      <w:r>
        <w:rPr>
          <w:rFonts w:ascii="Times New Roman" w:cs="Times New Roman" w:eastAsia="Times New Roman" w:hAnsi="Times New Roman"/>
          <w:color w:val="000000"/>
          <w:sz w:val="22"/>
          <w:szCs w:val="22"/>
        </w:rPr>
        <w:t xml:space="preserve">The pipeline is executed on a university HPC cluster via Slurm. The original monolithic job failed at the 12-hour walltime limit. The redesigned approach decomposes computation into per-sample array tasks:</w:t>
      </w:r>
    </w:p>
    <w:p>
      <w:pPr>
        <w:pStyle w:val="ListParagraph"/>
        <w:numPr>
          <w:ilvl w:val="0"/>
          <w:numId w:val="2"/>
        </w:numPr>
        <w:spacing w:after="80" w:line="276" w:lineRule="auto"/>
      </w:pPr>
      <w:r>
        <w:rPr>
          <w:rFonts w:ascii="Times New Roman" w:cs="Times New Roman" w:eastAsia="Times New Roman" w:hAnsi="Times New Roman"/>
          <w:color w:val="000000"/>
          <w:sz w:val="22"/>
          <w:szCs w:val="22"/>
        </w:rPr>
        <w:t xml:space="preserve">One array task per sample, processing all ~50 graphs for that sample independently</w:t>
      </w:r>
    </w:p>
    <w:p>
      <w:pPr>
        <w:pStyle w:val="ListParagraph"/>
        <w:numPr>
          <w:ilvl w:val="0"/>
          <w:numId w:val="2"/>
        </w:numPr>
        <w:spacing w:after="80" w:line="276" w:lineRule="auto"/>
      </w:pPr>
      <w:r>
        <w:rPr>
          <w:rFonts w:ascii="Times New Roman" w:cs="Times New Roman" w:eastAsia="Times New Roman" w:hAnsi="Times New Roman"/>
          <w:color w:val="000000"/>
          <w:sz w:val="22"/>
          <w:szCs w:val="22"/>
        </w:rPr>
        <w:t xml:space="preserve">Concurrency controlled via %4 (at most 4 simultaneous tasks)</w:t>
      </w:r>
    </w:p>
    <w:p>
      <w:pPr>
        <w:pStyle w:val="ListParagraph"/>
        <w:numPr>
          <w:ilvl w:val="0"/>
          <w:numId w:val="2"/>
        </w:numPr>
        <w:spacing w:after="80" w:line="276" w:lineRule="auto"/>
      </w:pPr>
      <w:r>
        <w:rPr>
          <w:rFonts w:ascii="Times New Roman" w:cs="Times New Roman" w:eastAsia="Times New Roman" w:hAnsi="Times New Roman"/>
          <w:color w:val="000000"/>
          <w:sz w:val="22"/>
          <w:szCs w:val="22"/>
        </w:rPr>
        <w:t xml:space="preserve">Graph-level checkpoint logic: completed Parquet outputs are skipped, enabling safe resubmission</w:t>
      </w:r>
    </w:p>
    <w:p>
      <w:pPr>
        <w:spacing w:after="60"/>
      </w:pPr>
    </w:p>
    <w:p>
      The active array job is 
      <w:r>
        <w:rPr>
          <w:rFonts w:ascii="Courier New" w:cs="Courier New" w:eastAsia="Courier New" w:hAnsi="Courier New"/>
          <w:color w:val="000000"/>
          <w:sz w:val="20"/>
          <w:szCs w:val="20"/>
        </w:rPr>
        <w:t xml:space="preserve">45781707_[0-19%4]</w:t>
      </w:r>
      <w:r>
        <w:rPr>
          <w:rFonts w:ascii="Times New Roman" w:cs="Times New Roman" w:eastAsia="Times New Roman" w:hAnsi="Times New Roman"/>
          <w:color w:val="000000"/>
          <w:sz w:val="22"/>
          <w:szCs w:val="22"/>
        </w:rPr>
        <w:t xml:space="preserve">.</w:t>
      </w:r>
    </w:p>
    <w:p>
      <w:pPr>
        <w:spacing w:after="200"/>
      </w:pPr>
    </w:p>
    <w:p>
      <w:pPr>
        <w:pBdr>
          <w:bottom w:val="single" w:color="000000" w:sz="2" w:space="1"/>
        </w:pBdr>
        <w:spacing w:after="140" w:before="300"/>
      </w:pPr>
      <w:r>
        <w:rPr>
          <w:rFonts w:ascii="Times New Roman" w:cs="Times New Roman" w:eastAsia="Times New Roman" w:hAnsi="Times New Roman"/>
          <w:b/>
          <w:bCs/>
          <w:color w:val="000000"/>
          <w:sz w:val="22"/>
          <w:szCs w:val="22"/>
        </w:rPr>
        <w:t xml:space="preserve">4. CURRENT RESULTS</w:t>
      </w:r>
    </w:p>
    <w:p>
      <w:pPr>
        <w:spacing w:after="120" w:line="280" w:lineRule="auto"/>
      </w:pPr>
      <w:r>
        <w:rPr>
          <w:rFonts w:ascii="Times New Roman" w:cs="Times New Roman" w:eastAsia="Times New Roman" w:hAnsi="Times New Roman"/>
          <w:color w:val="000000"/>
          <w:sz w:val="22"/>
          <w:szCs w:val="22"/>
        </w:rPr>
        <w:t xml:space="preserve">The Moran’s I evaluation is the active computation. Table 4 summarizes progress.</w:t>
      </w:r>
    </w:p>
    <w:p>
      <w:pPr>
        <w:spacing w:after="60"/>
      </w:pPr>
    </w:p>
    <w:p>
      <w:pPr>
        <w:spacing w:after="80"/>
        <w:jc w:val="center"/>
      </w:pPr>
      <w:r>
        <w:rPr>
          <w:rFonts w:ascii="Times New Roman" w:cs="Times New Roman" w:eastAsia="Times New Roman" w:hAnsi="Times New Roman"/>
          <w:i/>
          <w:iCs/>
          <w:color w:val="000000"/>
          <w:sz w:val="22"/>
          <w:szCs w:val="22"/>
        </w:rPr>
        <w:t xml:space="preserve">Table 4. Moran’s I computation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2"/>
                <w:szCs w:val="22"/>
              </w:rPr>
              <w:t xml:space="preserve">Metric</w:t>
            </w:r>
          </w:p>
        </w:tc>
        <w:tc>
          <w:tcPr>
            <w:tcW w:type="dxa" w:w="5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2"/>
                <w:szCs w:val="22"/>
              </w:rPr>
              <w:t xml:space="preserve">Value</w:t>
            </w:r>
          </w:p>
        </w:tc>
      </w:tr>
      <w:tr>
        <w:tc>
          <w:tcPr>
            <w:tcW w:type="dxa" w:w="4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Active algorithm</w:t>
            </w:r>
          </w:p>
        </w:tc>
        <w:tc>
          <w:tcPr>
            <w:tcW w:type="dxa" w:w="5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Moran’s I (Squidpy)</w:t>
            </w:r>
          </w:p>
        </w:tc>
      </w:tr>
      <w:tr>
        <w:tc>
          <w:tcPr>
            <w:tcW w:type="dxa" w:w="4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Samples in current run</w:t>
            </w:r>
          </w:p>
        </w:tc>
        <w:tc>
          <w:tcPr>
            <w:tcW w:type="dxa" w:w="5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20</w:t>
            </w:r>
          </w:p>
        </w:tc>
      </w:tr>
      <w:tr>
        <w:tc>
          <w:tcPr>
            <w:tcW w:type="dxa" w:w="4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Graph-level outputs completed</w:t>
            </w:r>
          </w:p>
        </w:tc>
        <w:tc>
          <w:tcPr>
            <w:tcW w:type="dxa" w:w="5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179</w:t>
            </w:r>
          </w:p>
        </w:tc>
      </w:tr>
      <w:tr>
        <w:tc>
          <w:tcPr>
            <w:tcW w:type="dxa" w:w="4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Sample result directories present</w:t>
            </w:r>
          </w:p>
        </w:tc>
        <w:tc>
          <w:tcPr>
            <w:tcW w:type="dxa" w:w="5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4</w:t>
            </w:r>
          </w:p>
        </w:tc>
      </w:tr>
      <w:tr>
        <w:tc>
          <w:tcPr>
            <w:tcW w:type="dxa" w:w="4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Estimated total outputs (20 samples)</w:t>
            </w:r>
          </w:p>
        </w:tc>
        <w:tc>
          <w:tcPr>
            <w:tcW w:type="dxa" w:w="5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~1,000</w:t>
            </w:r>
          </w:p>
        </w:tc>
      </w:tr>
      <w:tr>
        <w:tc>
          <w:tcPr>
            <w:tcW w:type="dxa" w:w="4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Completion</w:t>
            </w:r>
          </w:p>
        </w:tc>
        <w:tc>
          <w:tcPr>
            <w:tcW w:type="dxa" w:w="5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~17.9%</w:t>
            </w:r>
          </w:p>
        </w:tc>
      </w:tr>
      <w:tr>
        <w:tc>
          <w:tcPr>
            <w:tcW w:type="dxa" w:w="4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Slurm array job</w:t>
            </w:r>
          </w:p>
        </w:tc>
        <w:tc>
          <w:tcPr>
            <w:tcW w:type="dxa" w:w="5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45781707_[0-19%4]</w:t>
            </w:r>
          </w:p>
        </w:tc>
      </w:tr>
    </w:tbl>
    <w:p>
      <w:pPr>
        <w:spacing w:after="200"/>
      </w:pPr>
    </w:p>
    <w:p>
      <w:pPr>
        <w:pBdr>
          <w:bottom w:val="single" w:color="000000" w:sz="2" w:space="1"/>
        </w:pBdr>
        <w:spacing w:after="140" w:before="300"/>
      </w:pPr>
      <w:r>
        <w:rPr>
          <w:rFonts w:ascii="Times New Roman" w:cs="Times New Roman" w:eastAsia="Times New Roman" w:hAnsi="Times New Roman"/>
          <w:b/>
          <w:bCs/>
          <w:color w:val="000000"/>
          <w:sz w:val="22"/>
          <w:szCs w:val="22"/>
        </w:rPr>
        <w:t xml:space="preserve">5. PLANNED DOWNSTREAM ANALYSIS</w:t>
      </w:r>
    </w:p>
    <w:p>
      <w:pPr>
        <w:spacing w:after="120" w:line="280" w:lineRule="auto"/>
      </w:pPr>
      <w:r>
        <w:rPr>
          <w:rFonts w:ascii="Times New Roman" w:cs="Times New Roman" w:eastAsia="Times New Roman" w:hAnsi="Times New Roman"/>
          <w:color w:val="000000"/>
          <w:sz w:val="22"/>
          <w:szCs w:val="22"/>
        </w:rPr>
        <w:t xml:space="preserve">Upon pipeline completion, the result tables support the following analyses: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2"/>
                <w:szCs w:val="22"/>
              </w:rPr>
              <w:t xml:space="preserve">Analysis</w:t>
            </w:r>
          </w:p>
        </w:tc>
        <w:tc>
          <w:tcPr>
            <w:tcW w:type="dxa" w:w="3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2"/>
                <w:szCs w:val="22"/>
              </w:rPr>
              <w:t xml:space="preserve">Metric</w:t>
            </w:r>
          </w:p>
        </w:tc>
        <w:tc>
          <w:tcPr>
            <w:tcW w:type="dxa" w:w="3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2"/>
                <w:szCs w:val="22"/>
              </w:rPr>
              <w:t xml:space="preserve">Scientific Question</w:t>
            </w:r>
          </w:p>
        </w:tc>
      </w:tr>
      <w:tr>
        <w:tc>
          <w:tcPr>
            <w:tcW w:type="dxa" w:w="2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Graph sensitivity</w:t>
            </w:r>
          </w:p>
        </w:tc>
        <w:tc>
          <w:tcPr>
            <w:tcW w:type="dxa" w:w="3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drawing>
                <wp:inline distT="0" distB="0" distL="0" distR="0">
                  <wp:extent cx="1562100" cy="190500"/>
                  <wp:effectExtent t="0" r="0" b="0" l="0"/>
                  <wp:docPr id="1" name="sensitivity_display" descr="sensitivity_display" title="sensitivity_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62100" cy="190500"/>
                          </a:xfrm>
                          <a:prstGeom prst="rect">
                            <a:avLst/>
                          </a:prstGeom>
                        </pic:spPr>
                      </pic:pic>
                    </a:graphicData>
                  </a:graphic>
                </wp:inline>
              </w:drawing>
            </w:r>
          </w:p>
        </w:tc>
        <w:tc>
          <w:tcPr>
            <w:tcW w:type="dxa" w:w="3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Does graph topology alter which genes are detected as spatially variable?</w:t>
            </w:r>
          </w:p>
        </w:tc>
      </w:tr>
      <w:tr>
        <w:tc>
          <w:tcPr>
            <w:tcW w:type="dxa" w:w="2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Modality contribution</w:t>
            </w:r>
          </w:p>
        </w:tc>
        <w:tc>
          <w:tcPr>
            <w:tcW w:type="dxa" w:w="3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drawing>
                <wp:inline distT="0" distB="0" distL="0" distR="0">
                  <wp:extent cx="1476375" cy="257175"/>
                  <wp:effectExtent t="0" r="0" b="0" l="0"/>
                  <wp:docPr id="1" name="modality_display" descr="modality_display" title="modality_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476375" cy="257175"/>
                          </a:xfrm>
                          <a:prstGeom prst="rect">
                            <a:avLst/>
                          </a:prstGeom>
                        </pic:spPr>
                      </pic:pic>
                    </a:graphicData>
                  </a:graphic>
                </wp:inline>
              </w:drawing>
            </w:r>
          </w:p>
        </w:tc>
        <w:tc>
          <w:tcPr>
            <w:tcW w:type="dxa" w:w="3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Does adding morphology or expression features improve detection?</w:t>
            </w:r>
          </w:p>
        </w:tc>
      </w:tr>
      <w:tr>
        <w:tc>
          <w:tcPr>
            <w:tcW w:type="dxa" w:w="2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Cross-method agreement</w:t>
            </w:r>
          </w:p>
        </w:tc>
        <w:tc>
          <w:tcPr>
            <w:tcW w:type="dxa" w:w="3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Jaccard similarity of top-k SVG sets across methods</w:t>
            </w:r>
          </w:p>
        </w:tc>
        <w:tc>
          <w:tcPr>
            <w:tcW w:type="dxa" w:w="3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Do statistical and deep-learning methods identify concordant SVGs?</w:t>
            </w:r>
          </w:p>
        </w:tc>
      </w:tr>
      <w:tr>
        <w:tc>
          <w:tcPr>
            <w:tcW w:type="dxa" w:w="2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Computational cost</w:t>
            </w:r>
          </w:p>
        </w:tc>
        <w:tc>
          <w:tcPr>
            <w:tcW w:type="dxa" w:w="3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Wall time and peak memory per (sample, graph, method)</w:t>
            </w:r>
          </w:p>
        </w:tc>
        <w:tc>
          <w:tcPr>
            <w:tcW w:type="dxa" w:w="3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Which methods scale to large datasets under HPC constraints?</w:t>
            </w:r>
          </w:p>
        </w:tc>
      </w:tr>
      <w:tr>
        <w:tc>
          <w:tcPr>
            <w:tcW w:type="dxa" w:w="2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Biological validity</w:t>
            </w:r>
          </w:p>
        </w:tc>
        <w:tc>
          <w:tcPr>
            <w:tcW w:type="dxa" w:w="3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Overlap with known tissue marker genes</w:t>
            </w:r>
          </w:p>
        </w:tc>
        <w:tc>
          <w:tcPr>
            <w:tcW w:type="dxa" w:w="3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Are pipeline-detected SVGs biologically meaningful?</w:t>
            </w:r>
          </w:p>
        </w:tc>
      </w:tr>
    </w:tbl>
    <w:p>
      <w:pPr>
        <w:spacing w:after="200"/>
      </w:pPr>
    </w:p>
    <w:p>
      <w:pPr>
        <w:pBdr>
          <w:bottom w:val="single" w:color="000000" w:sz="2" w:space="1"/>
        </w:pBdr>
        <w:spacing w:after="140" w:before="300"/>
      </w:pPr>
      <w:r>
        <w:rPr>
          <w:rFonts w:ascii="Times New Roman" w:cs="Times New Roman" w:eastAsia="Times New Roman" w:hAnsi="Times New Roman"/>
          <w:b/>
          <w:bCs/>
          <w:color w:val="000000"/>
          <w:sz w:val="22"/>
          <w:szCs w:val="22"/>
        </w:rPr>
        <w:t xml:space="preserve">6. CHALLENGES AND KNOWN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2"/>
                <w:szCs w:val="22"/>
              </w:rPr>
              <w:t xml:space="preserve">Issue</w:t>
            </w:r>
          </w:p>
        </w:tc>
        <w:tc>
          <w:tcPr>
            <w:tcW w:type="dxa" w:w="1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2"/>
                <w:szCs w:val="22"/>
              </w:rPr>
              <w:t xml:space="preserve">Status</w:t>
            </w:r>
          </w:p>
        </w:tc>
        <w:tc>
          <w:tcPr>
            <w:tcW w:type="dxa" w:w="5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2"/>
                <w:szCs w:val="22"/>
              </w:rPr>
              <w:t xml:space="preserve">Resolution</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Slurm walltime limit (12 h)</w:t>
            </w:r>
          </w:p>
        </w:tc>
        <w:tc>
          <w:tcPr>
            <w:tcW w:type="dxa" w:w="1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Resolved</w:t>
            </w:r>
          </w:p>
        </w:tc>
        <w:tc>
          <w:tcPr>
            <w:tcW w:type="dxa" w:w="5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Per-sample array job decomposition; graph-level checkpointing</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Giotto index bug (+1L)</w:t>
            </w:r>
          </w:p>
        </w:tc>
        <w:tc>
          <w:tcPr>
            <w:tcW w:type="dxa" w:w="1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Open</w:t>
            </w:r>
          </w:p>
        </w:tc>
        <w:tc>
          <w:tcPr>
            <w:tcW w:type="dxa" w:w="5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1-indexed cell IDs incremented again; remove redundant +1L before scale-up</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Environment heterogeneity</w:t>
            </w:r>
          </w:p>
        </w:tc>
        <w:tc>
          <w:tcPr>
            <w:tcW w:type="dxa" w:w="1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Ongoing</w:t>
            </w:r>
          </w:p>
        </w:tc>
        <w:tc>
          <w:tcPr>
            <w:tcW w:type="dxa" w:w="5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Separate conda environments for Python (Steps 1–2) and R (Giotto, RayleighSelection)</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SpaGCN GPU requirement</w:t>
            </w:r>
          </w:p>
        </w:tc>
        <w:tc>
          <w:tcPr>
            <w:tcW w:type="dxa" w:w="1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Planned</w:t>
            </w:r>
          </w:p>
        </w:tc>
        <w:tc>
          <w:tcPr>
            <w:tcW w:type="dxa" w:w="5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Dedicated GPU Slurm partition required</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O(S × G × M) cost</w:t>
            </w:r>
          </w:p>
        </w:tc>
        <w:tc>
          <w:tcPr>
            <w:tcW w:type="dxa" w:w="1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Ongoing</w:t>
            </w:r>
          </w:p>
        </w:tc>
        <w:tc>
          <w:tcPr>
            <w:tcW w:type="dxa" w:w="5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22"/>
                <w:szCs w:val="22"/>
              </w:rPr>
              <w:t xml:space="preserve">Method prioritization; sample-level parallelism via array jobs</w:t>
            </w:r>
          </w:p>
        </w:tc>
      </w:tr>
    </w:tbl>
    <w:p>
      <w:pPr>
        <w:spacing w:after="200"/>
      </w:pPr>
    </w:p>
    <w:p>
      <w:pPr>
        <w:pBdr>
          <w:bottom w:val="single" w:color="000000" w:sz="2" w:space="1"/>
        </w:pBdr>
        <w:spacing w:after="140" w:before="300"/>
      </w:pPr>
      <w:r>
        <w:rPr>
          <w:rFonts w:ascii="Times New Roman" w:cs="Times New Roman" w:eastAsia="Times New Roman" w:hAnsi="Times New Roman"/>
          <w:b/>
          <w:bCs/>
          <w:color w:val="000000"/>
          <w:sz w:val="22"/>
          <w:szCs w:val="22"/>
        </w:rPr>
        <w:t xml:space="preserve">7. CONCLUSION</w:t>
      </w:r>
    </w:p>
    <w:p>
      <w:pPr>
        <w:spacing w:after="120" w:line="280" w:lineRule="auto"/>
      </w:pPr>
      <w:r>
        <w:rPr>
          <w:rFonts w:ascii="Times New Roman" w:cs="Times New Roman" w:eastAsia="Times New Roman" w:hAnsi="Times New Roman"/>
          <w:color w:val="000000"/>
          <w:sz w:val="22"/>
          <w:szCs w:val="22"/>
        </w:rPr>
        <w:t xml:space="preserve">We have described a modular, graph-centric pipeline for benchmarking spatially variable gene detection in spatial transcriptomics. By treating graph construction as an explicit experimental variable — spanning four feature modalities and six graph families — the framework enables controlled, systematic study of how spatial neighborhood definition influences SVG detection outcomes.</w:t>
      </w:r>
    </w:p>
    <w:p>
      <w:pPr>
        <w:spacing w:after="120" w:line="280" w:lineRule="auto"/>
      </w:pPr>
      <w:r>
        <w:rPr>
          <w:rFonts w:ascii="Times New Roman" w:cs="Times New Roman" w:eastAsia="Times New Roman" w:hAnsi="Times New Roman"/>
          <w:color w:val="000000"/>
          <w:sz w:val="22"/>
          <w:szCs w:val="22"/>
        </w:rPr>
        <w:t xml:space="preserve">The pipeline’s decoupled architecture, Parquet-based storage, and HPC-aware execution design make it tractable at the scale of hundreds of samples and thousands of graph-method combinations. Completion of the benchmark will provide the first large-scale evidence on the sensitivity of SVG detection to graph topology, with implications for method development and best-practice recommendations in the spatial transcriptomics community.</w:t>
      </w:r>
    </w:p>
    <w:p>
      <w:pPr>
        <w:spacing w:after="200"/>
      </w:pPr>
    </w:p>
    <w:p>
      <w:pPr>
        <w:pBdr>
          <w:bottom w:val="single" w:color="000000" w:sz="2" w:space="1"/>
        </w:pBdr>
        <w:spacing w:after="140" w:before="300"/>
      </w:pPr>
      <w:r>
        <w:rPr>
          <w:rFonts w:ascii="Times New Roman" w:cs="Times New Roman" w:eastAsia="Times New Roman" w:hAnsi="Times New Roman"/>
          <w:b/>
          <w:bCs/>
          <w:color w:val="000000"/>
          <w:sz w:val="22"/>
          <w:szCs w:val="22"/>
        </w:rPr>
        <w:t xml:space="preserve">REFERENCES</w:t>
      </w:r>
    </w:p>
    <w:p>
      <w:pPr>
        <w:spacing w:after="120" w:line="280" w:lineRule="auto"/>
      </w:pPr>
      <w:r>
        <w:rPr>
          <w:rFonts w:ascii="Times New Roman" w:cs="Times New Roman" w:eastAsia="Times New Roman" w:hAnsi="Times New Roman"/>
          <w:color w:val="000000"/>
          <w:sz w:val="22"/>
          <w:szCs w:val="22"/>
        </w:rPr>
        <w:t xml:space="preserve">[1] STimage-1K4M dataset. Human spatial transcriptomics slides.</w:t>
      </w:r>
    </w:p>
    <w:p>
      <w:pPr>
        <w:spacing w:after="120" w:line="280" w:lineRule="auto"/>
      </w:pPr>
      <w:r>
        <w:rPr>
          <w:rFonts w:ascii="Times New Roman" w:cs="Times New Roman" w:eastAsia="Times New Roman" w:hAnsi="Times New Roman"/>
          <w:color w:val="000000"/>
          <w:sz w:val="22"/>
          <w:szCs w:val="22"/>
        </w:rPr>
        <w:t xml:space="preserve">[2] Palla et al. (2022). Squidpy: a scalable framework for spatial omics analysis. Nature Methods.</w:t>
      </w:r>
    </w:p>
    <w:p>
      <w:pPr>
        <w:spacing w:after="120" w:line="280" w:lineRule="auto"/>
      </w:pPr>
      <w:r>
        <w:rPr>
          <w:rFonts w:ascii="Times New Roman" w:cs="Times New Roman" w:eastAsia="Times New Roman" w:hAnsi="Times New Roman"/>
          <w:color w:val="000000"/>
          <w:sz w:val="22"/>
          <w:szCs w:val="22"/>
        </w:rPr>
        <w:t xml:space="preserve">[3] Hu et al. (2021). SpaGCN: integrating gene expression, spatial location and histology to identify spatial domains. Nature Methods.</w:t>
      </w:r>
    </w:p>
    <w:p>
      <w:pPr>
        <w:spacing w:after="120" w:line="280" w:lineRule="auto"/>
      </w:pPr>
      <w:r>
        <w:rPr>
          <w:rFonts w:ascii="Times New Roman" w:cs="Times New Roman" w:eastAsia="Times New Roman" w:hAnsi="Times New Roman"/>
          <w:color w:val="000000"/>
          <w:sz w:val="22"/>
          <w:szCs w:val="22"/>
        </w:rPr>
        <w:t xml:space="preserve">[4] Hu et al. (2022). SpaGFT: graph Fourier transform for analysis of spatial transcriptomics. Communications Biology.</w:t>
      </w:r>
    </w:p>
    <w:p>
      <w:pPr>
        <w:spacing w:after="120" w:line="280" w:lineRule="auto"/>
      </w:pPr>
      <w:r>
        <w:rPr>
          <w:rFonts w:ascii="Times New Roman" w:cs="Times New Roman" w:eastAsia="Times New Roman" w:hAnsi="Times New Roman"/>
          <w:color w:val="000000"/>
          <w:sz w:val="22"/>
          <w:szCs w:val="22"/>
        </w:rPr>
        <w:t xml:space="preserve">[5] Dries et al. (2021). Giotto: a toolbox for integrative analysis and visualization of spatial expression data. Genome Biology.</w:t>
      </w:r>
    </w:p>
    <w:p>
      <w:pPr>
        <w:spacing w:after="120" w:line="280" w:lineRule="auto"/>
      </w:pPr>
      <w:r>
        <w:rPr>
          <w:rFonts w:ascii="Times New Roman" w:cs="Times New Roman" w:eastAsia="Times New Roman" w:hAnsi="Times New Roman"/>
          <w:color w:val="000000"/>
          <w:sz w:val="22"/>
          <w:szCs w:val="22"/>
        </w:rPr>
        <w:t xml:space="preserve">[6] Peng et al. (2021). scGCO: identifying spatially variable genes with graph cuts. Briefings in Bioinformatics.</w:t>
      </w:r>
    </w:p>
    <w:p>
      <w:pPr>
        <w:spacing w:after="120" w:line="280" w:lineRule="auto"/>
      </w:pPr>
      <w:r>
        <w:rPr>
          <w:rFonts w:ascii="Times New Roman" w:cs="Times New Roman" w:eastAsia="Times New Roman" w:hAnsi="Times New Roman"/>
          <w:color w:val="000000"/>
          <w:sz w:val="22"/>
          <w:szCs w:val="22"/>
        </w:rPr>
        <w:t xml:space="preserve">[7] Zhao et al. (2021). Spatial mechanistically-informed expression normalization. Cell Reports Methods.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Pr>
        <w:rFonts w:ascii="Times New Roman" w:cs="Times New Roman" w:eastAsia="Times New Roman" w:hAnsi="Times New Roman"/>
        <w:color w:val="000000"/>
        <w:sz w:val="22"/>
        <w:szCs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a3e4687146a3ff68a62d0c9c1d7ed81fb006d32.png"/><Relationship Id="rId9" Type="http://schemas.openxmlformats.org/officeDocument/2006/relationships/image" Target="media/be6887f924047334d01ce0e7233de21886ab8e22.png"/><Relationship Id="rId10" Type="http://schemas.openxmlformats.org/officeDocument/2006/relationships/image" Target="media/8c53cba8546a628869b8354a2e76eed83c819021.png"/><Relationship Id="rId11" Type="http://schemas.openxmlformats.org/officeDocument/2006/relationships/image" Target="media/ee99ba402ae29aaca33b4a675b2410d1c3a078a2.png"/><Relationship Id="rId12" Type="http://schemas.openxmlformats.org/officeDocument/2006/relationships/image" Target="media/8412fec40440a279e543a2968620e4169af4a8c6.png"/><Relationship Id="rId13" Type="http://schemas.openxmlformats.org/officeDocument/2006/relationships/image" Target="media/ce1c3f344241118366cf14490a44c7bd25a463f6.png"/><Relationship Id="rId14" Type="http://schemas.openxmlformats.org/officeDocument/2006/relationships/image" Target="media/81c78aef633db12c32cc2e12d27f3c016bd91760.png"/><Relationship Id="rId15" Type="http://schemas.openxmlformats.org/officeDocument/2006/relationships/image" Target="media/30bf734be03caa69acc1cb7d5de72efa08b22cc0.png"/><Relationship Id="rId16" Type="http://schemas.openxmlformats.org/officeDocument/2006/relationships/image" Target="media/5172b7ff717226619c468d2e24fac9937c0d8034.png"/><Relationship Id="rId17" Type="http://schemas.openxmlformats.org/officeDocument/2006/relationships/image" Target="media/c101ae6468cc00ab6f100b7a2ac972e1925dd2cd.png"/><Relationship Id="rId18" Type="http://schemas.openxmlformats.org/officeDocument/2006/relationships/image" Target="media/d304098723cbf02baee883a0167ab9363fa82912.png"/><Relationship Id="rId19" Type="http://schemas.openxmlformats.org/officeDocument/2006/relationships/image" Target="media/39bd5c6960df3cb196a292613741374788d4f7d8.png"/><Relationship Id="rId20" Type="http://schemas.openxmlformats.org/officeDocument/2006/relationships/image" Target="media/6390c487a79a20a15cba94135feeb815d0a56ee0.png"/><Relationship Id="rId21" Type="http://schemas.openxmlformats.org/officeDocument/2006/relationships/image" Target="media/fe312816b0d01d8bfc0a13efbe203b79cac45ecf.png"/><Relationship Id="rId22" Type="http://schemas.openxmlformats.org/officeDocument/2006/relationships/image" Target="media/50df0190b7ce0275ec09494330b604d413bb3c53.png"/><Relationship Id="rId23" Type="http://schemas.openxmlformats.org/officeDocument/2006/relationships/image" Target="media/7c37a4bce86e0b6541b82b99e8a214e8a297919c.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2026-04-25T20:20:27.048Z</dcterms:created>
  <dcterms:modified xsi:type="dcterms:W3CDTF">2026-04-25T20:20:27.049Z</dcterms:modified>
</cp:coreProperties>
</file>

<file path=docProps/custom.xml><?xml version="1.0" encoding="utf-8"?>
<Properties xmlns="http://schemas.openxmlformats.org/officeDocument/2006/custom-properties" xmlns:vt="http://schemas.openxmlformats.org/officeDocument/2006/docPropsVTypes"/>
</file>