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Modified by docx4j 6.1.2 (Apache licensed) using REFERENCE JAXB in Oracle Java 11.0.16 on Linux -->
    <w:bookmarkStart w:name="承上你是一位世界頂級大學資訊工程教授及密碼學專家學者經過研析附件-0" w:id="1"/>
    <w:bookmarkEnd w:id="1"/>
    <w:p>
      <w:pPr>
        <w:pStyle w:val="Heading1"/>
      </w:pPr>
      <w:r>
        <w:rPr>
          <w:rFonts w:ascii="Microsoft JhengHei" w:hAnsi="Microsoft JhengHei" w:eastAsia="Microsoft JhengHei"/>
        </w:rPr>
        <w:t>承上，你是一位世界頂級大學資訊工程教授及密碼學專家學者，經過研析附件論文” 1140714-sum_preseving_RENEW.docx “ 發現了以下14點問題，請仔細研究後協助進行修正。</w:t>
      </w:r>
    </w:p>
    <w:p>
      <w:pPr>
        <w:pStyle w:val="ParagraphTextBody"/>
      </w:pPr>
      <w:r>
        <w:rPr>
          <w:rFonts w:ascii="Microsoft JhengHei" w:hAnsi="Microsoft JhengHei" w:eastAsia="Microsoft JhengHei"/>
        </w:rPr>
        <w:t>1、文字前後一致性，內容不要一直重複，要精簡化。有用到的東西再寫進來，例如 exponential chaotic map 與 Logical chaotic mapping，本演算法就只有使用 Logical chaotic mapping， 所以exponential chaotic map 相關資料應該刪減，避免造成誤導。</w:t>
      </w:r>
    </w:p>
    <w:p>
      <w:pPr>
        <w:pStyle w:val="ParagraphTextBody"/>
      </w:pPr>
      <w:r>
        <w:rPr>
          <w:rFonts w:ascii="Microsoft JhengHei" w:hAnsi="Microsoft JhengHei" w:eastAsia="Microsoft JhengHei"/>
        </w:rPr>
        <w:t>2、Exponential chaotic map、Logical chaotic mapping</w:t>
      </w:r>
      <w:r>
        <w:rPr>
          <w:rFonts w:ascii="Microsoft JhengHei" w:hAnsi="Microsoft JhengHei" w:eastAsia="Microsoft JhengHei"/>
        </w:rPr>
        <w:t xml:space="preserve"> </w:t>
      </w:r>
      <w:r>
        <w:rPr>
          <w:rFonts w:ascii="Microsoft JhengHei" w:hAnsi="Microsoft JhengHei" w:eastAsia="Microsoft JhengHei"/>
        </w:rPr>
        <w:t>Logical chaotic mapping 篇幅要再刪減，這個部分並非本篇論文主軸。</w:t>
      </w:r>
    </w:p>
    <w:p>
      <w:pPr>
        <w:pStyle w:val="ParagraphTextBody"/>
      </w:pPr>
      <w:r>
        <w:rPr>
          <w:rFonts w:ascii="Microsoft JhengHei" w:hAnsi="Microsoft JhengHei" w:eastAsia="Microsoft JhengHei"/>
        </w:rPr>
        <w:t>3、Proof of the SPE encryption scheme 融入Algorithm</w:t>
      </w:r>
      <w:r>
        <w:rPr>
          <w:rFonts w:ascii="Microsoft JhengHei" w:hAnsi="Microsoft JhengHei" w:eastAsia="Microsoft JhengHei"/>
        </w:rPr>
        <w:t xml:space="preserve"> </w:t>
      </w:r>
      <w:r>
        <w:rPr>
          <w:rFonts w:ascii="Microsoft JhengHei" w:hAnsi="Microsoft JhengHei" w:eastAsia="Microsoft JhengHei"/>
        </w:rPr>
        <w:t>4、Algorithm裡面變數都應該是斜圖</w:t>
      </w:r>
      <w:r>
        <w:rPr>
          <w:rFonts w:ascii="Microsoft JhengHei" w:hAnsi="Microsoft JhengHei" w:eastAsia="Microsoft JhengHei"/>
        </w:rPr>
        <w:t xml:space="preserve"> </w:t>
      </w:r>
      <w:r>
        <w:rPr>
          <w:rFonts w:ascii="Microsoft JhengHei" w:hAnsi="Microsoft JhengHei" w:eastAsia="Microsoft JhengHei"/>
        </w:rPr>
        <w:t>5、As show of fig 1 ...... ，在各張圖表都要使用這個方式詳細說明。</w:t>
      </w:r>
      <w:r>
        <w:rPr>
          <w:rFonts w:ascii="Microsoft JhengHei" w:hAnsi="Microsoft JhengHei" w:eastAsia="Microsoft JhengHei"/>
        </w:rPr>
        <w:t xml:space="preserve"> </w:t>
      </w:r>
      <w:r>
        <w:rPr>
          <w:rFonts w:ascii="Microsoft JhengHei" w:hAnsi="Microsoft JhengHei" w:eastAsia="Microsoft JhengHei"/>
        </w:rPr>
        <w:t>6、重點要求，文章中重複的部分講太多次，應該簡明扼要。另外，觀察 Invertible 、Reversibility 反覆出現，應該擇一進行論述。</w:t>
      </w:r>
      <w:r>
        <w:rPr>
          <w:rFonts w:ascii="Microsoft JhengHei" w:hAnsi="Microsoft JhengHei" w:eastAsia="Microsoft JhengHei"/>
        </w:rPr>
        <w:t xml:space="preserve"> </w:t>
      </w:r>
      <w:r>
        <w:rPr>
          <w:rFonts w:ascii="Microsoft JhengHei" w:hAnsi="Microsoft JhengHei" w:eastAsia="Microsoft JhengHei"/>
        </w:rPr>
        <w:t>7、用圖示的方式進行一個演算法的表示</w:t>
      </w:r>
      <w:r>
        <w:rPr>
          <w:rFonts w:ascii="Microsoft JhengHei" w:hAnsi="Microsoft JhengHei" w:eastAsia="Microsoft JhengHei"/>
        </w:rPr>
        <w:t xml:space="preserve"> </w:t>
      </w:r>
      <w:r>
        <w:rPr>
          <w:rFonts w:ascii="Microsoft JhengHei" w:hAnsi="Microsoft JhengHei" w:eastAsia="Microsoft JhengHei"/>
        </w:rPr>
        <w:t>8、Algorithm每個變數都要說明，並針對 SPE encryption scheme 置換、CASE1、CASE2、CASE3、CASE4，分別導入數字進行各個CASE的加密與還原作為適當的範例。</w:t>
      </w:r>
      <w:r>
        <w:rPr>
          <w:rFonts w:ascii="Microsoft JhengHei" w:hAnsi="Microsoft JhengHei" w:eastAsia="Microsoft JhengHei"/>
        </w:rPr>
        <w:t xml:space="preserve"> </w:t>
      </w:r>
      <w:r>
        <w:rPr>
          <w:rFonts w:ascii="Microsoft JhengHei" w:hAnsi="Microsoft JhengHei" w:eastAsia="Microsoft JhengHei"/>
        </w:rPr>
        <w:t>9、Fig. 4. Code execution architecture and process 刪掉</w:t>
      </w:r>
      <w:r>
        <w:rPr>
          <w:rFonts w:ascii="Microsoft JhengHei" w:hAnsi="Microsoft JhengHei" w:eastAsia="Microsoft JhengHei"/>
        </w:rPr>
        <w:t xml:space="preserve"> </w:t>
      </w:r>
      <w:r>
        <w:rPr>
          <w:rFonts w:ascii="Microsoft JhengHei" w:hAnsi="Microsoft JhengHei" w:eastAsia="Microsoft JhengHei"/>
        </w:rPr>
        <w:t>10、Fig. 10 要改用 table 說明，每個圖、每個表都要做說明。</w:t>
      </w:r>
      <w:r>
        <w:rPr>
          <w:rFonts w:ascii="Microsoft JhengHei" w:hAnsi="Microsoft JhengHei" w:eastAsia="Microsoft JhengHei"/>
        </w:rPr>
        <w:t xml:space="preserve"> </w:t>
      </w:r>
      <w:r>
        <w:rPr>
          <w:rFonts w:ascii="Microsoft JhengHei" w:hAnsi="Microsoft JhengHei" w:eastAsia="Microsoft JhengHei"/>
        </w:rPr>
        <w:t>11、括號補充太多，應該融入文章內容中。</w:t>
      </w:r>
      <w:r>
        <w:rPr>
          <w:rFonts w:ascii="Microsoft JhengHei" w:hAnsi="Microsoft JhengHei" w:eastAsia="Microsoft JhengHei"/>
        </w:rPr>
        <w:t xml:space="preserve"> </w:t>
      </w:r>
      <w:r>
        <w:rPr>
          <w:rFonts w:ascii="Microsoft JhengHei" w:hAnsi="Microsoft JhengHei" w:eastAsia="Microsoft JhengHei"/>
        </w:rPr>
        <w:t>12、要有完整的 轉置、加密、解密、還原轉置 的概念圖。</w:t>
      </w:r>
      <w:r>
        <w:rPr>
          <w:rFonts w:ascii="Microsoft JhengHei" w:hAnsi="Microsoft JhengHei" w:eastAsia="Microsoft JhengHei"/>
        </w:rPr>
        <w:t xml:space="preserve"> </w:t>
      </w:r>
      <w:r>
        <w:rPr>
          <w:rFonts w:ascii="Microsoft JhengHei" w:hAnsi="Microsoft JhengHei" w:eastAsia="Microsoft JhengHei"/>
        </w:rPr>
        <w:t>13、Proof of the SPE encryption scheme 的內容可以加在最後的Appendix篇章。</w:t>
      </w:r>
      <w:r>
        <w:rPr>
          <w:rFonts w:ascii="Microsoft JhengHei" w:hAnsi="Microsoft JhengHei" w:eastAsia="Microsoft JhengHei"/>
        </w:rPr>
        <w:t xml:space="preserve"> </w:t>
      </w:r>
      <w:r>
        <w:rPr>
          <w:rFonts w:ascii="Microsoft JhengHei" w:hAnsi="Microsoft JhengHei" w:eastAsia="Microsoft JhengHei"/>
        </w:rPr>
        <w:t>14、Example verification 數值代入進行分析。</w:t>
      </w:r>
    </w:p>
    <w:p>
      <w:pPr>
        <w:pStyle w:val="ParagraphTextBody"/>
      </w:pPr>
      <w:r>
        <w:rPr>
          <w:rFonts w:ascii="Microsoft JhengHei" w:hAnsi="Microsoft JhengHei" w:eastAsia="Microsoft JhengHei"/>
        </w:rPr>
        <w:t>以下是針對附件論文「1140714-sum_preseving_RENEW.docx」進行修正的建議與改進方案，根據您提出的14點問題逐一分析並提供解決方法：</w:t>
      </w:r>
    </w:p>
    <w:p>
      <w:pPr>
        <w:pStyle w:val="HorizontalLine"/>
      </w:pPr>
      <w:r>
        <w:rPr>
          <w:rFonts w:ascii="Microsoft JhengHei" w:hAnsi="Microsoft JhengHei" w:eastAsia="Microsoft JhengHei"/>
        </w:rPr>
      </w:r>
    </w:p>
    <w:bookmarkStart w:name="1-文字前後一致性避免重複精簡化" w:id="2"/>
    <w:bookmarkEnd w:id="2"/>
    <w:p>
      <w:pPr>
        <w:pStyle w:val="Heading3"/>
      </w:pPr>
      <w:r>
        <w:rPr>
          <w:rFonts w:ascii="Microsoft JhengHei" w:hAnsi="Microsoft JhengHei" w:eastAsia="Microsoft JhengHei"/>
        </w:rPr>
        <w:t>1. 文字前後一致性，避免重複，精簡化</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：文中多次重複提及「exponential chaotic map」與「logical chaotic mapping」，但實際演算法僅使用「logical chaotic mapping」，造成誤導。</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刪除所有與「exponential chaotic map」相關的描述，僅保留「logical chaotic mapping」的必要內容。</w:t>
      </w:r>
    </w:p>
    <w:p>
      <w:pPr>
        <w:pStyle w:val="ListBullet"/>
        <w:numPr>
          <w:ilvl w:val="0"/>
          <w:numId w:val="2"/>
        </w:numPr>
      </w:pPr>
      <w:r>
        <w:rPr>
          <w:rFonts w:ascii="Microsoft JhengHei" w:hAnsi="Microsoft JhengHei" w:eastAsia="Microsoft JhengHei"/>
        </w:rPr>
        <w:t>將「logical chaotic mapping」的篇幅進一步精簡，僅保留與演算法直接相關的部分。</w:t>
      </w:r>
    </w:p>
    <w:p>
      <w:pPr>
        <w:pStyle w:val="HorizontalLine"/>
      </w:pPr>
      <w:r>
        <w:rPr>
          <w:rFonts w:ascii="Microsoft JhengHei" w:hAnsi="Microsoft JhengHei" w:eastAsia="Microsoft JhengHei"/>
        </w:rPr>
      </w:r>
    </w:p>
    <w:bookmarkStart w:name="2-logical-chaotic-mapping-篇幅刪減" w:id="3"/>
    <w:bookmarkEnd w:id="3"/>
    <w:p>
      <w:pPr>
        <w:pStyle w:val="Heading3"/>
      </w:pPr>
      <w:r>
        <w:rPr>
          <w:rFonts w:ascii="Microsoft JhengHei" w:hAnsi="Microsoft JhengHei" w:eastAsia="Microsoft JhengHei"/>
        </w:rPr>
        <w:t>2. Logical chaotic mapping 篇幅刪減</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：此部分非論文主軸，篇幅過長。</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將「logical chaotic mapping」的描述集中於其在演算法中的應用，例如如何生成混沌序列以進行像素置換。</w:t>
      </w:r>
    </w:p>
    <w:p>
      <w:pPr>
        <w:pStyle w:val="ListBullet"/>
        <w:numPr>
          <w:ilvl w:val="0"/>
          <w:numId w:val="2"/>
        </w:numPr>
      </w:pPr>
      <w:r>
        <w:rPr>
          <w:rFonts w:ascii="Microsoft JhengHei" w:hAnsi="Microsoft JhengHei" w:eastAsia="Microsoft JhengHei"/>
        </w:rPr>
        <w:t>刪除冗長的理論背景，僅保留必要的公式與操作步驟。</w:t>
      </w:r>
    </w:p>
    <w:p>
      <w:pPr>
        <w:pStyle w:val="HorizontalLine"/>
      </w:pPr>
      <w:r>
        <w:rPr>
          <w:rFonts w:ascii="Microsoft JhengHei" w:hAnsi="Microsoft JhengHei" w:eastAsia="Microsoft JhengHei"/>
        </w:rPr>
      </w:r>
    </w:p>
    <w:bookmarkStart w:name="3-proof-of-the-spe-encryption-sc-0" w:id="4"/>
    <w:bookmarkEnd w:id="4"/>
    <w:p>
      <w:pPr>
        <w:pStyle w:val="Heading3"/>
      </w:pPr>
      <w:r>
        <w:rPr>
          <w:rFonts w:ascii="Microsoft JhengHei" w:hAnsi="Microsoft JhengHei" w:eastAsia="Microsoft JhengHei"/>
        </w:rPr>
        <w:t>3. Proof of the SPE encryption scheme 融入 Algorithm</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：Proof部分與演算法分離，造成閱讀不便。</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將「Proof of the SPE encryption scheme」的數學推導直接融入演算法描述中，並以步驟形式呈現。</w:t>
      </w:r>
    </w:p>
    <w:p>
      <w:pPr>
        <w:pStyle w:val="ListBullet"/>
        <w:numPr>
          <w:ilvl w:val="0"/>
          <w:numId w:val="2"/>
        </w:numPr>
      </w:pPr>
      <w:r>
        <w:rPr>
          <w:rFonts w:ascii="Microsoft JhengHei" w:hAnsi="Microsoft JhengHei" w:eastAsia="Microsoft JhengHei"/>
        </w:rPr>
        <w:t>在演算法中加入簡單的數學公式說明，避免冗長的文字敘述。</w:t>
      </w:r>
    </w:p>
    <w:p>
      <w:pPr>
        <w:pStyle w:val="HorizontalLine"/>
      </w:pPr>
      <w:r>
        <w:rPr>
          <w:rFonts w:ascii="Microsoft JhengHei" w:hAnsi="Microsoft JhengHei" w:eastAsia="Microsoft JhengHei"/>
        </w:rPr>
      </w:r>
    </w:p>
    <w:bookmarkStart w:name="4-algorithm裡面變數應使用斜體" w:id="5"/>
    <w:bookmarkEnd w:id="5"/>
    <w:p>
      <w:pPr>
        <w:pStyle w:val="Heading3"/>
      </w:pPr>
      <w:r>
        <w:rPr>
          <w:rFonts w:ascii="Microsoft JhengHei" w:hAnsi="Microsoft JhengHei" w:eastAsia="Microsoft JhengHei"/>
        </w:rPr>
        <w:t>4. Algorithm裡面變數應使用斜體</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：演算法中的變數未使用斜體，與學術標準不符。</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將所有演算法中的變數（如 (x)、(r)、(a)、(b)、(c)、(d) 等）改為斜體表示，以符合學術格式。</w:t>
      </w:r>
    </w:p>
    <w:p>
      <w:pPr>
        <w:pStyle w:val="HorizontalLine"/>
      </w:pPr>
      <w:r>
        <w:rPr>
          <w:rFonts w:ascii="Microsoft JhengHei" w:hAnsi="Microsoft JhengHei" w:eastAsia="Microsoft JhengHei"/>
        </w:rPr>
      </w:r>
    </w:p>
    <w:bookmarkStart w:name="5-圖表詳細說明" w:id="6"/>
    <w:bookmarkEnd w:id="6"/>
    <w:p>
      <w:pPr>
        <w:pStyle w:val="Heading3"/>
      </w:pPr>
      <w:r>
        <w:rPr>
          <w:rFonts w:ascii="Microsoft JhengHei" w:hAnsi="Microsoft JhengHei" w:eastAsia="Microsoft JhengHei"/>
        </w:rPr>
        <w:t>5. 圖表詳細說明</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：圖表未充分說明其內容與意義。</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在每張圖表下方添加詳細的說明，例如「As shown in Fig. 1, the chaotic sequence exhibits high randomness and sensitivity to initial conditions」。</w:t>
      </w:r>
    </w:p>
    <w:p>
      <w:pPr>
        <w:pStyle w:val="ListBullet"/>
        <w:numPr>
          <w:ilvl w:val="0"/>
          <w:numId w:val="2"/>
        </w:numPr>
      </w:pPr>
      <w:r>
        <w:rPr>
          <w:rFonts w:ascii="Microsoft JhengHei" w:hAnsi="Microsoft JhengHei" w:eastAsia="Microsoft JhengHei"/>
        </w:rPr>
        <w:t>確保每張圖表都能獨立傳達其信息。</w:t>
      </w:r>
    </w:p>
    <w:p>
      <w:pPr>
        <w:pStyle w:val="HorizontalLine"/>
      </w:pPr>
      <w:r>
        <w:rPr>
          <w:rFonts w:ascii="Microsoft JhengHei" w:hAnsi="Microsoft JhengHei" w:eastAsia="Microsoft JhengHei"/>
        </w:rPr>
      </w:r>
    </w:p>
    <w:bookmarkStart w:name="6-重複部分精簡invertible與reversibility-0" w:id="7"/>
    <w:bookmarkEnd w:id="7"/>
    <w:p>
      <w:pPr>
        <w:pStyle w:val="Heading3"/>
      </w:pPr>
      <w:r>
        <w:rPr>
          <w:rFonts w:ascii="Microsoft JhengHei" w:hAnsi="Microsoft JhengHei" w:eastAsia="Microsoft JhengHei"/>
        </w:rPr>
        <w:t>6. 重複部分精簡，Invertible與Reversibility擇一論述</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：文中多次重複提及「Invertible」與「Reversibility」，造成冗長。</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擇一使用「Invertible」或「Reversibility」，並統一用詞。</w:t>
      </w:r>
    </w:p>
    <w:p>
      <w:pPr>
        <w:pStyle w:val="ListBullet"/>
        <w:numPr>
          <w:ilvl w:val="0"/>
          <w:numId w:val="2"/>
        </w:numPr>
      </w:pPr>
      <w:r>
        <w:rPr>
          <w:rFonts w:ascii="Microsoft JhengHei" w:hAnsi="Microsoft JhengHei" w:eastAsia="Microsoft JhengHei"/>
        </w:rPr>
        <w:t>將相關描述集中於一段，避免多次重複。</w:t>
      </w:r>
    </w:p>
    <w:p>
      <w:pPr>
        <w:pStyle w:val="HorizontalLine"/>
      </w:pPr>
      <w:r>
        <w:rPr>
          <w:rFonts w:ascii="Microsoft JhengHei" w:hAnsi="Microsoft JhengHei" w:eastAsia="Microsoft JhengHei"/>
        </w:rPr>
      </w:r>
    </w:p>
    <w:bookmarkStart w:name="7-用圖示表示演算法" w:id="8"/>
    <w:bookmarkEnd w:id="8"/>
    <w:p>
      <w:pPr>
        <w:pStyle w:val="Heading3"/>
      </w:pPr>
      <w:r>
        <w:rPr>
          <w:rFonts w:ascii="Microsoft JhengHei" w:hAnsi="Microsoft JhengHei" w:eastAsia="Microsoft JhengHei"/>
        </w:rPr>
        <w:t>7. 用圖示表示演算法</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：演算法僅以文字呈現，缺乏直觀性。</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使用流程圖或框架圖表示演算法的主要步驟，包括「轉置」、「加密」、「解密」、「還原轉置」。</w:t>
      </w:r>
    </w:p>
    <w:p>
      <w:pPr>
        <w:pStyle w:val="ListBullet"/>
        <w:numPr>
          <w:ilvl w:val="0"/>
          <w:numId w:val="2"/>
        </w:numPr>
      </w:pPr>
      <w:r>
        <w:rPr>
          <w:rFonts w:ascii="Microsoft JhengHei" w:hAnsi="Microsoft JhengHei" w:eastAsia="Microsoft JhengHei"/>
        </w:rPr>
        <w:t>確保圖示能清楚展示演算法的邏輯流程。</w:t>
      </w:r>
    </w:p>
    <w:p>
      <w:pPr>
        <w:pStyle w:val="HorizontalLine"/>
      </w:pPr>
      <w:r>
        <w:rPr>
          <w:rFonts w:ascii="Microsoft JhengHei" w:hAnsi="Microsoft JhengHei" w:eastAsia="Microsoft JhengHei"/>
        </w:rPr>
      </w:r>
    </w:p>
    <w:bookmarkStart w:name="8-algorithm變數說明與範例導入" w:id="9"/>
    <w:bookmarkEnd w:id="9"/>
    <w:p>
      <w:pPr>
        <w:pStyle w:val="Heading3"/>
      </w:pPr>
      <w:r>
        <w:rPr>
          <w:rFonts w:ascii="Microsoft JhengHei" w:hAnsi="Microsoft JhengHei" w:eastAsia="Microsoft JhengHei"/>
        </w:rPr>
        <w:t>8. Algorithm變數說明與範例導入</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：演算法中的變數未充分說明，且缺乏範例。</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在演算法中添加每個變數的詳細說明，例如 (r) 為混沌序列生成的隨機值。</w:t>
      </w:r>
    </w:p>
    <w:p>
      <w:pPr>
        <w:pStyle w:val="ListBullet"/>
        <w:numPr>
          <w:ilvl w:val="0"/>
          <w:numId w:val="2"/>
        </w:numPr>
      </w:pPr>
      <w:r>
        <w:rPr>
          <w:rFonts w:ascii="Microsoft JhengHei" w:hAnsi="Microsoft JhengHei" w:eastAsia="Microsoft JhengHei"/>
        </w:rPr>
        <w:t>為每個CASE（CASE1至CASE4）提供具體的數值範例，展示加密與還原的過程。</w:t>
      </w:r>
    </w:p>
    <w:p>
      <w:pPr>
        <w:pStyle w:val="HorizontalLine"/>
      </w:pPr>
      <w:r>
        <w:rPr>
          <w:rFonts w:ascii="Microsoft JhengHei" w:hAnsi="Microsoft JhengHei" w:eastAsia="Microsoft JhengHei"/>
        </w:rPr>
      </w:r>
    </w:p>
    <w:bookmarkStart w:name="9-刪除-fig-4" w:id="10"/>
    <w:bookmarkEnd w:id="10"/>
    <w:p>
      <w:pPr>
        <w:pStyle w:val="Heading3"/>
      </w:pPr>
      <w:r>
        <w:rPr>
          <w:rFonts w:ascii="Microsoft JhengHei" w:hAnsi="Microsoft JhengHei" w:eastAsia="Microsoft JhengHei"/>
        </w:rPr>
        <w:t>9. 刪除 Fig. 4</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：Fig. 4（Code execution architecture and process）與論文主題無直接關聯。</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完全刪除Fig. 4，避免分散讀者注意力。</w:t>
      </w:r>
    </w:p>
    <w:p>
      <w:pPr>
        <w:pStyle w:val="HorizontalLine"/>
      </w:pPr>
      <w:r>
        <w:rPr>
          <w:rFonts w:ascii="Microsoft JhengHei" w:hAnsi="Microsoft JhengHei" w:eastAsia="Microsoft JhengHei"/>
        </w:rPr>
      </w:r>
    </w:p>
    <w:bookmarkStart w:name="10-fig-10改用表格呈現" w:id="11"/>
    <w:bookmarkEnd w:id="11"/>
    <w:p>
      <w:pPr>
        <w:pStyle w:val="Heading3"/>
      </w:pPr>
      <w:r>
        <w:rPr>
          <w:rFonts w:ascii="Microsoft JhengHei" w:hAnsi="Microsoft JhengHei" w:eastAsia="Microsoft JhengHei"/>
        </w:rPr>
        <w:t>10. Fig. 10改用表格呈現</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：Fig. 10的內容適合以表格呈現，便於比較。</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將Fig. 10改為表格形式，列出各指標（如Entropy、SSIM、PSNR）的數值比較。</w:t>
      </w:r>
    </w:p>
    <w:p>
      <w:pPr>
        <w:pStyle w:val="ListBullet"/>
        <w:numPr>
          <w:ilvl w:val="0"/>
          <w:numId w:val="2"/>
        </w:numPr>
      </w:pPr>
      <w:r>
        <w:rPr>
          <w:rFonts w:ascii="Microsoft JhengHei" w:hAnsi="Microsoft JhengHei" w:eastAsia="Microsoft JhengHei"/>
        </w:rPr>
        <w:t>在表格下方添加簡要說明，解釋各指標的意義。</w:t>
      </w:r>
    </w:p>
    <w:p>
      <w:pPr>
        <w:pStyle w:val="HorizontalLine"/>
      </w:pPr>
      <w:r>
        <w:rPr>
          <w:rFonts w:ascii="Microsoft JhengHei" w:hAnsi="Microsoft JhengHei" w:eastAsia="Microsoft JhengHei"/>
        </w:rPr>
      </w:r>
    </w:p>
    <w:bookmarkStart w:name="11-括號補充融入文章內容" w:id="12"/>
    <w:bookmarkEnd w:id="12"/>
    <w:p>
      <w:pPr>
        <w:pStyle w:val="Heading3"/>
      </w:pPr>
      <w:r>
        <w:rPr>
          <w:rFonts w:ascii="Microsoft JhengHei" w:hAnsi="Microsoft JhengHei" w:eastAsia="Microsoft JhengHei"/>
        </w:rPr>
        <w:t>11. 括號補充融入文章內容</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：括號補充過多，影響文章流暢性。</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將括號中的補充內容融入主文，例如「The chaotic sequence exhibits high randomness (as shown in Fig. 1)」改為「As shown in Fig. 1, the chaotic sequence exhibits high randomness」。</w:t>
      </w:r>
    </w:p>
    <w:p>
      <w:pPr>
        <w:pStyle w:val="HorizontalLine"/>
      </w:pPr>
      <w:r>
        <w:rPr>
          <w:rFonts w:ascii="Microsoft JhengHei" w:hAnsi="Microsoft JhengHei" w:eastAsia="Microsoft JhengHei"/>
        </w:rPr>
      </w:r>
    </w:p>
    <w:bookmarkStart w:name="12-完整概念圖" w:id="13"/>
    <w:bookmarkEnd w:id="13"/>
    <w:p>
      <w:pPr>
        <w:pStyle w:val="Heading3"/>
      </w:pPr>
      <w:r>
        <w:rPr>
          <w:rFonts w:ascii="Microsoft JhengHei" w:hAnsi="Microsoft JhengHei" w:eastAsia="Microsoft JhengHei"/>
        </w:rPr>
        <w:t>12. 完整概念圖</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：缺乏「轉置、加密、解密、還原轉置」的完整概念圖。</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添加一張概念圖，展示演算法的整體流程，包括「轉置」、「加密」、「解密」、「還原轉置」。</w:t>
      </w:r>
    </w:p>
    <w:p>
      <w:pPr>
        <w:pStyle w:val="ListBullet"/>
        <w:numPr>
          <w:ilvl w:val="0"/>
          <w:numId w:val="2"/>
        </w:numPr>
      </w:pPr>
      <w:r>
        <w:rPr>
          <w:rFonts w:ascii="Microsoft JhengHei" w:hAnsi="Microsoft JhengHei" w:eastAsia="Microsoft JhengHei"/>
        </w:rPr>
        <w:t>確保概念圖能直觀地表達演算法的核心思想。</w:t>
      </w:r>
    </w:p>
    <w:p>
      <w:pPr>
        <w:pStyle w:val="HorizontalLine"/>
      </w:pPr>
      <w:r>
        <w:rPr>
          <w:rFonts w:ascii="Microsoft JhengHei" w:hAnsi="Microsoft JhengHei" w:eastAsia="Microsoft JhengHei"/>
        </w:rPr>
      </w:r>
    </w:p>
    <w:bookmarkStart w:name="13-proof-of-the-spe-encryption-s-0" w:id="14"/>
    <w:bookmarkEnd w:id="14"/>
    <w:p>
      <w:pPr>
        <w:pStyle w:val="Heading3"/>
      </w:pPr>
      <w:r>
        <w:rPr>
          <w:rFonts w:ascii="Microsoft JhengHei" w:hAnsi="Microsoft JhengHei" w:eastAsia="Microsoft JhengHei"/>
        </w:rPr>
        <w:t>13. Proof of the SPE encryption scheme移至Appendix</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：Proof部分過於冗長，影響主文流暢性。</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將「Proof of the SPE encryption scheme」移至附錄（Appendix），並在主文中簡要提及其存在。</w:t>
      </w:r>
    </w:p>
    <w:p>
      <w:pPr>
        <w:pStyle w:val="ListBullet"/>
        <w:numPr>
          <w:ilvl w:val="0"/>
          <w:numId w:val="2"/>
        </w:numPr>
      </w:pPr>
      <w:r>
        <w:rPr>
          <w:rFonts w:ascii="Microsoft JhengHei" w:hAnsi="Microsoft JhengHei" w:eastAsia="Microsoft JhengHei"/>
        </w:rPr>
        <w:t>在附錄中提供完整的數學推導與公式。</w:t>
      </w:r>
    </w:p>
    <w:p>
      <w:pPr>
        <w:pStyle w:val="HorizontalLine"/>
      </w:pPr>
      <w:r>
        <w:rPr>
          <w:rFonts w:ascii="Microsoft JhengHei" w:hAnsi="Microsoft JhengHei" w:eastAsia="Microsoft JhengHei"/>
        </w:rPr>
      </w:r>
    </w:p>
    <w:bookmarkStart w:name="14-數值範例驗證" w:id="15"/>
    <w:bookmarkEnd w:id="15"/>
    <w:p>
      <w:pPr>
        <w:pStyle w:val="Heading3"/>
      </w:pPr>
      <w:r>
        <w:rPr>
          <w:rFonts w:ascii="Microsoft JhengHei" w:hAnsi="Microsoft JhengHei" w:eastAsia="Microsoft JhengHei"/>
        </w:rPr>
        <w:t>14. 數值範例驗證</w:t>
      </w:r>
    </w:p>
    <w:p>
      <w:pPr>
        <w:pStyle w:val="ParagraphTextBody"/>
      </w:pPr>
      <w:r>
        <w:rPr>
          <w:rStyle w:val="StrongEmphasis"/>
          <w:rFonts w:ascii="Microsoft JhengHei" w:hAnsi="Microsoft JhengHei" w:eastAsia="Microsoft JhengHei"/>
        </w:rPr>
        <w:t>問題分析</w:t>
      </w:r>
      <w:r>
        <w:rPr>
          <w:rFonts w:ascii="Microsoft JhengHei" w:hAnsi="Microsoft JhengHei" w:eastAsia="Microsoft JhengHei"/>
        </w:rPr>
        <w:t>：缺乏具體的數值範例進行驗證。</w:t>
      </w:r>
    </w:p>
    <w:p>
      <w:pPr>
        <w:pStyle w:val="ParagraphTextBody"/>
      </w:pPr>
      <w:r>
        <w:rPr>
          <w:rStyle w:val="StrongEmphasis"/>
          <w:rFonts w:ascii="Microsoft JhengHei" w:hAnsi="Microsoft JhengHei" w:eastAsia="Microsoft JhengHei"/>
        </w:rPr>
        <w:t>修正建議</w:t>
      </w:r>
      <w:r>
        <w:rPr>
          <w:rFonts w:ascii="Microsoft JhengHei" w:hAnsi="Microsoft JhengHei" w:eastAsia="Microsoft JhengHei"/>
        </w:rPr>
        <w:t>：</w:t>
      </w:r>
    </w:p>
    <w:p>
      <w:pPr>
        <w:pStyle w:val="ListBullet"/>
        <w:numPr>
          <w:ilvl w:val="0"/>
          <w:numId w:val="2"/>
        </w:numPr>
      </w:pPr>
      <w:r>
        <w:rPr>
          <w:rFonts w:ascii="Microsoft JhengHei" w:hAnsi="Microsoft JhengHei" w:eastAsia="Microsoft JhengHei"/>
        </w:rPr>
        <w:t>添加數值範例，例如對像素值 (a=100)、(b=150)、(c=200)、(d=250) 進行加密與還原，展示演算法的正確性。</w:t>
      </w:r>
    </w:p>
    <w:p>
      <w:pPr>
        <w:pStyle w:val="ListBullet"/>
        <w:numPr>
          <w:ilvl w:val="0"/>
          <w:numId w:val="2"/>
        </w:numPr>
      </w:pPr>
      <w:r>
        <w:rPr>
          <w:rFonts w:ascii="Microsoft JhengHei" w:hAnsi="Microsoft JhengHei" w:eastAsia="Microsoft JhengHei"/>
        </w:rPr>
        <w:t>在範例中詳細說明每一步的計算過程。</w:t>
      </w:r>
    </w:p>
    <w:p>
      <w:pPr>
        <w:pStyle w:val="HorizontalLine"/>
      </w:pPr>
      <w:r>
        <w:rPr>
          <w:rFonts w:ascii="Microsoft JhengHei" w:hAnsi="Microsoft JhengHei" w:eastAsia="Microsoft JhengHei"/>
        </w:rPr>
      </w:r>
    </w:p>
    <w:bookmarkStart w:name="總結" w:id="16"/>
    <w:bookmarkEnd w:id="16"/>
    <w:p>
      <w:pPr>
        <w:pStyle w:val="Heading3"/>
      </w:pPr>
      <w:r>
        <w:rPr>
          <w:rFonts w:ascii="Microsoft JhengHei" w:hAnsi="Microsoft JhengHei" w:eastAsia="Microsoft JhengHei"/>
        </w:rPr>
        <w:t>總結</w:t>
      </w:r>
    </w:p>
    <w:p>
      <w:pPr>
        <w:pStyle w:val="ParagraphTextBody"/>
      </w:pPr>
      <w:r>
        <w:rPr>
          <w:rFonts w:ascii="Microsoft JhengHei" w:hAnsi="Microsoft JhengHei" w:eastAsia="Microsoft JhengHei"/>
        </w:rPr>
        <w:t>以上修正建議旨在提升論文的專業性與可讀性，並確保內容精簡、重點突出。透過刪減冗長部分、添加範例與圖示、改進格式與結構，論文將更具學術價值並符合國際期刊的發表標準。</w:t>
      </w:r>
    </w:p>
    <w:p>
      <w:pPr>
        <w:pStyle w:val="ListNumber"/>
        <w:numPr>
          <w:ilvl w:val="0"/>
          <w:numId w:val="4"/>
        </w:numPr>
      </w:pPr>
      <w:hyperlink r:id="rId3">
        <w:r>
          <w:rPr>
            <w:rStyle w:val="Hyperlink"/>
          </w:rPr>
          <w:t>1140714-sum_preseving_RENEW.docx</w:t>
        </w:r>
      </w:hyperlink>
    </w:p>
    <w:sectPr>
      <w:type w:val="nextPage"/>
      <w:pgSz w:w="12240" w:h="15840"/>
      <w:pgMar w:top="1134" w:right="1134" w:bottom="1134" w:left="1134" w:header="0" w:footer="0" w:gutter="0"/>
      <w:pgNumType w:fmt="decimal"/>
      <w:formProt w:val="false"/>
      <w:textDirection w:val="lrTb"/>
      <w:docGrid w:type="default" w:linePitch="240" w:charSpace="4294961151"/>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lvl w:ilvl="0">
      <w:start w:val="1"/>
      <w:numFmt w:val="none"/>
      <w:pStyle w:val="Heading1"/>
      <w:suff w:val="nothing"/>
      <w:lvlText w:val=""/>
      <w:lvlJc w:val="left"/>
      <w:pPr>
        <w:ind w:left="0" w:hanging="0"/>
      </w:pPr>
    </w:lvl>
    <w:lvl w:ilvl="1">
      <w:start w:val="1"/>
      <w:numFmt w:val="none"/>
      <w:pStyle w:val="Heading2"/>
      <w:suff w:val="nothing"/>
      <w:lvlText w:val=""/>
      <w:lvlJc w:val="left"/>
      <w:pPr>
        <w:ind w:left="0" w:hanging="0"/>
      </w:pPr>
    </w:lvl>
    <w:lvl w:ilvl="2">
      <w:start w:val="1"/>
      <w:numFmt w:val="none"/>
      <w:pStyle w:val="Heading3"/>
      <w:suff w:val="nothing"/>
      <w:lvlText w:val=""/>
      <w:lvlJc w:val="left"/>
      <w:pPr>
        <w:ind w:left="0" w:hanging="0"/>
      </w:pPr>
    </w:lvl>
    <w:lvl w:ilvl="3">
      <w:start w:val="1"/>
      <w:numFmt w:val="none"/>
      <w:pStyle w:val="Heading4"/>
      <w:suff w:val="nothing"/>
      <w:lvlText w:val=""/>
      <w:lvlJc w:val="left"/>
      <w:pPr>
        <w:ind w:left="0" w:hanging="0"/>
      </w:pPr>
    </w:lvl>
    <w:lvl w:ilvl="4">
      <w:start w:val="1"/>
      <w:numFmt w:val="none"/>
      <w:pStyle w:val="Heading5"/>
      <w:suff w:val="nothing"/>
      <w:lvlText w:val=""/>
      <w:lvlJc w:val="left"/>
      <w:pPr>
        <w:ind w:left="0" w:hanging="0"/>
      </w:pPr>
    </w:lvl>
    <w:lvl w:ilvl="5">
      <w:start w:val="1"/>
      <w:numFmt w:val="none"/>
      <w:pStyle w:val="Heading6"/>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227"/>
        </w:tabs>
        <w:ind w:left="227" w:hanging="227"/>
      </w:pPr>
      <w:rPr>
        <w:rFonts w:cs="OpenSymbol"/>
      </w:rPr>
    </w:lvl>
    <w:lvl w:ilvl="1">
      <w:start w:val="1"/>
      <w:numFmt w:val="bullet"/>
      <w:lvlText w:val="•"/>
      <w:lvlJc w:val="left"/>
      <w:pPr>
        <w:tabs>
          <w:tab w:val="num" w:pos="454"/>
        </w:tabs>
        <w:ind w:left="454" w:hanging="227"/>
      </w:pPr>
      <w:rPr>
        <w:rFonts w:cs="OpenSymbol"/>
      </w:rPr>
    </w:lvl>
    <w:lvl w:ilvl="2">
      <w:start w:val="1"/>
      <w:numFmt w:val="bullet"/>
      <w:lvlText w:val="•"/>
      <w:lvlJc w:val="left"/>
      <w:pPr>
        <w:tabs>
          <w:tab w:val="num" w:pos="680"/>
        </w:tabs>
        <w:ind w:left="680" w:hanging="227"/>
      </w:pPr>
      <w:rPr>
        <w:rFonts w:cs="OpenSymbol"/>
      </w:rPr>
    </w:lvl>
    <w:lvl w:ilvl="3">
      <w:start w:val="1"/>
      <w:numFmt w:val="bullet"/>
      <w:lvlText w:val="•"/>
      <w:lvlJc w:val="left"/>
      <w:pPr>
        <w:tabs>
          <w:tab w:val="num" w:pos="907"/>
        </w:tabs>
        <w:ind w:left="907" w:hanging="227"/>
      </w:pPr>
      <w:rPr>
        <w:rFonts w:cs="OpenSymbol"/>
      </w:rPr>
    </w:lvl>
    <w:lvl w:ilvl="4">
      <w:start w:val="1"/>
      <w:numFmt w:val="bullet"/>
      <w:lvlText w:val="•"/>
      <w:lvlJc w:val="left"/>
      <w:pPr>
        <w:tabs>
          <w:tab w:val="num" w:pos="1134"/>
        </w:tabs>
        <w:ind w:left="1134" w:hanging="227"/>
      </w:pPr>
      <w:rPr>
        <w:rFonts w:cs="OpenSymbol"/>
      </w:rPr>
    </w:lvl>
    <w:lvl w:ilvl="5">
      <w:start w:val="1"/>
      <w:numFmt w:val="bullet"/>
      <w:lvlText w:val="•"/>
      <w:lvlJc w:val="left"/>
      <w:pPr>
        <w:tabs>
          <w:tab w:val="num" w:pos="1361"/>
        </w:tabs>
        <w:ind w:left="1361" w:hanging="227"/>
      </w:pPr>
      <w:rPr>
        <w:rFonts w:cs="OpenSymbol"/>
      </w:rPr>
    </w:lvl>
    <w:lvl w:ilvl="6">
      <w:start w:val="1"/>
      <w:numFmt w:val="bullet"/>
      <w:lvlText w:val="•"/>
      <w:lvlJc w:val="left"/>
      <w:pPr>
        <w:tabs>
          <w:tab w:val="num" w:pos="1587"/>
        </w:tabs>
        <w:ind w:left="1587" w:hanging="227"/>
      </w:pPr>
      <w:rPr>
        <w:rFonts w:cs="OpenSymbol"/>
      </w:rPr>
    </w:lvl>
    <w:lvl w:ilvl="7">
      <w:start w:val="1"/>
      <w:numFmt w:val="bullet"/>
      <w:lvlText w:val="•"/>
      <w:lvlJc w:val="left"/>
      <w:pPr>
        <w:tabs>
          <w:tab w:val="num" w:pos="1814"/>
        </w:tabs>
        <w:ind w:left="1814" w:hanging="227"/>
      </w:pPr>
      <w:rPr>
        <w:rFonts w:cs="OpenSymbol"/>
      </w:rPr>
    </w:lvl>
    <w:lvl w:ilvl="8">
      <w:start w:val="1"/>
      <w:numFmt w:val="bullet"/>
      <w:lvlText w:val="•"/>
      <w:lvlJc w:val="left"/>
      <w:pPr>
        <w:tabs>
          <w:tab w:val="num" w:pos="2041"/>
        </w:tabs>
        <w:ind w:left="2041" w:hanging="227"/>
      </w:pPr>
      <w:rPr>
        <w:rFonts w:cs="OpenSymbol"/>
      </w:rPr>
    </w:lvl>
  </w:abstractNum>
  <w:abstractNum w:abstractNumId="3">
    <w:lvl w:ilvl="0">
      <w:start w:val="1"/>
      <w:numFmt w:val="decimal"/>
      <w:lvlText w:val="%1."/>
      <w:lvlJc w:val="left"/>
      <w:pPr>
        <w:tabs>
          <w:tab w:val="num" w:pos="283"/>
        </w:tabs>
        <w:ind w:left="283" w:hanging="283"/>
      </w:pPr>
      <w:rPr/>
    </w:lvl>
    <w:lvl w:ilvl="1">
      <w:start w:val="1"/>
      <w:numFmt w:val="decimal"/>
      <w:lvlText w:val="%2."/>
      <w:lvlJc w:val="left"/>
      <w:pPr>
        <w:tabs>
          <w:tab w:val="num" w:pos="567"/>
        </w:tabs>
        <w:ind w:left="567" w:hanging="283"/>
      </w:pPr>
      <w:rPr/>
    </w:lvl>
    <w:lvl w:ilvl="2">
      <w:start w:val="1"/>
      <w:numFmt w:val="decimal"/>
      <w:lvlText w:val="%3."/>
      <w:lvlJc w:val="left"/>
      <w:pPr>
        <w:tabs>
          <w:tab w:val="num" w:pos="850"/>
        </w:tabs>
        <w:ind w:left="850" w:hanging="283"/>
      </w:pPr>
      <w:rPr/>
    </w:lvl>
    <w:lvl w:ilvl="3">
      <w:start w:val="1"/>
      <w:numFmt w:val="decimal"/>
      <w:lvlText w:val="%4."/>
      <w:lvlJc w:val="left"/>
      <w:pPr>
        <w:tabs>
          <w:tab w:val="num" w:pos="1134"/>
        </w:tabs>
        <w:ind w:left="1134" w:hanging="283"/>
      </w:pPr>
      <w:rPr/>
    </w:lvl>
    <w:lvl w:ilvl="4">
      <w:start w:val="1"/>
      <w:numFmt w:val="decimal"/>
      <w:lvlText w:val="%5."/>
      <w:lvlJc w:val="left"/>
      <w:pPr>
        <w:tabs>
          <w:tab w:val="num" w:pos="1417"/>
        </w:tabs>
        <w:ind w:left="1417" w:hanging="283"/>
      </w:pPr>
      <w:rPr/>
    </w:lvl>
    <w:lvl w:ilvl="5">
      <w:start w:val="1"/>
      <w:numFmt w:val="decimal"/>
      <w:lvlText w:val="%6."/>
      <w:lvlJc w:val="left"/>
      <w:pPr>
        <w:tabs>
          <w:tab w:val="num" w:pos="1701"/>
        </w:tabs>
        <w:ind w:left="1701" w:hanging="283"/>
      </w:pPr>
      <w:rPr/>
    </w:lvl>
    <w:lvl w:ilvl="6">
      <w:start w:val="1"/>
      <w:numFmt w:val="decimal"/>
      <w:lvlText w:val="%7."/>
      <w:lvlJc w:val="left"/>
      <w:pPr>
        <w:tabs>
          <w:tab w:val="num" w:pos="1984"/>
        </w:tabs>
        <w:ind w:left="1984" w:hanging="283"/>
      </w:pPr>
      <w:rPr/>
    </w:lvl>
    <w:lvl w:ilvl="7">
      <w:start w:val="1"/>
      <w:numFmt w:val="decimal"/>
      <w:lvlText w:val="%8."/>
      <w:lvlJc w:val="left"/>
      <w:pPr>
        <w:tabs>
          <w:tab w:val="num" w:pos="2268"/>
        </w:tabs>
        <w:ind w:left="2268" w:hanging="283"/>
      </w:pPr>
      <w:rPr/>
    </w:lvl>
    <w:lvl w:ilvl="8">
      <w:start w:val="1"/>
      <w:numFmt w:val="decimal"/>
      <w:lvlText w:val="%9."/>
      <w:lvlJc w:val="left"/>
      <w:pPr>
        <w:tabs>
          <w:tab w:val="num" w:pos="2551"/>
        </w:tabs>
        <w:ind w:left="2551" w:hanging="283"/>
      </w:pPr>
      <w:rPr/>
    </w:lvl>
  </w:abstractNum>
  <w:num w:numId="1">
    <w:abstractNumId w:val="1"/>
  </w:num>
  <w:num w:numId="2">
    <w:abstractNumId w:val="2"/>
  </w:num>
  <w:num w:numId="3">
    <w:abstractNumId w:val="3"/>
  </w:num>
  <w:num w:numId="4">
    <w:abstractNumId w:val="3"/>
    <w:lvlOverride w:ilvl="0">
      <w:startOverride w:val="1"/>
    </w:lvlOverride>
  </w:num>
</w:numbering>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Liberation Serif" w:hAnsi="Liberation Serif" w:eastAsia="SimSun" w:cs="Lucida Sans"/>
        <w:sz w:val="24"/>
        <w:szCs w:val="24"/>
        <w:lang w:val="en-CA" w:eastAsia="zh-CN" w:bidi="hi-IN"/>
      </w:rPr>
    </w:rPrDefault>
    <w:pPrDefault>
      <w:pPr/>
    </w:pPrDefault>
  </w:docDefaults>
  <w:style w:type="paragraph" w:styleId="Normal">
    <w:name w:val="Normal"/>
    <w:qFormat/>
    <w:pPr>
      <w:widowControl/>
      <w:kinsoku w:val="true"/>
      <w:overflowPunct w:val="true"/>
      <w:autoSpaceDE w:val="true"/>
      <w:bidi w:val="false"/>
      <w:jc w:val="left"/>
    </w:pPr>
    <w:rPr>
      <w:rFonts w:ascii="Microsoft JhengHei" w:hAnsi="Microsoft JhengHei" w:eastAsia="Microsoft JhengHei" w:cs="Times New Roman"/>
      <w:color w:val="00000A"/>
      <w:sz w:val="24"/>
      <w:szCs w:val="24"/>
      <w:lang w:val="en-CA" w:eastAsia="zh-CN" w:bidi="hi-IN"/>
    </w:rPr>
  </w:style>
  <w:style w:type="paragraph" w:styleId="Default">
    <w:name w:val="Default"/>
    <w:basedOn w:val="Normal"/>
    <w:qFormat/>
    <w:pPr/>
    <w:rPr/>
  </w:style>
  <w:style w:type="paragraph" w:styleId="BodyText">
    <w:name w:val="Body Text"/>
    <w:basedOn w:val="Normal"/>
    <w:qFormat/>
    <w:pPr/>
    <w:rPr/>
  </w:style>
  <w:style w:type="paragraph" w:styleId="Heading">
    <w:name w:val="Heading"/>
    <w:basedOn w:val="Normal"/>
    <w:qFormat/>
    <w:pPr/>
    <w:rPr/>
  </w:style>
  <w:style w:type="paragraph" w:styleId="Heading1">
    <w:name w:val="Heading 1"/>
    <w:basedOn w:val="Heading"/>
    <w:qFormat/>
    <w:pPr>
      <w:numPr>
        <w:ilvl w:val="0"/>
        <w:numId w:val="1"/>
      </w:numPr>
      <w:pBdr>
        <w:bottom w:val="single" w:color="000001" w:sz="2" w:space="1"/>
      </w:pBdr>
      <w:bidi w:val="false"/>
      <w:spacing w:before="240" w:after="120"/>
      <w:jc w:val="left"/>
      <w:outlineLvl w:val="0"/>
    </w:pPr>
    <w:rPr>
      <w:b/>
      <w:bCs/>
      <w:sz w:val="48"/>
      <w:szCs w:val="48"/>
    </w:rPr>
  </w:style>
  <w:style w:type="paragraph" w:styleId="Heading2">
    <w:name w:val="Heading 2"/>
    <w:basedOn w:val="Heading"/>
    <w:qFormat/>
    <w:pPr>
      <w:numPr>
        <w:ilvl w:val="1"/>
        <w:numId w:val="1"/>
      </w:numPr>
      <w:pBdr>
        <w:bottom w:val="single" w:color="000001" w:sz="2" w:space="1"/>
      </w:pBdr>
      <w:bidi w:val="false"/>
      <w:spacing w:before="200" w:after="120"/>
      <w:jc w:val="left"/>
      <w:outlineLvl w:val="1"/>
    </w:pPr>
    <w:rPr>
      <w:b/>
      <w:bCs/>
      <w:sz w:val="42"/>
      <w:szCs w:val="42"/>
    </w:rPr>
  </w:style>
  <w:style w:type="paragraph" w:styleId="Heading3">
    <w:name w:val="Heading 3"/>
    <w:basedOn w:val="Heading"/>
    <w:qFormat/>
    <w:pPr>
      <w:numPr>
        <w:ilvl w:val="2"/>
        <w:numId w:val="1"/>
      </w:numPr>
      <w:spacing w:before="140" w:after="120"/>
      <w:outlineLvl w:val="2"/>
    </w:pPr>
    <w:rPr>
      <w:b/>
      <w:bCs/>
      <w:sz w:val="36"/>
      <w:szCs w:val="36"/>
    </w:rPr>
  </w:style>
  <w:style w:type="paragraph" w:styleId="Heading4">
    <w:name w:val="Heading 4"/>
    <w:basedOn w:val="Heading"/>
    <w:qFormat/>
    <w:pPr>
      <w:numPr>
        <w:ilvl w:val="3"/>
        <w:numId w:val="1"/>
      </w:numPr>
      <w:spacing w:before="120" w:after="120"/>
      <w:outlineLvl w:val="3"/>
    </w:pPr>
    <w:rPr>
      <w:b/>
      <w:bCs/>
      <w:sz w:val="30"/>
      <w:szCs w:val="30"/>
    </w:rPr>
  </w:style>
  <w:style w:type="paragraph" w:styleId="Heading5">
    <w:name w:val="Heading 5"/>
    <w:basedOn w:val="Heading"/>
    <w:qFormat/>
    <w:pPr>
      <w:numPr>
        <w:ilvl w:val="4"/>
        <w:numId w:val="1"/>
      </w:numPr>
      <w:spacing w:before="120" w:after="60"/>
      <w:outlineLvl w:val="4"/>
    </w:pPr>
    <w:rPr>
      <w:b/>
      <w:bCs/>
      <w:sz w:val="24"/>
      <w:szCs w:val="24"/>
    </w:rPr>
  </w:style>
  <w:style w:type="paragraph" w:styleId="Heading6">
    <w:name w:val="Heading 6"/>
    <w:basedOn w:val="Heading"/>
    <w:qFormat/>
    <w:pPr>
      <w:numPr>
        <w:ilvl w:val="5"/>
        <w:numId w:val="1"/>
      </w:numPr>
      <w:bidi w:val="false"/>
      <w:spacing w:before="60" w:after="60"/>
      <w:outlineLvl w:val="5"/>
    </w:pPr>
    <w:rPr>
      <w:b/>
      <w:bCs w:val="false"/>
      <w:i/>
      <w:color w:val="666666"/>
      <w:sz w:val="24"/>
      <w:szCs w:val="24"/>
    </w:rPr>
  </w:style>
  <w:style w:type="paragraph" w:styleId="TOCHeading">
    <w:name w:val="TOC Heading"/>
    <w:basedOn w:val="Heading3"/>
    <w:uiPriority w:val="39"/>
    <w:semiHidden/>
    <w:unhideWhenUsed/>
    <w:qFormat/>
    <w:pPr>
      <w:keepNext/>
      <w:keepLines/>
      <w:numPr>
        <w:numId w:val="0"/>
      </w:numPr>
      <w:spacing w:before="480" w:after="0"/>
      <w:outlineLvl w:val="9"/>
    </w:pPr>
    <w:rPr/>
  </w:style>
  <w:style w:type="character" w:styleId="StrongEmphasis">
    <w:name w:val="Strong Emphasis"/>
    <w:qFormat/>
    <w:rPr>
      <w:b/>
      <w:bCs/>
    </w:rPr>
  </w:style>
  <w:style w:type="character" w:styleId="Emphasis">
    <w:name w:val="Emphasis"/>
    <w:qFormat/>
    <w:rPr>
      <w:i/>
      <w:iCs/>
    </w:rPr>
  </w:style>
  <w:style w:type="character" w:styleId="Superscript">
    <w:name w:val="Superscript"/>
    <w:qFormat/>
    <w:rPr>
      <w:position w:val="8"/>
      <w:sz w:val="19"/>
    </w:rPr>
  </w:style>
  <w:style w:type="character" w:styleId="Subscript">
    <w:name w:val="Subscript"/>
    <w:qFormat/>
    <w:rPr>
      <w:position w:val="-4"/>
      <w:sz w:val="19"/>
    </w:rPr>
  </w:style>
  <w:style w:type="character" w:styleId="Strikethrough">
    <w:name w:val="Strikethrough"/>
    <w:qFormat/>
    <w:rPr>
      <w:strike/>
    </w:rPr>
  </w:style>
  <w:style w:type="character" w:styleId="Underlined">
    <w:name w:val="Underlined"/>
    <w:qFormat/>
    <w:rPr>
      <w:u w:val="single"/>
    </w:rPr>
  </w:style>
  <w:style w:type="character" w:styleId="SourceText">
    <w:name w:val="Source Text"/>
    <w:qFormat/>
    <w:rPr>
      <w:rFonts w:ascii="Courier New" w:hAnsi="Courier New" w:eastAsia="Courier New" w:cs="Liberation Mono"/>
      <w:color w:val="BB002F"/>
      <w:bdr w:val="single" w:color="EEC5E1" w:sz="2" w:space="1" w:frame="true"/>
      <w:shd w:val="clear" w:color="auto" w:fill="FFF8E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spacing w:before="240" w:after="120"/>
    </w:pPr>
    <w:rPr>
      <w:rFonts w:ascii="Liberation Sans" w:hAnsi="Liberation Sans" w:eastAsia="SimSun" w:cs="Lucida Sans"/>
      <w:sz w:val="28"/>
      <w:szCs w:val="28"/>
    </w:rPr>
  </w:style>
  <w:style w:type="paragraph" w:styleId="BodyText">
    <w:name w:val="Body Text"/>
    <w:basedOn w:val="Normal"/>
    <w:pPr>
      <w:bidi w:val="false"/>
      <w:spacing w:before="0" w:after="0" w:line="288"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qFormat/>
    <w:pPr>
      <w:suppressLineNumbers/>
      <w:pBdr>
        <w:bottom w:val="single" w:color="808080" w:sz="6" w:space="0"/>
      </w:pBdr>
      <w:bidi w:val="false"/>
      <w:spacing w:before="0" w:after="283"/>
      <w:jc w:val="left"/>
    </w:pPr>
    <w:rPr>
      <w:sz w:val="12"/>
      <w:szCs w:val="12"/>
    </w:rPr>
  </w:style>
  <w:style w:type="paragraph" w:styleId="Quotations">
    <w:name w:val="Quotations"/>
    <w:basedOn w:val="Normal"/>
    <w:qFormat/>
    <w:pPr>
      <w:pBdr>
        <w:left w:val="single" w:color="CCCCCC" w:sz="16" w:space="9"/>
      </w:pBdr>
      <w:bidi w:val="false"/>
      <w:spacing w:before="140" w:after="140"/>
      <w:ind w:left="240" w:right="0" w:hanging="0"/>
      <w:jc w:val="left"/>
    </w:pPr>
    <w:rPr>
      <w:color w:val="666666"/>
    </w:rPr>
  </w:style>
  <w:style w:type="paragraph" w:styleId="AsideBlock">
    <w:name w:val="AsideBlock"/>
    <w:basedOn w:val="Normal"/>
    <w:qFormat/>
    <w:pPr>
      <w:pBdr>
        <w:left w:val="single" w:color="3366FF" w:sz="16" w:space="9"/>
      </w:pBdr>
      <w:bidi w:val="false"/>
      <w:spacing w:before="140" w:after="140"/>
      <w:ind w:left="240" w:right="0" w:hanging="0"/>
      <w:jc w:val="left"/>
    </w:pPr>
    <w:rPr/>
  </w:style>
  <w:style w:type="paragraph" w:styleId="PreformattedText">
    <w:name w:val="Preformatted Text"/>
    <w:basedOn w:val="Normal"/>
    <w:qFormat/>
    <w:pPr>
      <w:pBdr>
        <w:top w:val="single" w:color="B2B2B2" w:sz="2" w:space="1"/>
        <w:left w:val="single" w:color="B2B2B2" w:sz="2" w:space="1"/>
        <w:bottom w:val="single" w:color="B2B2B2" w:sz="2" w:space="1"/>
        <w:right w:val="single" w:color="B2B2B2" w:sz="2" w:space="1"/>
      </w:pBdr>
      <w:shd w:val="clear" w:fill="EEEEEE"/>
      <w:bidi w:val="false"/>
      <w:spacing w:before="240" w:after="240"/>
      <w:contextualSpacing/>
      <w:jc w:val="left"/>
    </w:pPr>
    <w:rPr>
      <w:rFonts w:ascii="Courier New" w:hAnsi="Courier New" w:eastAsia="Courier New" w:cs="Liberation Mono"/>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shd w:val="clear" w:fill="DDDDDD"/>
      <w:bidi w:val="false"/>
      <w:jc w:val="center"/>
    </w:pPr>
    <w:rPr>
      <w:b/>
      <w:bCs w:val="false"/>
    </w:rPr>
  </w:style>
  <w:style w:type="paragraph" w:styleId="TableCaption">
    <w:name w:val="Table Caption"/>
    <w:basedOn w:val="TableContents"/>
    <w:qFormat/>
    <w:pPr>
      <w:suppressLineNumbers/>
      <w:spacing w:before="240" w:after="240"/>
      <w:jc w:val="left"/>
    </w:pPr>
    <w:rPr>
      <w:b/>
      <w:bCs w:val="true"/>
    </w:rPr>
  </w:style>
  <w:style w:type="paragraph" w:styleId="ParagraphTextBody">
    <w:name w:val="Paragraph Text Body"/>
    <w:basedOn w:val="BodyText"/>
    <w:qFormat/>
    <w:pPr>
      <w:bidi w:val="false"/>
      <w:spacing w:before="240" w:after="120"/>
    </w:pPr>
    <w:rPr/>
  </w:style>
  <w:style w:type="character" w:styleId="FootnoteReference">
    <w:name w:val="Footnote Reference"/>
    <w:rPr>
      <w:vertAlign w:val="superscript"/>
    </w:rPr>
  </w:style>
  <w:style w:type="character" w:styleId="EndnoteReference">
    <w:name w:val="Endnote Reference"/>
    <w:unhideWhenUsed/>
    <w:rPr>
      <w:vertAlign w:val="superscript"/>
    </w:rPr>
  </w:style>
  <w:style w:type="paragraph" w:styleId="Index">
    <w:name w:val="Index"/>
    <w:basedOn w:val="Normal"/>
    <w:qFormat/>
    <w:pPr>
      <w:suppressLineNumbers/>
    </w:pPr>
    <w:rPr/>
  </w:style>
  <w:style w:type="paragraph" w:styleId="Footnote">
    <w:name w:val="Footnote Text"/>
    <w:basedOn w:val="Normal"/>
    <w:pPr>
      <w:suppressLineNumbers/>
      <w:ind w:left="240" w:hanging="240"/>
    </w:pPr>
    <w:rPr>
      <w:sz w:val="20"/>
      <w:szCs w:val="20"/>
    </w:rPr>
  </w:style>
  <w:style w:type="character" w:styleId="Hyperlink">
    <w:name w:val="Hyperlink"/>
    <w:basedOn w:val="DefaultParagraphFont"/>
    <w:uiPriority w:val="99"/>
    <w:unhideWhenUsed/>
    <w:rsid w:val="00FC1E75"/>
    <w:rPr>
      <w:color w:val="0366D6" w:themeColor="hyperlink"/>
      <w:u w:val="single"/>
    </w:rPr>
  </w:style>
  <w:style w:type="paragraph" w:styleId="ListNumber">
    <w:name w:val="List Number"/>
    <w:basedOn w:val="Normal"/>
    <w:uiPriority w:val="99"/>
    <w:semiHidden/>
    <w:unhideWhenUsed/>
    <w:qFormat/>
    <w:rsid w:val="00400E20"/>
    <w:pPr>
      <w:numPr>
        <w:numId w:val="3"/>
      </w:numPr>
      <w:contextualSpacing/>
    </w:pPr>
  </w:style>
  <w:style w:type="paragraph" w:styleId="ListBullet">
    <w:name w:val="List Bullet"/>
    <w:basedOn w:val="Normal"/>
    <w:uiPriority w:val="99"/>
    <w:semiHidden/>
    <w:unhideWhenUsed/>
    <w:qFormat/>
    <w:rsid w:val="00C31C4B"/>
    <w:pPr>
      <w:numPr>
        <w:numId w:val="2"/>
      </w:numPr>
      <w:contextualSpacing/>
    </w:pPr>
  </w:style>
  <w:style w:type="character" w:styleId="DefaultParagraphFont" w:default="true">
    <w:name w:val="Default Paragraph Font"/>
  </w:style>
</w:styles>
</file>

<file path=word/_rels/document.xml.rels><?xml version="1.0" encoding="UTF-8" standalone="yes"?>
<Relationships xmlns="http://schemas.openxmlformats.org/package/2006/relationships">
    <Relationship Target="numbering.xml" Type="http://schemas.openxmlformats.org/officeDocument/2006/relationships/numbering" Id="rId2"/>
    <Relationship Target="styles.xml" Type="http://schemas.openxmlformats.org/officeDocument/2006/relationships/styles" Id="rId1"/>
    <Relationship TargetMode="External" Target="https://9e6fb70c-133b-4023-b2bf-334c384abf87.file" Type="http://schemas.openxmlformats.org/officeDocument/2006/relationships/hyperlink" Id="rId3"/>
</Relationships>

</file>