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C8843" w14:textId="77777777" w:rsidR="0008661D" w:rsidRPr="00E452D2" w:rsidRDefault="0008661D" w:rsidP="0008661D">
      <w:pPr>
        <w:spacing w:after="0" w:line="240" w:lineRule="auto"/>
        <w:rPr>
          <w:sz w:val="32"/>
          <w:szCs w:val="32"/>
        </w:rPr>
      </w:pPr>
      <w:r w:rsidRPr="00E452D2">
        <w:rPr>
          <w:sz w:val="32"/>
          <w:szCs w:val="32"/>
        </w:rPr>
        <w:t>Titel</w:t>
      </w:r>
    </w:p>
    <w:p w14:paraId="5164382C" w14:textId="5CA9BEBE" w:rsidR="0008661D" w:rsidRPr="00E452D2" w:rsidRDefault="0008661D" w:rsidP="0008661D">
      <w:pPr>
        <w:spacing w:after="0" w:line="240" w:lineRule="auto"/>
      </w:pPr>
      <w:r>
        <w:t>UV_</w:t>
      </w:r>
      <w:r w:rsidR="00350DD9">
        <w:t>RichtlijnenEthischeToetsing</w:t>
      </w:r>
      <w:r w:rsidRPr="00E452D2">
        <w:t>_</w:t>
      </w:r>
      <w:r>
        <w:t>v</w:t>
      </w:r>
      <w:r w:rsidR="00350DD9">
        <w:t>0</w:t>
      </w:r>
      <w:r w:rsidR="00333A55">
        <w:t>2</w:t>
      </w:r>
      <w:r w:rsidRPr="00E452D2">
        <w:t>_</w:t>
      </w:r>
      <w:r w:rsidR="00350DD9">
        <w:t>concept</w:t>
      </w:r>
    </w:p>
    <w:p w14:paraId="0CCBD4EB" w14:textId="77777777" w:rsidR="0008661D" w:rsidRPr="00E452D2" w:rsidRDefault="0008661D" w:rsidP="0008661D">
      <w:pPr>
        <w:spacing w:after="0" w:line="240" w:lineRule="auto"/>
      </w:pPr>
    </w:p>
    <w:p w14:paraId="02B3E230" w14:textId="77777777" w:rsidR="0008661D" w:rsidRPr="00E452D2" w:rsidRDefault="0008661D" w:rsidP="0008661D">
      <w:pPr>
        <w:spacing w:after="0" w:line="240" w:lineRule="auto"/>
      </w:pPr>
    </w:p>
    <w:p w14:paraId="49F9025C" w14:textId="77777777" w:rsidR="0008661D" w:rsidRPr="00E31F92" w:rsidRDefault="0008661D" w:rsidP="0008661D">
      <w:pPr>
        <w:spacing w:after="0" w:line="240" w:lineRule="auto"/>
        <w:rPr>
          <w:sz w:val="32"/>
          <w:szCs w:val="32"/>
        </w:rPr>
      </w:pPr>
      <w:r w:rsidRPr="00E31F92">
        <w:rPr>
          <w:sz w:val="32"/>
          <w:szCs w:val="32"/>
        </w:rPr>
        <w:t>Versiebeheer</w:t>
      </w:r>
    </w:p>
    <w:p w14:paraId="70DC62BB" w14:textId="77777777" w:rsidR="0008661D" w:rsidRDefault="0008661D" w:rsidP="0008661D">
      <w:pPr>
        <w:spacing w:after="0" w:line="240" w:lineRule="auto"/>
      </w:pPr>
    </w:p>
    <w:tbl>
      <w:tblPr>
        <w:tblStyle w:val="TableGrid"/>
        <w:tblW w:w="0" w:type="auto"/>
        <w:tblLook w:val="04A0" w:firstRow="1" w:lastRow="0" w:firstColumn="1" w:lastColumn="0" w:noHBand="0" w:noVBand="1"/>
      </w:tblPr>
      <w:tblGrid>
        <w:gridCol w:w="976"/>
        <w:gridCol w:w="1005"/>
        <w:gridCol w:w="1275"/>
        <w:gridCol w:w="1726"/>
        <w:gridCol w:w="4034"/>
      </w:tblGrid>
      <w:tr w:rsidR="0008661D" w14:paraId="6A491DDC" w14:textId="77777777" w:rsidTr="00350DD9">
        <w:tc>
          <w:tcPr>
            <w:tcW w:w="976" w:type="dxa"/>
            <w:shd w:val="clear" w:color="auto" w:fill="25167A"/>
          </w:tcPr>
          <w:p w14:paraId="51C49293" w14:textId="77777777" w:rsidR="0008661D" w:rsidRPr="002E5D24" w:rsidRDefault="0008661D" w:rsidP="0008661D">
            <w:pPr>
              <w:rPr>
                <w:b/>
                <w:color w:val="FFFFFF" w:themeColor="background1"/>
                <w:sz w:val="20"/>
                <w:szCs w:val="20"/>
              </w:rPr>
            </w:pPr>
            <w:r w:rsidRPr="002E5D24">
              <w:rPr>
                <w:b/>
                <w:color w:val="FFFFFF" w:themeColor="background1"/>
                <w:sz w:val="20"/>
                <w:szCs w:val="20"/>
              </w:rPr>
              <w:t>Nummer</w:t>
            </w:r>
          </w:p>
        </w:tc>
        <w:tc>
          <w:tcPr>
            <w:tcW w:w="1005" w:type="dxa"/>
            <w:shd w:val="clear" w:color="auto" w:fill="25167A"/>
          </w:tcPr>
          <w:p w14:paraId="7D37E7F1" w14:textId="77777777" w:rsidR="0008661D" w:rsidRPr="002E5D24" w:rsidRDefault="0008661D" w:rsidP="0008661D">
            <w:pPr>
              <w:rPr>
                <w:b/>
                <w:color w:val="FFFFFF" w:themeColor="background1"/>
                <w:sz w:val="20"/>
                <w:szCs w:val="20"/>
              </w:rPr>
            </w:pPr>
            <w:r>
              <w:rPr>
                <w:b/>
                <w:color w:val="FFFFFF" w:themeColor="background1"/>
                <w:sz w:val="20"/>
                <w:szCs w:val="20"/>
              </w:rPr>
              <w:t>Status</w:t>
            </w:r>
          </w:p>
        </w:tc>
        <w:tc>
          <w:tcPr>
            <w:tcW w:w="1275" w:type="dxa"/>
            <w:shd w:val="clear" w:color="auto" w:fill="25167A"/>
          </w:tcPr>
          <w:p w14:paraId="64CA00E2"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1726" w:type="dxa"/>
            <w:shd w:val="clear" w:color="auto" w:fill="25167A"/>
          </w:tcPr>
          <w:p w14:paraId="3490D384" w14:textId="77777777" w:rsidR="0008661D" w:rsidRPr="002E5D24" w:rsidRDefault="0008661D" w:rsidP="0008661D">
            <w:pPr>
              <w:rPr>
                <w:b/>
                <w:color w:val="FFFFFF" w:themeColor="background1"/>
                <w:sz w:val="20"/>
                <w:szCs w:val="20"/>
              </w:rPr>
            </w:pPr>
            <w:r w:rsidRPr="002E5D24">
              <w:rPr>
                <w:b/>
                <w:color w:val="FFFFFF" w:themeColor="background1"/>
                <w:sz w:val="20"/>
                <w:szCs w:val="20"/>
              </w:rPr>
              <w:t>Opgesteld door</w:t>
            </w:r>
          </w:p>
        </w:tc>
        <w:tc>
          <w:tcPr>
            <w:tcW w:w="4034" w:type="dxa"/>
            <w:shd w:val="clear" w:color="auto" w:fill="25167A"/>
          </w:tcPr>
          <w:p w14:paraId="330F3AA2" w14:textId="77777777" w:rsidR="0008661D" w:rsidRPr="002E5D24" w:rsidRDefault="0008661D" w:rsidP="0008661D">
            <w:pPr>
              <w:rPr>
                <w:b/>
                <w:color w:val="FFFFFF" w:themeColor="background1"/>
                <w:sz w:val="20"/>
                <w:szCs w:val="20"/>
              </w:rPr>
            </w:pPr>
            <w:r w:rsidRPr="002E5D24">
              <w:rPr>
                <w:b/>
                <w:color w:val="FFFFFF" w:themeColor="background1"/>
                <w:sz w:val="20"/>
                <w:szCs w:val="20"/>
              </w:rPr>
              <w:t>Omschrijving/Wijzigingen</w:t>
            </w:r>
          </w:p>
        </w:tc>
      </w:tr>
      <w:tr w:rsidR="0008661D" w14:paraId="3F952098" w14:textId="77777777" w:rsidTr="00350DD9">
        <w:tc>
          <w:tcPr>
            <w:tcW w:w="976" w:type="dxa"/>
          </w:tcPr>
          <w:p w14:paraId="120B65EE" w14:textId="1A8A60E9" w:rsidR="0008661D" w:rsidRPr="002E5D24" w:rsidRDefault="00350DD9" w:rsidP="0008661D">
            <w:pPr>
              <w:rPr>
                <w:color w:val="000000" w:themeColor="text1"/>
                <w:sz w:val="20"/>
                <w:szCs w:val="20"/>
              </w:rPr>
            </w:pPr>
            <w:r>
              <w:rPr>
                <w:color w:val="000000" w:themeColor="text1"/>
                <w:sz w:val="20"/>
                <w:szCs w:val="20"/>
              </w:rPr>
              <w:t>0.1</w:t>
            </w:r>
          </w:p>
        </w:tc>
        <w:tc>
          <w:tcPr>
            <w:tcW w:w="1005" w:type="dxa"/>
          </w:tcPr>
          <w:p w14:paraId="5A52093E" w14:textId="0F05C276" w:rsidR="0008661D" w:rsidRDefault="00350DD9" w:rsidP="0008661D">
            <w:pPr>
              <w:rPr>
                <w:color w:val="000000" w:themeColor="text1"/>
                <w:sz w:val="20"/>
                <w:szCs w:val="20"/>
              </w:rPr>
            </w:pPr>
            <w:r>
              <w:rPr>
                <w:color w:val="000000" w:themeColor="text1"/>
                <w:sz w:val="20"/>
                <w:szCs w:val="20"/>
              </w:rPr>
              <w:t>concept</w:t>
            </w:r>
          </w:p>
        </w:tc>
        <w:tc>
          <w:tcPr>
            <w:tcW w:w="1275" w:type="dxa"/>
          </w:tcPr>
          <w:p w14:paraId="183968B1" w14:textId="5F77740C" w:rsidR="0008661D" w:rsidRPr="002E5D24" w:rsidRDefault="00350DD9" w:rsidP="0008661D">
            <w:pPr>
              <w:rPr>
                <w:color w:val="000000" w:themeColor="text1"/>
                <w:sz w:val="20"/>
                <w:szCs w:val="20"/>
              </w:rPr>
            </w:pPr>
            <w:r>
              <w:rPr>
                <w:color w:val="000000" w:themeColor="text1"/>
                <w:sz w:val="20"/>
                <w:szCs w:val="20"/>
              </w:rPr>
              <w:t>21-11-2019</w:t>
            </w:r>
          </w:p>
        </w:tc>
        <w:tc>
          <w:tcPr>
            <w:tcW w:w="1726" w:type="dxa"/>
          </w:tcPr>
          <w:p w14:paraId="6D72079E" w14:textId="6A119C04" w:rsidR="0008661D" w:rsidRPr="002E5D24" w:rsidRDefault="00350DD9" w:rsidP="0008661D">
            <w:pPr>
              <w:rPr>
                <w:color w:val="000000" w:themeColor="text1"/>
                <w:sz w:val="20"/>
                <w:szCs w:val="20"/>
              </w:rPr>
            </w:pPr>
            <w:r>
              <w:rPr>
                <w:color w:val="000000" w:themeColor="text1"/>
                <w:sz w:val="20"/>
                <w:szCs w:val="20"/>
              </w:rPr>
              <w:t>N.R. van Ulzen</w:t>
            </w:r>
          </w:p>
        </w:tc>
        <w:tc>
          <w:tcPr>
            <w:tcW w:w="4034" w:type="dxa"/>
          </w:tcPr>
          <w:p w14:paraId="4A9B36E1" w14:textId="77777777" w:rsidR="0008661D" w:rsidRPr="002E5D24" w:rsidRDefault="0008661D" w:rsidP="0008661D">
            <w:pPr>
              <w:rPr>
                <w:color w:val="000000" w:themeColor="text1"/>
                <w:sz w:val="20"/>
                <w:szCs w:val="20"/>
              </w:rPr>
            </w:pPr>
          </w:p>
        </w:tc>
      </w:tr>
      <w:tr w:rsidR="0008661D" w:rsidRPr="00E31F92" w14:paraId="17BACEF6" w14:textId="77777777" w:rsidTr="00350DD9">
        <w:tc>
          <w:tcPr>
            <w:tcW w:w="976" w:type="dxa"/>
          </w:tcPr>
          <w:p w14:paraId="57102C4D" w14:textId="5FD1CBB4" w:rsidR="0008661D" w:rsidRPr="002E5D24" w:rsidRDefault="00E164E2" w:rsidP="0008661D">
            <w:pPr>
              <w:rPr>
                <w:color w:val="000000" w:themeColor="text1"/>
                <w:sz w:val="20"/>
                <w:szCs w:val="20"/>
              </w:rPr>
            </w:pPr>
            <w:r>
              <w:rPr>
                <w:color w:val="000000" w:themeColor="text1"/>
                <w:sz w:val="20"/>
                <w:szCs w:val="20"/>
              </w:rPr>
              <w:t>0.2</w:t>
            </w:r>
          </w:p>
        </w:tc>
        <w:tc>
          <w:tcPr>
            <w:tcW w:w="1005" w:type="dxa"/>
          </w:tcPr>
          <w:p w14:paraId="228071F2" w14:textId="2A8C8B45" w:rsidR="0008661D" w:rsidRDefault="00E164E2" w:rsidP="0008661D">
            <w:pPr>
              <w:rPr>
                <w:color w:val="000000" w:themeColor="text1"/>
                <w:sz w:val="20"/>
                <w:szCs w:val="20"/>
              </w:rPr>
            </w:pPr>
            <w:r>
              <w:rPr>
                <w:color w:val="000000" w:themeColor="text1"/>
                <w:sz w:val="20"/>
                <w:szCs w:val="20"/>
              </w:rPr>
              <w:t>concept</w:t>
            </w:r>
          </w:p>
        </w:tc>
        <w:tc>
          <w:tcPr>
            <w:tcW w:w="1275" w:type="dxa"/>
          </w:tcPr>
          <w:p w14:paraId="34A020F0" w14:textId="6E2FDF96" w:rsidR="0008661D" w:rsidRPr="002E5D24" w:rsidRDefault="00E164E2" w:rsidP="0008661D">
            <w:pPr>
              <w:rPr>
                <w:color w:val="000000" w:themeColor="text1"/>
                <w:sz w:val="20"/>
                <w:szCs w:val="20"/>
              </w:rPr>
            </w:pPr>
            <w:r>
              <w:rPr>
                <w:color w:val="000000" w:themeColor="text1"/>
                <w:sz w:val="20"/>
                <w:szCs w:val="20"/>
              </w:rPr>
              <w:t>03-02-2020</w:t>
            </w:r>
          </w:p>
        </w:tc>
        <w:tc>
          <w:tcPr>
            <w:tcW w:w="1726" w:type="dxa"/>
          </w:tcPr>
          <w:p w14:paraId="7E1C70B9" w14:textId="5E0ACFFF" w:rsidR="0008661D" w:rsidRPr="002E5D24" w:rsidRDefault="00E164E2" w:rsidP="0008661D">
            <w:pPr>
              <w:rPr>
                <w:color w:val="000000" w:themeColor="text1"/>
                <w:sz w:val="20"/>
                <w:szCs w:val="20"/>
              </w:rPr>
            </w:pPr>
            <w:r>
              <w:rPr>
                <w:color w:val="000000" w:themeColor="text1"/>
                <w:sz w:val="20"/>
                <w:szCs w:val="20"/>
              </w:rPr>
              <w:t>N.R. van Ulzen</w:t>
            </w:r>
          </w:p>
        </w:tc>
        <w:tc>
          <w:tcPr>
            <w:tcW w:w="4034" w:type="dxa"/>
          </w:tcPr>
          <w:p w14:paraId="241D6BBC" w14:textId="04E1FB35" w:rsidR="0008661D" w:rsidRPr="002E5D24" w:rsidRDefault="00E164E2" w:rsidP="0008661D">
            <w:pPr>
              <w:rPr>
                <w:color w:val="000000" w:themeColor="text1"/>
                <w:sz w:val="20"/>
                <w:szCs w:val="20"/>
              </w:rPr>
            </w:pPr>
            <w:r>
              <w:rPr>
                <w:color w:val="000000" w:themeColor="text1"/>
                <w:sz w:val="20"/>
                <w:szCs w:val="20"/>
              </w:rPr>
              <w:t>Opmerkingen stakeholders verwerkt</w:t>
            </w:r>
          </w:p>
        </w:tc>
      </w:tr>
      <w:tr w:rsidR="0008661D" w:rsidRPr="00E31F92" w14:paraId="79BCFB25" w14:textId="77777777" w:rsidTr="00350DD9">
        <w:tc>
          <w:tcPr>
            <w:tcW w:w="976" w:type="dxa"/>
          </w:tcPr>
          <w:p w14:paraId="74A267AA" w14:textId="77777777" w:rsidR="0008661D" w:rsidRPr="002E5D24" w:rsidRDefault="0008661D" w:rsidP="0008661D">
            <w:pPr>
              <w:rPr>
                <w:color w:val="000000" w:themeColor="text1"/>
                <w:sz w:val="20"/>
                <w:szCs w:val="20"/>
              </w:rPr>
            </w:pPr>
          </w:p>
        </w:tc>
        <w:tc>
          <w:tcPr>
            <w:tcW w:w="1005" w:type="dxa"/>
          </w:tcPr>
          <w:p w14:paraId="156FDCB9" w14:textId="77777777" w:rsidR="0008661D" w:rsidRDefault="0008661D" w:rsidP="0008661D">
            <w:pPr>
              <w:rPr>
                <w:color w:val="000000" w:themeColor="text1"/>
                <w:sz w:val="20"/>
                <w:szCs w:val="20"/>
              </w:rPr>
            </w:pPr>
          </w:p>
        </w:tc>
        <w:tc>
          <w:tcPr>
            <w:tcW w:w="1275" w:type="dxa"/>
          </w:tcPr>
          <w:p w14:paraId="7F735156" w14:textId="77777777" w:rsidR="0008661D" w:rsidRPr="002E5D24" w:rsidRDefault="0008661D" w:rsidP="0008661D">
            <w:pPr>
              <w:rPr>
                <w:color w:val="000000" w:themeColor="text1"/>
                <w:sz w:val="20"/>
                <w:szCs w:val="20"/>
              </w:rPr>
            </w:pPr>
          </w:p>
        </w:tc>
        <w:tc>
          <w:tcPr>
            <w:tcW w:w="1726" w:type="dxa"/>
          </w:tcPr>
          <w:p w14:paraId="06044FED" w14:textId="77777777" w:rsidR="0008661D" w:rsidRPr="002E5D24" w:rsidRDefault="0008661D" w:rsidP="0008661D">
            <w:pPr>
              <w:rPr>
                <w:color w:val="000000" w:themeColor="text1"/>
                <w:sz w:val="20"/>
                <w:szCs w:val="20"/>
              </w:rPr>
            </w:pPr>
          </w:p>
        </w:tc>
        <w:tc>
          <w:tcPr>
            <w:tcW w:w="4034" w:type="dxa"/>
          </w:tcPr>
          <w:p w14:paraId="6E7AD7FD" w14:textId="77777777" w:rsidR="0008661D" w:rsidRPr="002E5D24" w:rsidRDefault="0008661D" w:rsidP="0008661D">
            <w:pPr>
              <w:rPr>
                <w:color w:val="000000" w:themeColor="text1"/>
                <w:sz w:val="20"/>
                <w:szCs w:val="20"/>
              </w:rPr>
            </w:pPr>
          </w:p>
        </w:tc>
      </w:tr>
      <w:tr w:rsidR="0008661D" w:rsidRPr="00E31F92" w14:paraId="0D26A0B8" w14:textId="77777777" w:rsidTr="00350DD9">
        <w:tc>
          <w:tcPr>
            <w:tcW w:w="976" w:type="dxa"/>
          </w:tcPr>
          <w:p w14:paraId="61FBAC8E" w14:textId="77777777" w:rsidR="0008661D" w:rsidRPr="002E5D24" w:rsidRDefault="0008661D" w:rsidP="0008661D">
            <w:pPr>
              <w:rPr>
                <w:color w:val="000000" w:themeColor="text1"/>
                <w:sz w:val="20"/>
                <w:szCs w:val="20"/>
              </w:rPr>
            </w:pPr>
          </w:p>
        </w:tc>
        <w:tc>
          <w:tcPr>
            <w:tcW w:w="1005" w:type="dxa"/>
          </w:tcPr>
          <w:p w14:paraId="0F17B601" w14:textId="77777777" w:rsidR="0008661D" w:rsidRPr="002E5D24" w:rsidRDefault="0008661D" w:rsidP="0008661D">
            <w:pPr>
              <w:rPr>
                <w:color w:val="000000" w:themeColor="text1"/>
                <w:sz w:val="20"/>
                <w:szCs w:val="20"/>
              </w:rPr>
            </w:pPr>
          </w:p>
        </w:tc>
        <w:tc>
          <w:tcPr>
            <w:tcW w:w="1275" w:type="dxa"/>
          </w:tcPr>
          <w:p w14:paraId="1BAE05DA" w14:textId="77777777" w:rsidR="0008661D" w:rsidRPr="002E5D24" w:rsidRDefault="0008661D" w:rsidP="0008661D">
            <w:pPr>
              <w:rPr>
                <w:color w:val="000000" w:themeColor="text1"/>
                <w:sz w:val="20"/>
                <w:szCs w:val="20"/>
              </w:rPr>
            </w:pPr>
          </w:p>
        </w:tc>
        <w:tc>
          <w:tcPr>
            <w:tcW w:w="1726" w:type="dxa"/>
          </w:tcPr>
          <w:p w14:paraId="7E234C97" w14:textId="77777777" w:rsidR="0008661D" w:rsidRPr="002E5D24" w:rsidRDefault="0008661D" w:rsidP="0008661D">
            <w:pPr>
              <w:rPr>
                <w:color w:val="000000" w:themeColor="text1"/>
                <w:sz w:val="20"/>
                <w:szCs w:val="20"/>
              </w:rPr>
            </w:pPr>
          </w:p>
        </w:tc>
        <w:tc>
          <w:tcPr>
            <w:tcW w:w="4034" w:type="dxa"/>
          </w:tcPr>
          <w:p w14:paraId="2B3E393D" w14:textId="77777777" w:rsidR="0008661D" w:rsidRPr="002E5D24" w:rsidRDefault="0008661D" w:rsidP="0008661D">
            <w:pPr>
              <w:rPr>
                <w:color w:val="000000" w:themeColor="text1"/>
                <w:sz w:val="20"/>
                <w:szCs w:val="20"/>
              </w:rPr>
            </w:pPr>
          </w:p>
        </w:tc>
      </w:tr>
      <w:tr w:rsidR="0008661D" w:rsidRPr="00E31F92" w14:paraId="15435DB6" w14:textId="77777777" w:rsidTr="00350DD9">
        <w:tc>
          <w:tcPr>
            <w:tcW w:w="976" w:type="dxa"/>
          </w:tcPr>
          <w:p w14:paraId="1DF0783B" w14:textId="77777777" w:rsidR="0008661D" w:rsidRPr="002E5D24" w:rsidRDefault="0008661D" w:rsidP="0008661D">
            <w:pPr>
              <w:rPr>
                <w:color w:val="000000" w:themeColor="text1"/>
                <w:sz w:val="20"/>
                <w:szCs w:val="20"/>
              </w:rPr>
            </w:pPr>
          </w:p>
        </w:tc>
        <w:tc>
          <w:tcPr>
            <w:tcW w:w="1005" w:type="dxa"/>
          </w:tcPr>
          <w:p w14:paraId="2D412A8E" w14:textId="77777777" w:rsidR="0008661D" w:rsidRPr="002E5D24" w:rsidRDefault="0008661D" w:rsidP="0008661D">
            <w:pPr>
              <w:rPr>
                <w:color w:val="000000" w:themeColor="text1"/>
                <w:sz w:val="20"/>
                <w:szCs w:val="20"/>
              </w:rPr>
            </w:pPr>
          </w:p>
        </w:tc>
        <w:tc>
          <w:tcPr>
            <w:tcW w:w="1275" w:type="dxa"/>
          </w:tcPr>
          <w:p w14:paraId="380A4920" w14:textId="77777777" w:rsidR="0008661D" w:rsidRPr="002E5D24" w:rsidRDefault="0008661D" w:rsidP="0008661D">
            <w:pPr>
              <w:rPr>
                <w:color w:val="000000" w:themeColor="text1"/>
                <w:sz w:val="20"/>
                <w:szCs w:val="20"/>
              </w:rPr>
            </w:pPr>
          </w:p>
        </w:tc>
        <w:tc>
          <w:tcPr>
            <w:tcW w:w="1726" w:type="dxa"/>
          </w:tcPr>
          <w:p w14:paraId="7DA42BA9" w14:textId="77777777" w:rsidR="0008661D" w:rsidRPr="002E5D24" w:rsidRDefault="0008661D" w:rsidP="0008661D">
            <w:pPr>
              <w:rPr>
                <w:color w:val="000000" w:themeColor="text1"/>
                <w:sz w:val="20"/>
                <w:szCs w:val="20"/>
              </w:rPr>
            </w:pPr>
          </w:p>
        </w:tc>
        <w:tc>
          <w:tcPr>
            <w:tcW w:w="4034" w:type="dxa"/>
          </w:tcPr>
          <w:p w14:paraId="1E2BE6D6" w14:textId="77777777" w:rsidR="0008661D" w:rsidRPr="002E5D24" w:rsidRDefault="0008661D" w:rsidP="0008661D">
            <w:pPr>
              <w:rPr>
                <w:color w:val="000000" w:themeColor="text1"/>
                <w:sz w:val="20"/>
                <w:szCs w:val="20"/>
              </w:rPr>
            </w:pPr>
          </w:p>
        </w:tc>
      </w:tr>
    </w:tbl>
    <w:p w14:paraId="546ECAE9" w14:textId="77777777" w:rsidR="0008661D" w:rsidRDefault="0008661D" w:rsidP="0008661D">
      <w:pPr>
        <w:spacing w:after="0" w:line="240" w:lineRule="auto"/>
      </w:pPr>
    </w:p>
    <w:p w14:paraId="396B2489"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5E657814" w14:textId="77777777" w:rsidR="0008661D" w:rsidRPr="00E452D2" w:rsidRDefault="0008661D" w:rsidP="0008661D">
      <w:pPr>
        <w:spacing w:after="0" w:line="240" w:lineRule="auto"/>
        <w:ind w:firstLine="720"/>
        <w:rPr>
          <w:i/>
          <w:color w:val="808080" w:themeColor="background1" w:themeShade="80"/>
          <w:sz w:val="20"/>
          <w:szCs w:val="20"/>
        </w:rPr>
      </w:pPr>
      <w:r w:rsidRPr="00E452D2">
        <w:rPr>
          <w:i/>
          <w:color w:val="808080" w:themeColor="background1" w:themeShade="80"/>
          <w:sz w:val="20"/>
          <w:szCs w:val="20"/>
        </w:rPr>
        <w:t>Versienummers</w:t>
      </w:r>
    </w:p>
    <w:p w14:paraId="75BC8F13"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Nieuwe versienummers worden toegekend elke keer als het document 'naar buiten' gaat en een inhoudelijke wijziging heeft ondergaan ten opzichte van de vorige versie.</w:t>
      </w:r>
    </w:p>
    <w:p w14:paraId="5DC9B6C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0.1 – 0.n</w:t>
      </w:r>
      <w:r w:rsidRPr="00E452D2">
        <w:rPr>
          <w:color w:val="808080" w:themeColor="background1" w:themeShade="80"/>
          <w:sz w:val="20"/>
          <w:szCs w:val="20"/>
        </w:rPr>
        <w:tab/>
        <w:t xml:space="preserve">Versienummers beginnend met een 0 zijn concept- of pilotversies. Deze versies zijn nog niet formeel vastgesteld op bestuursniveau (management team, primus </w:t>
      </w:r>
      <w:proofErr w:type="spellStart"/>
      <w:r w:rsidRPr="00E452D2">
        <w:rPr>
          <w:color w:val="808080" w:themeColor="background1" w:themeShade="80"/>
          <w:sz w:val="20"/>
          <w:szCs w:val="20"/>
        </w:rPr>
        <w:t>inter</w:t>
      </w:r>
      <w:proofErr w:type="spellEnd"/>
      <w:r w:rsidRPr="00E452D2">
        <w:rPr>
          <w:color w:val="808080" w:themeColor="background1" w:themeShade="80"/>
          <w:sz w:val="20"/>
          <w:szCs w:val="20"/>
        </w:rPr>
        <w:t xml:space="preserve"> </w:t>
      </w:r>
      <w:proofErr w:type="spellStart"/>
      <w:r w:rsidRPr="00E452D2">
        <w:rPr>
          <w:color w:val="808080" w:themeColor="background1" w:themeShade="80"/>
          <w:sz w:val="20"/>
          <w:szCs w:val="20"/>
        </w:rPr>
        <w:t>pares</w:t>
      </w:r>
      <w:proofErr w:type="spellEnd"/>
      <w:r w:rsidRPr="00E452D2">
        <w:rPr>
          <w:color w:val="808080" w:themeColor="background1" w:themeShade="80"/>
          <w:sz w:val="20"/>
          <w:szCs w:val="20"/>
        </w:rPr>
        <w:t>). Er kunnen geen ‘rechten’ aan worden ontleend. Het kan zijn dat nog niet met alle betrokkenen is gesproken</w:t>
      </w:r>
    </w:p>
    <w:p w14:paraId="1E74BE7E"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1.0</w:t>
      </w:r>
      <w:r w:rsidRPr="00E452D2">
        <w:rPr>
          <w:color w:val="808080" w:themeColor="background1" w:themeShade="80"/>
          <w:sz w:val="20"/>
          <w:szCs w:val="20"/>
        </w:rPr>
        <w:tab/>
        <w:t>Dit is de eerste ‘definitieve’ versie die formeel is vastgesteld op bestuursniveau</w:t>
      </w:r>
    </w:p>
    <w:p w14:paraId="7FBC99F9"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1.1 – 1.n</w:t>
      </w:r>
      <w:r w:rsidRPr="00E452D2">
        <w:rPr>
          <w:color w:val="808080" w:themeColor="background1" w:themeShade="80"/>
          <w:sz w:val="20"/>
          <w:szCs w:val="20"/>
        </w:rPr>
        <w:tab/>
        <w:t xml:space="preserve">Dit zijn ‘minor </w:t>
      </w:r>
      <w:proofErr w:type="spellStart"/>
      <w:r w:rsidRPr="00E452D2">
        <w:rPr>
          <w:color w:val="808080" w:themeColor="background1" w:themeShade="80"/>
          <w:sz w:val="20"/>
          <w:szCs w:val="20"/>
        </w:rPr>
        <w:t>revisions</w:t>
      </w:r>
      <w:proofErr w:type="spellEnd"/>
      <w:r w:rsidRPr="00E452D2">
        <w:rPr>
          <w:color w:val="808080" w:themeColor="background1" w:themeShade="80"/>
          <w:sz w:val="20"/>
          <w:szCs w:val="20"/>
        </w:rPr>
        <w:t>’ / kleine aanpassingen t.o.v. de formeel vastgestelde versie. Het kan zijn dat de versie weer de status concept krijgt,  maar dat hoeft niet</w:t>
      </w:r>
    </w:p>
    <w:p w14:paraId="016BDA20"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2.0</w:t>
      </w:r>
      <w:r w:rsidRPr="00E452D2">
        <w:rPr>
          <w:color w:val="808080" w:themeColor="background1" w:themeShade="80"/>
          <w:sz w:val="20"/>
          <w:szCs w:val="20"/>
        </w:rPr>
        <w:tab/>
        <w:t>Dit is de tweede ‘definitieve’ versie die formeel is vastgesteld op bestuursniveau. Er zijn significante wijzigingen doorgevoerd t.o.v. de eerste versie</w:t>
      </w:r>
    </w:p>
    <w:p w14:paraId="219BAA0F" w14:textId="77777777" w:rsidR="0008661D" w:rsidRPr="00E452D2" w:rsidRDefault="0008661D" w:rsidP="0008661D">
      <w:pPr>
        <w:spacing w:after="0" w:line="240" w:lineRule="auto"/>
        <w:ind w:left="2160" w:hanging="1440"/>
        <w:rPr>
          <w:color w:val="808080" w:themeColor="background1" w:themeShade="80"/>
          <w:sz w:val="20"/>
          <w:szCs w:val="20"/>
        </w:rPr>
      </w:pPr>
      <w:r w:rsidRPr="00E452D2">
        <w:rPr>
          <w:color w:val="808080" w:themeColor="background1" w:themeShade="80"/>
          <w:sz w:val="20"/>
          <w:szCs w:val="20"/>
        </w:rPr>
        <w:t xml:space="preserve">2.1 – </w:t>
      </w:r>
      <w:proofErr w:type="spellStart"/>
      <w:r w:rsidRPr="00E452D2">
        <w:rPr>
          <w:color w:val="808080" w:themeColor="background1" w:themeShade="80"/>
          <w:sz w:val="20"/>
          <w:szCs w:val="20"/>
        </w:rPr>
        <w:t>n.n</w:t>
      </w:r>
      <w:proofErr w:type="spellEnd"/>
      <w:r w:rsidRPr="00E452D2">
        <w:rPr>
          <w:color w:val="808080" w:themeColor="background1" w:themeShade="80"/>
          <w:sz w:val="20"/>
          <w:szCs w:val="20"/>
        </w:rPr>
        <w:tab/>
      </w:r>
      <w:proofErr w:type="spellStart"/>
      <w:r w:rsidRPr="00E452D2">
        <w:rPr>
          <w:color w:val="808080" w:themeColor="background1" w:themeShade="80"/>
          <w:sz w:val="20"/>
          <w:szCs w:val="20"/>
        </w:rPr>
        <w:t>Etcetera</w:t>
      </w:r>
      <w:proofErr w:type="spellEnd"/>
    </w:p>
    <w:p w14:paraId="6BD7D04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515DF611" w14:textId="77777777" w:rsidR="0008661D" w:rsidRPr="00E452D2" w:rsidRDefault="0008661D" w:rsidP="0008661D">
      <w:pPr>
        <w:spacing w:after="0" w:line="240" w:lineRule="auto"/>
        <w:rPr>
          <w:i/>
          <w:color w:val="808080" w:themeColor="background1" w:themeShade="80"/>
          <w:sz w:val="20"/>
          <w:szCs w:val="20"/>
        </w:rPr>
      </w:pPr>
      <w:r w:rsidRPr="00E452D2">
        <w:rPr>
          <w:i/>
          <w:color w:val="808080" w:themeColor="background1" w:themeShade="80"/>
          <w:sz w:val="20"/>
          <w:szCs w:val="20"/>
        </w:rPr>
        <w:tab/>
        <w:t>Status</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Datum</w:t>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r>
      <w:r w:rsidRPr="00E452D2">
        <w:rPr>
          <w:i/>
          <w:color w:val="808080" w:themeColor="background1" w:themeShade="80"/>
          <w:sz w:val="20"/>
          <w:szCs w:val="20"/>
        </w:rPr>
        <w:tab/>
        <w:t>Opgesteld door</w:t>
      </w:r>
    </w:p>
    <w:p w14:paraId="1CB5CA50" w14:textId="77777777" w:rsidR="0008661D" w:rsidRPr="00E452D2" w:rsidRDefault="0008661D" w:rsidP="0008661D">
      <w:pPr>
        <w:spacing w:after="0" w:line="240" w:lineRule="auto"/>
        <w:rPr>
          <w:color w:val="808080" w:themeColor="background1" w:themeShade="80"/>
          <w:sz w:val="20"/>
          <w:szCs w:val="20"/>
        </w:rPr>
      </w:pPr>
      <w:r w:rsidRPr="00E452D2">
        <w:rPr>
          <w:i/>
          <w:color w:val="808080" w:themeColor="background1" w:themeShade="80"/>
          <w:sz w:val="20"/>
          <w:szCs w:val="20"/>
        </w:rPr>
        <w:tab/>
      </w:r>
      <w:r w:rsidRPr="00E452D2">
        <w:rPr>
          <w:color w:val="808080" w:themeColor="background1" w:themeShade="80"/>
          <w:sz w:val="20"/>
          <w:szCs w:val="20"/>
        </w:rPr>
        <w:t>Concept – Pilot – Definitief</w:t>
      </w:r>
      <w:r w:rsidRPr="00E452D2">
        <w:rPr>
          <w:color w:val="808080" w:themeColor="background1" w:themeShade="80"/>
          <w:sz w:val="20"/>
          <w:szCs w:val="20"/>
        </w:rPr>
        <w:tab/>
        <w:t>Releasedatum van de versie</w:t>
      </w:r>
      <w:r w:rsidRPr="00E452D2">
        <w:rPr>
          <w:color w:val="808080" w:themeColor="background1" w:themeShade="80"/>
          <w:sz w:val="20"/>
          <w:szCs w:val="20"/>
        </w:rPr>
        <w:tab/>
        <w:t>Auteur(s)</w:t>
      </w:r>
    </w:p>
    <w:p w14:paraId="051F1444"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r>
    </w:p>
    <w:p w14:paraId="145926D5" w14:textId="77777777" w:rsidR="0008661D" w:rsidRPr="00E452D2" w:rsidRDefault="0008661D" w:rsidP="0008661D">
      <w:pPr>
        <w:spacing w:after="0" w:line="240" w:lineRule="auto"/>
        <w:rPr>
          <w:i/>
          <w:color w:val="808080" w:themeColor="background1" w:themeShade="80"/>
          <w:sz w:val="20"/>
          <w:szCs w:val="20"/>
        </w:rPr>
      </w:pPr>
      <w:r w:rsidRPr="00E452D2">
        <w:rPr>
          <w:color w:val="808080" w:themeColor="background1" w:themeShade="80"/>
          <w:sz w:val="20"/>
          <w:szCs w:val="20"/>
        </w:rPr>
        <w:tab/>
      </w:r>
      <w:r w:rsidRPr="00E452D2">
        <w:rPr>
          <w:i/>
          <w:color w:val="808080" w:themeColor="background1" w:themeShade="80"/>
          <w:sz w:val="20"/>
          <w:szCs w:val="20"/>
        </w:rPr>
        <w:t>Omschrijving/wijzigingen</w:t>
      </w:r>
    </w:p>
    <w:p w14:paraId="3B3380B6" w14:textId="77777777" w:rsidR="0008661D" w:rsidRPr="00E452D2" w:rsidRDefault="0008661D" w:rsidP="0008661D">
      <w:pPr>
        <w:spacing w:after="0" w:line="240" w:lineRule="auto"/>
        <w:rPr>
          <w:color w:val="808080" w:themeColor="background1" w:themeShade="80"/>
          <w:sz w:val="20"/>
          <w:szCs w:val="20"/>
        </w:rPr>
      </w:pPr>
      <w:r w:rsidRPr="00E452D2">
        <w:rPr>
          <w:color w:val="808080" w:themeColor="background1" w:themeShade="80"/>
          <w:sz w:val="20"/>
          <w:szCs w:val="20"/>
        </w:rPr>
        <w:tab/>
        <w:t>Korte omschrijving welke wijzigingen zijn doorgevoerd en met wie is gesproken</w:t>
      </w:r>
    </w:p>
    <w:p w14:paraId="41DD9CF6" w14:textId="77777777" w:rsidR="0008661D" w:rsidRDefault="0008661D" w:rsidP="0008661D">
      <w:pPr>
        <w:spacing w:after="0" w:line="240" w:lineRule="auto"/>
      </w:pPr>
    </w:p>
    <w:p w14:paraId="6DDB50D9" w14:textId="77777777" w:rsidR="0008661D" w:rsidRDefault="0008661D" w:rsidP="0008661D">
      <w:pPr>
        <w:spacing w:after="0" w:line="240" w:lineRule="auto"/>
      </w:pPr>
    </w:p>
    <w:p w14:paraId="11B9799D" w14:textId="77777777" w:rsidR="0008661D" w:rsidRDefault="0008661D" w:rsidP="0008661D">
      <w:pPr>
        <w:spacing w:after="0" w:line="240" w:lineRule="auto"/>
        <w:rPr>
          <w:sz w:val="32"/>
          <w:szCs w:val="32"/>
        </w:rPr>
      </w:pPr>
      <w:r w:rsidRPr="00E31F92">
        <w:rPr>
          <w:sz w:val="32"/>
          <w:szCs w:val="32"/>
        </w:rPr>
        <w:t>Vaststelling</w:t>
      </w:r>
    </w:p>
    <w:p w14:paraId="137B3B5A" w14:textId="77777777" w:rsidR="0008661D" w:rsidRDefault="0008661D" w:rsidP="0008661D">
      <w:pPr>
        <w:spacing w:after="0" w:line="240" w:lineRule="auto"/>
        <w:rPr>
          <w:sz w:val="32"/>
          <w:szCs w:val="32"/>
        </w:rPr>
      </w:pPr>
    </w:p>
    <w:tbl>
      <w:tblPr>
        <w:tblStyle w:val="TableGrid"/>
        <w:tblW w:w="9351" w:type="dxa"/>
        <w:tblLook w:val="04A0" w:firstRow="1" w:lastRow="0" w:firstColumn="1" w:lastColumn="0" w:noHBand="0" w:noVBand="1"/>
      </w:tblPr>
      <w:tblGrid>
        <w:gridCol w:w="979"/>
        <w:gridCol w:w="1155"/>
        <w:gridCol w:w="3608"/>
        <w:gridCol w:w="3609"/>
      </w:tblGrid>
      <w:tr w:rsidR="0008661D" w14:paraId="08B8DA65" w14:textId="77777777" w:rsidTr="0008661D">
        <w:tc>
          <w:tcPr>
            <w:tcW w:w="979" w:type="dxa"/>
            <w:shd w:val="clear" w:color="auto" w:fill="25167A"/>
          </w:tcPr>
          <w:p w14:paraId="79A0B1D3" w14:textId="77777777" w:rsidR="0008661D" w:rsidRPr="002E5D24" w:rsidRDefault="0008661D" w:rsidP="0008661D">
            <w:pPr>
              <w:rPr>
                <w:b/>
                <w:color w:val="FFFFFF" w:themeColor="background1"/>
                <w:sz w:val="20"/>
                <w:szCs w:val="20"/>
              </w:rPr>
            </w:pPr>
            <w:r>
              <w:rPr>
                <w:b/>
                <w:color w:val="FFFFFF" w:themeColor="background1"/>
                <w:sz w:val="20"/>
                <w:szCs w:val="20"/>
              </w:rPr>
              <w:t>Versie</w:t>
            </w:r>
          </w:p>
        </w:tc>
        <w:tc>
          <w:tcPr>
            <w:tcW w:w="1155" w:type="dxa"/>
            <w:shd w:val="clear" w:color="auto" w:fill="25167A"/>
          </w:tcPr>
          <w:p w14:paraId="24D2EC75" w14:textId="77777777" w:rsidR="0008661D" w:rsidRPr="002E5D24" w:rsidRDefault="0008661D" w:rsidP="0008661D">
            <w:pPr>
              <w:rPr>
                <w:b/>
                <w:color w:val="FFFFFF" w:themeColor="background1"/>
                <w:sz w:val="20"/>
                <w:szCs w:val="20"/>
              </w:rPr>
            </w:pPr>
            <w:r w:rsidRPr="002E5D24">
              <w:rPr>
                <w:b/>
                <w:color w:val="FFFFFF" w:themeColor="background1"/>
                <w:sz w:val="20"/>
                <w:szCs w:val="20"/>
              </w:rPr>
              <w:t>Datum</w:t>
            </w:r>
          </w:p>
        </w:tc>
        <w:tc>
          <w:tcPr>
            <w:tcW w:w="3608" w:type="dxa"/>
            <w:shd w:val="clear" w:color="auto" w:fill="25167A"/>
          </w:tcPr>
          <w:p w14:paraId="4AC60145" w14:textId="77777777" w:rsidR="0008661D" w:rsidRPr="002E5D24" w:rsidRDefault="0008661D" w:rsidP="0008661D">
            <w:pPr>
              <w:rPr>
                <w:b/>
                <w:color w:val="FFFFFF" w:themeColor="background1"/>
                <w:sz w:val="20"/>
                <w:szCs w:val="20"/>
              </w:rPr>
            </w:pPr>
            <w:r>
              <w:rPr>
                <w:b/>
                <w:color w:val="FFFFFF" w:themeColor="background1"/>
                <w:sz w:val="20"/>
                <w:szCs w:val="20"/>
              </w:rPr>
              <w:t>Vastgesteld</w:t>
            </w:r>
            <w:r w:rsidRPr="002E5D24">
              <w:rPr>
                <w:b/>
                <w:color w:val="FFFFFF" w:themeColor="background1"/>
                <w:sz w:val="20"/>
                <w:szCs w:val="20"/>
              </w:rPr>
              <w:t xml:space="preserve"> door</w:t>
            </w:r>
          </w:p>
        </w:tc>
        <w:tc>
          <w:tcPr>
            <w:tcW w:w="3609" w:type="dxa"/>
            <w:shd w:val="clear" w:color="auto" w:fill="25167A"/>
          </w:tcPr>
          <w:p w14:paraId="292B99D2" w14:textId="77777777" w:rsidR="0008661D" w:rsidRPr="002E5D24" w:rsidRDefault="0008661D" w:rsidP="0008661D">
            <w:pPr>
              <w:rPr>
                <w:b/>
                <w:color w:val="FFFFFF" w:themeColor="background1"/>
                <w:sz w:val="20"/>
                <w:szCs w:val="20"/>
              </w:rPr>
            </w:pPr>
            <w:r>
              <w:rPr>
                <w:b/>
                <w:color w:val="FFFFFF" w:themeColor="background1"/>
                <w:sz w:val="20"/>
                <w:szCs w:val="20"/>
              </w:rPr>
              <w:t>Naam</w:t>
            </w:r>
          </w:p>
        </w:tc>
      </w:tr>
      <w:tr w:rsidR="0008661D" w:rsidRPr="00E31F92" w14:paraId="1FCBBC76" w14:textId="77777777" w:rsidTr="0008661D">
        <w:tc>
          <w:tcPr>
            <w:tcW w:w="979" w:type="dxa"/>
          </w:tcPr>
          <w:p w14:paraId="369F04A5" w14:textId="77777777" w:rsidR="0008661D" w:rsidRPr="002E5D24" w:rsidRDefault="0008661D" w:rsidP="0008661D">
            <w:pPr>
              <w:rPr>
                <w:color w:val="000000" w:themeColor="text1"/>
                <w:sz w:val="20"/>
                <w:szCs w:val="20"/>
              </w:rPr>
            </w:pPr>
          </w:p>
        </w:tc>
        <w:tc>
          <w:tcPr>
            <w:tcW w:w="1155" w:type="dxa"/>
          </w:tcPr>
          <w:p w14:paraId="0D821160" w14:textId="77777777" w:rsidR="0008661D" w:rsidRPr="002E5D24" w:rsidRDefault="0008661D" w:rsidP="0008661D">
            <w:pPr>
              <w:rPr>
                <w:color w:val="000000" w:themeColor="text1"/>
                <w:sz w:val="20"/>
                <w:szCs w:val="20"/>
              </w:rPr>
            </w:pPr>
          </w:p>
        </w:tc>
        <w:tc>
          <w:tcPr>
            <w:tcW w:w="3608" w:type="dxa"/>
          </w:tcPr>
          <w:p w14:paraId="51E144C6" w14:textId="77777777" w:rsidR="0008661D" w:rsidRPr="00E31F92" w:rsidRDefault="0008661D" w:rsidP="0008661D">
            <w:pPr>
              <w:rPr>
                <w:i/>
                <w:color w:val="000000" w:themeColor="text1"/>
                <w:sz w:val="20"/>
                <w:szCs w:val="20"/>
              </w:rPr>
            </w:pPr>
            <w:r w:rsidRPr="00E31F92">
              <w:rPr>
                <w:i/>
                <w:color w:val="000000" w:themeColor="text1"/>
                <w:sz w:val="20"/>
                <w:szCs w:val="20"/>
              </w:rPr>
              <w:t>[FMT FBSV/MT FG/ander gremium]</w:t>
            </w:r>
          </w:p>
        </w:tc>
        <w:tc>
          <w:tcPr>
            <w:tcW w:w="3609" w:type="dxa"/>
          </w:tcPr>
          <w:p w14:paraId="4A1842E9" w14:textId="77777777" w:rsidR="0008661D" w:rsidRPr="00E31F92" w:rsidRDefault="0008661D" w:rsidP="0008661D">
            <w:pPr>
              <w:rPr>
                <w:i/>
                <w:color w:val="000000" w:themeColor="text1"/>
                <w:sz w:val="20"/>
                <w:szCs w:val="20"/>
              </w:rPr>
            </w:pPr>
            <w:r w:rsidRPr="00E31F92">
              <w:rPr>
                <w:i/>
                <w:color w:val="000000" w:themeColor="text1"/>
                <w:sz w:val="20"/>
                <w:szCs w:val="20"/>
              </w:rPr>
              <w:t>[Naam decaan</w:t>
            </w:r>
            <w:r>
              <w:rPr>
                <w:i/>
                <w:color w:val="000000" w:themeColor="text1"/>
                <w:sz w:val="20"/>
                <w:szCs w:val="20"/>
              </w:rPr>
              <w:t>/</w:t>
            </w:r>
            <w:r w:rsidRPr="00E31F92">
              <w:rPr>
                <w:i/>
                <w:color w:val="000000" w:themeColor="text1"/>
                <w:sz w:val="20"/>
                <w:szCs w:val="20"/>
              </w:rPr>
              <w:t>PIP</w:t>
            </w:r>
            <w:r>
              <w:rPr>
                <w:i/>
                <w:color w:val="000000" w:themeColor="text1"/>
                <w:sz w:val="20"/>
                <w:szCs w:val="20"/>
              </w:rPr>
              <w:t>/</w:t>
            </w:r>
            <w:r w:rsidRPr="00E31F92">
              <w:rPr>
                <w:i/>
                <w:color w:val="000000" w:themeColor="text1"/>
                <w:sz w:val="20"/>
                <w:szCs w:val="20"/>
              </w:rPr>
              <w:t>kernlector]</w:t>
            </w:r>
          </w:p>
        </w:tc>
      </w:tr>
    </w:tbl>
    <w:p w14:paraId="6609D035" w14:textId="77777777" w:rsidR="0008661D" w:rsidRDefault="0008661D" w:rsidP="0008661D">
      <w:pPr>
        <w:spacing w:after="0" w:line="240" w:lineRule="auto"/>
        <w:rPr>
          <w:sz w:val="32"/>
          <w:szCs w:val="32"/>
        </w:rPr>
      </w:pPr>
    </w:p>
    <w:p w14:paraId="21857D30" w14:textId="77777777" w:rsidR="0008661D" w:rsidRPr="00E452D2" w:rsidRDefault="0008661D" w:rsidP="0008661D">
      <w:pPr>
        <w:spacing w:after="0" w:line="240" w:lineRule="auto"/>
        <w:ind w:firstLine="720"/>
        <w:rPr>
          <w:b/>
          <w:color w:val="808080" w:themeColor="background1" w:themeShade="80"/>
          <w:sz w:val="20"/>
          <w:szCs w:val="20"/>
        </w:rPr>
      </w:pPr>
      <w:r w:rsidRPr="00E452D2">
        <w:rPr>
          <w:b/>
          <w:color w:val="808080" w:themeColor="background1" w:themeShade="80"/>
          <w:sz w:val="20"/>
          <w:szCs w:val="20"/>
        </w:rPr>
        <w:t>Toelichting</w:t>
      </w:r>
    </w:p>
    <w:p w14:paraId="19205E8D" w14:textId="77777777" w:rsidR="0008661D" w:rsidRPr="00E452D2" w:rsidRDefault="0008661D" w:rsidP="0008661D">
      <w:pPr>
        <w:spacing w:after="0" w:line="240" w:lineRule="auto"/>
        <w:ind w:left="720"/>
        <w:rPr>
          <w:color w:val="808080" w:themeColor="background1" w:themeShade="80"/>
          <w:sz w:val="20"/>
          <w:szCs w:val="20"/>
        </w:rPr>
      </w:pPr>
      <w:r w:rsidRPr="00E452D2">
        <w:rPr>
          <w:color w:val="808080" w:themeColor="background1" w:themeShade="80"/>
          <w:sz w:val="20"/>
          <w:szCs w:val="20"/>
        </w:rPr>
        <w:t xml:space="preserve">Bij ‘definitieve’ versies (1.0, 2.0, </w:t>
      </w:r>
      <w:proofErr w:type="spellStart"/>
      <w:r w:rsidRPr="00E452D2">
        <w:rPr>
          <w:color w:val="808080" w:themeColor="background1" w:themeShade="80"/>
          <w:sz w:val="20"/>
          <w:szCs w:val="20"/>
        </w:rPr>
        <w:t>etc</w:t>
      </w:r>
      <w:proofErr w:type="spellEnd"/>
      <w:r w:rsidRPr="00E452D2">
        <w:rPr>
          <w:color w:val="808080" w:themeColor="background1" w:themeShade="80"/>
          <w:sz w:val="20"/>
          <w:szCs w:val="20"/>
        </w:rPr>
        <w:t xml:space="preserve">) aangeven wanneer (datum), waar (gremium) en door </w:t>
      </w:r>
      <w:r>
        <w:rPr>
          <w:color w:val="808080" w:themeColor="background1" w:themeShade="80"/>
          <w:sz w:val="20"/>
          <w:szCs w:val="20"/>
        </w:rPr>
        <w:t>wie het is vastgesteld (naam)</w:t>
      </w:r>
    </w:p>
    <w:p w14:paraId="305E75DE" w14:textId="77777777" w:rsidR="0008661D" w:rsidRDefault="0008661D">
      <w:pPr>
        <w:rPr>
          <w:rFonts w:asciiTheme="majorHAnsi" w:eastAsiaTheme="majorEastAsia" w:hAnsiTheme="majorHAnsi" w:cstheme="majorBidi"/>
          <w:color w:val="2F5496" w:themeColor="accent1" w:themeShade="BF"/>
          <w:sz w:val="32"/>
          <w:szCs w:val="32"/>
        </w:rPr>
      </w:pPr>
      <w:r>
        <w:br w:type="page"/>
      </w:r>
    </w:p>
    <w:p w14:paraId="56E0CC20" w14:textId="08E429DD" w:rsidR="00CC50BA" w:rsidRDefault="00CC50BA" w:rsidP="00CC50BA">
      <w:pPr>
        <w:pStyle w:val="Heading1"/>
      </w:pPr>
      <w:bookmarkStart w:id="0" w:name="_Bijlage_Verrichterschap_bij"/>
      <w:bookmarkStart w:id="1" w:name="_Toc31639835"/>
      <w:bookmarkEnd w:id="0"/>
      <w:r>
        <w:lastRenderedPageBreak/>
        <w:t>Bijlage Verrichterschap bij WMO-plichtig onderzoek</w:t>
      </w:r>
      <w:bookmarkEnd w:id="1"/>
    </w:p>
    <w:p w14:paraId="50046B0A" w14:textId="127896F8" w:rsidR="00FF601E" w:rsidRDefault="00FF601E" w:rsidP="00FF601E">
      <w:pPr>
        <w:spacing w:after="0" w:line="240" w:lineRule="auto"/>
        <w:contextualSpacing/>
        <w:jc w:val="both"/>
      </w:pPr>
      <w:r>
        <w:t>Bij praktijkgericht onderzoek van de HvA vallend onder de Wet Medisch Wetenschappelijk Onderzoek met mensen (WMO</w:t>
      </w:r>
      <w:r w:rsidR="007C295B">
        <w:t xml:space="preserve">-plichtig </w:t>
      </w:r>
      <w:r>
        <w:t>onderzoek</w:t>
      </w:r>
      <w:r w:rsidR="007C295B">
        <w:t>)</w:t>
      </w:r>
      <w:r>
        <w:t>, moet het onderzoeksteam onder andere bepalen welke partij de verrichter is. Verrichterschap brengt een aantal wettelijke verplichtingen en verantwoordelijkheden met zich mee. Daarnaast kan het richtsnoer ICH-GCP van toepassing zijn, bij onderzoek met geneesmiddelen of indien in beleid is opgenomen dat het onderzoek volgens dit richtsnoer moet worden uitgevoerd.</w:t>
      </w:r>
    </w:p>
    <w:p w14:paraId="548B346D" w14:textId="77777777" w:rsidR="00FF601E" w:rsidRDefault="00FF601E" w:rsidP="00FF601E">
      <w:pPr>
        <w:spacing w:after="0" w:line="240" w:lineRule="auto"/>
        <w:contextualSpacing/>
        <w:jc w:val="both"/>
      </w:pPr>
    </w:p>
    <w:p w14:paraId="7B67129C" w14:textId="77777777" w:rsidR="00FF601E" w:rsidRDefault="00FF601E" w:rsidP="00FF601E">
      <w:pPr>
        <w:spacing w:after="0" w:line="240" w:lineRule="auto"/>
        <w:contextualSpacing/>
        <w:jc w:val="both"/>
      </w:pPr>
      <w:r>
        <w:t>Zowel in de WMO (paragraaf 4 en 5) als in het richtsnoer ICH-GCP (hoofdstuk 4 en 5) wordt onderscheid gemaakt tussen de verantwoordelijkheden/verplichtingen van de verrichter (ook wel ‘sponsor’) en die van de uitvoerder (arts, onderzoeker).</w:t>
      </w:r>
    </w:p>
    <w:p w14:paraId="3C41E2C8" w14:textId="77777777" w:rsidR="00FF601E" w:rsidRDefault="00FF601E" w:rsidP="00FF601E">
      <w:pPr>
        <w:spacing w:after="0" w:line="240" w:lineRule="auto"/>
        <w:contextualSpacing/>
        <w:jc w:val="both"/>
      </w:pPr>
    </w:p>
    <w:p w14:paraId="46A5F317" w14:textId="776DD5A9" w:rsidR="00FF601E" w:rsidRPr="0063632A" w:rsidRDefault="00FF601E" w:rsidP="007D7E0C">
      <w:pPr>
        <w:pStyle w:val="Heading2"/>
        <w:numPr>
          <w:ilvl w:val="0"/>
          <w:numId w:val="12"/>
        </w:numPr>
      </w:pPr>
      <w:bookmarkStart w:id="2" w:name="_Toc31639836"/>
      <w:r w:rsidRPr="0063632A">
        <w:t>Afkortingen</w:t>
      </w:r>
      <w:bookmarkEnd w:id="2"/>
    </w:p>
    <w:p w14:paraId="676B8A6D" w14:textId="77777777" w:rsidR="00FF601E" w:rsidRDefault="00FF601E" w:rsidP="00FF601E">
      <w:pPr>
        <w:spacing w:after="0" w:line="240" w:lineRule="auto"/>
        <w:ind w:left="1410" w:hanging="1410"/>
        <w:contextualSpacing/>
      </w:pPr>
      <w:r>
        <w:t>AVG</w:t>
      </w:r>
      <w:r>
        <w:tab/>
        <w:t>Algemene Verordening Gegevensbescherming</w:t>
      </w:r>
    </w:p>
    <w:p w14:paraId="23AA65F8" w14:textId="77777777" w:rsidR="00FF601E" w:rsidRDefault="00FF601E" w:rsidP="00FF601E">
      <w:pPr>
        <w:spacing w:after="0" w:line="240" w:lineRule="auto"/>
        <w:ind w:left="1410" w:hanging="1410"/>
        <w:contextualSpacing/>
      </w:pPr>
      <w:r>
        <w:t>BROK</w:t>
      </w:r>
      <w:r>
        <w:tab/>
      </w:r>
      <w:r w:rsidRPr="00104EB6">
        <w:t>Basiscursus regelgeving en organisatie van klinisch onderzoek</w:t>
      </w:r>
    </w:p>
    <w:p w14:paraId="5B16A3EC" w14:textId="77777777" w:rsidR="00FF601E" w:rsidRPr="0063632A" w:rsidRDefault="00FF601E" w:rsidP="00FF601E">
      <w:pPr>
        <w:spacing w:after="0" w:line="240" w:lineRule="auto"/>
        <w:ind w:left="1410" w:hanging="1410"/>
        <w:contextualSpacing/>
        <w:rPr>
          <w:lang w:val="en-US"/>
        </w:rPr>
      </w:pPr>
      <w:r w:rsidRPr="0063632A">
        <w:rPr>
          <w:lang w:val="en-US"/>
        </w:rPr>
        <w:t>CCMO</w:t>
      </w:r>
      <w:r w:rsidRPr="0063632A">
        <w:rPr>
          <w:lang w:val="en-US"/>
        </w:rPr>
        <w:tab/>
        <w:t xml:space="preserve">Centrale </w:t>
      </w:r>
      <w:proofErr w:type="spellStart"/>
      <w:r w:rsidRPr="0063632A">
        <w:rPr>
          <w:lang w:val="en-US"/>
        </w:rPr>
        <w:t>Commissie</w:t>
      </w:r>
      <w:proofErr w:type="spellEnd"/>
      <w:r w:rsidRPr="0063632A">
        <w:rPr>
          <w:lang w:val="en-US"/>
        </w:rPr>
        <w:t xml:space="preserve"> Mensgebonden </w:t>
      </w:r>
      <w:proofErr w:type="spellStart"/>
      <w:r w:rsidRPr="0063632A">
        <w:rPr>
          <w:lang w:val="en-US"/>
        </w:rPr>
        <w:t>Onderzoek</w:t>
      </w:r>
      <w:proofErr w:type="spellEnd"/>
    </w:p>
    <w:p w14:paraId="0E9B83DB" w14:textId="77777777" w:rsidR="00FF601E" w:rsidRDefault="00FF601E" w:rsidP="00FF601E">
      <w:pPr>
        <w:spacing w:after="0" w:line="240" w:lineRule="auto"/>
        <w:ind w:left="1410" w:hanging="1410"/>
        <w:contextualSpacing/>
        <w:rPr>
          <w:lang w:val="en-US"/>
        </w:rPr>
      </w:pPr>
      <w:r>
        <w:rPr>
          <w:lang w:val="en-US"/>
        </w:rPr>
        <w:t>CRO</w:t>
      </w:r>
      <w:r>
        <w:rPr>
          <w:lang w:val="en-US"/>
        </w:rPr>
        <w:tab/>
      </w:r>
      <w:r>
        <w:rPr>
          <w:lang w:val="en-US"/>
        </w:rPr>
        <w:tab/>
        <w:t>Contract Research Organization. A</w:t>
      </w:r>
      <w:r w:rsidRPr="003B2C65">
        <w:rPr>
          <w:lang w:val="en-US"/>
        </w:rPr>
        <w:t xml:space="preserve"> person or an organization (commercial, academic, or other) contracted by the sponsor to perform one or more of a sponsor's trial-related duties and functions.</w:t>
      </w:r>
    </w:p>
    <w:p w14:paraId="7F1E2A58" w14:textId="77777777" w:rsidR="00FF601E" w:rsidRPr="00887B0F" w:rsidRDefault="00FF601E" w:rsidP="00FF601E">
      <w:pPr>
        <w:spacing w:after="0" w:line="240" w:lineRule="auto"/>
        <w:contextualSpacing/>
        <w:rPr>
          <w:lang w:val="en-US"/>
        </w:rPr>
      </w:pPr>
      <w:r w:rsidRPr="00887B0F">
        <w:rPr>
          <w:lang w:val="en-US"/>
        </w:rPr>
        <w:t>ICH-GCP</w:t>
      </w:r>
      <w:r w:rsidRPr="00887B0F">
        <w:rPr>
          <w:lang w:val="en-US"/>
        </w:rPr>
        <w:tab/>
      </w:r>
      <w:proofErr w:type="spellStart"/>
      <w:r w:rsidRPr="00887B0F">
        <w:rPr>
          <w:lang w:val="en-US"/>
        </w:rPr>
        <w:t>Richt</w:t>
      </w:r>
      <w:r>
        <w:rPr>
          <w:lang w:val="en-US"/>
        </w:rPr>
        <w:t>snoer</w:t>
      </w:r>
      <w:proofErr w:type="spellEnd"/>
      <w:r>
        <w:rPr>
          <w:lang w:val="en-US"/>
        </w:rPr>
        <w:t xml:space="preserve"> </w:t>
      </w:r>
      <w:r w:rsidRPr="00887B0F">
        <w:rPr>
          <w:lang w:val="en-US"/>
        </w:rPr>
        <w:t>Good Clinical Practice van de International Council on Harmonization of</w:t>
      </w:r>
    </w:p>
    <w:p w14:paraId="434B5E3E" w14:textId="77777777" w:rsidR="00FF601E" w:rsidRPr="00067BAA" w:rsidRDefault="00FF601E" w:rsidP="00FF601E">
      <w:pPr>
        <w:spacing w:after="0" w:line="240" w:lineRule="auto"/>
        <w:ind w:left="1416"/>
        <w:contextualSpacing/>
      </w:pPr>
      <w:r w:rsidRPr="00887B0F">
        <w:rPr>
          <w:lang w:val="en-US"/>
        </w:rPr>
        <w:t>Technical Requirements for the Registration of</w:t>
      </w:r>
      <w:r>
        <w:rPr>
          <w:lang w:val="en-US"/>
        </w:rPr>
        <w:t xml:space="preserve"> </w:t>
      </w:r>
      <w:r w:rsidRPr="00887B0F">
        <w:rPr>
          <w:lang w:val="en-US"/>
        </w:rPr>
        <w:t>Pharmaceutical for Human Use</w:t>
      </w:r>
      <w:r>
        <w:rPr>
          <w:lang w:val="en-US"/>
        </w:rPr>
        <w:t xml:space="preserve">. </w:t>
      </w:r>
      <w:proofErr w:type="spellStart"/>
      <w:r>
        <w:rPr>
          <w:lang w:val="en-US"/>
        </w:rPr>
        <w:t>Zie</w:t>
      </w:r>
      <w:proofErr w:type="spellEnd"/>
      <w:r>
        <w:rPr>
          <w:lang w:val="en-US"/>
        </w:rPr>
        <w:t xml:space="preserve">: </w:t>
      </w:r>
      <w:r w:rsidRPr="00887B0F">
        <w:rPr>
          <w:lang w:val="en-US"/>
        </w:rPr>
        <w:t xml:space="preserve">ICH </w:t>
      </w:r>
      <w:proofErr w:type="spellStart"/>
      <w:r w:rsidRPr="00887B0F">
        <w:rPr>
          <w:lang w:val="en-US"/>
        </w:rPr>
        <w:t>Harmonised</w:t>
      </w:r>
      <w:proofErr w:type="spellEnd"/>
      <w:r w:rsidRPr="00887B0F">
        <w:rPr>
          <w:lang w:val="en-US"/>
        </w:rPr>
        <w:t xml:space="preserve"> Guideline. Integrated Addendum to ICH E6(R1): Guideline for  Good Clinical Practice E6(R2). </w:t>
      </w:r>
      <w:proofErr w:type="spellStart"/>
      <w:r w:rsidRPr="00067BAA">
        <w:t>Current</w:t>
      </w:r>
      <w:proofErr w:type="spellEnd"/>
      <w:r w:rsidRPr="00067BAA">
        <w:t xml:space="preserve"> step 4, </w:t>
      </w:r>
      <w:proofErr w:type="spellStart"/>
      <w:r w:rsidRPr="00067BAA">
        <w:t>version</w:t>
      </w:r>
      <w:proofErr w:type="spellEnd"/>
      <w:r w:rsidRPr="00067BAA">
        <w:t xml:space="preserve"> 09-11-2016. </w:t>
      </w:r>
      <w:hyperlink r:id="rId8" w:history="1">
        <w:r w:rsidRPr="00067BAA">
          <w:rPr>
            <w:rStyle w:val="Hyperlink"/>
          </w:rPr>
          <w:t>https://www.ich.org/page/efficacy-guidelines</w:t>
        </w:r>
      </w:hyperlink>
    </w:p>
    <w:p w14:paraId="3D6B3622" w14:textId="4BC4AFBB" w:rsidR="00FF601E" w:rsidRPr="00067BAA" w:rsidRDefault="00FF601E" w:rsidP="00FF601E">
      <w:pPr>
        <w:spacing w:after="0" w:line="240" w:lineRule="auto"/>
        <w:contextualSpacing/>
      </w:pPr>
      <w:r w:rsidRPr="00067BAA">
        <w:t>METc</w:t>
      </w:r>
      <w:r w:rsidRPr="00067BAA">
        <w:tab/>
      </w:r>
      <w:r w:rsidRPr="00067BAA">
        <w:tab/>
        <w:t>Medisch Ethische Toetsing</w:t>
      </w:r>
      <w:r w:rsidR="007A695E" w:rsidRPr="00067BAA">
        <w:t>s</w:t>
      </w:r>
      <w:r w:rsidRPr="00067BAA">
        <w:t>commissie</w:t>
      </w:r>
    </w:p>
    <w:p w14:paraId="55088660" w14:textId="77777777" w:rsidR="00FF601E" w:rsidRPr="0063632A" w:rsidRDefault="00FF601E" w:rsidP="00FF601E">
      <w:pPr>
        <w:spacing w:after="0" w:line="240" w:lineRule="auto"/>
        <w:contextualSpacing/>
        <w:rPr>
          <w:lang w:val="en-US"/>
        </w:rPr>
      </w:pPr>
      <w:r w:rsidRPr="0063632A">
        <w:rPr>
          <w:lang w:val="en-US"/>
        </w:rPr>
        <w:t>MT</w:t>
      </w:r>
      <w:r w:rsidRPr="0063632A">
        <w:rPr>
          <w:lang w:val="en-US"/>
        </w:rPr>
        <w:tab/>
      </w:r>
      <w:r w:rsidRPr="0063632A">
        <w:rPr>
          <w:lang w:val="en-US"/>
        </w:rPr>
        <w:tab/>
        <w:t>Management Team FG en/of FBSV</w:t>
      </w:r>
    </w:p>
    <w:p w14:paraId="4317EA6A" w14:textId="77777777" w:rsidR="00FF601E" w:rsidRPr="00067BAA" w:rsidRDefault="00FF601E" w:rsidP="00FF601E">
      <w:pPr>
        <w:spacing w:after="0" w:line="240" w:lineRule="auto"/>
        <w:contextualSpacing/>
        <w:rPr>
          <w:lang w:val="en-US"/>
        </w:rPr>
      </w:pPr>
      <w:r w:rsidRPr="00067BAA">
        <w:rPr>
          <w:lang w:val="en-US"/>
        </w:rPr>
        <w:t>PI</w:t>
      </w:r>
      <w:r w:rsidRPr="00067BAA">
        <w:rPr>
          <w:lang w:val="en-US"/>
        </w:rPr>
        <w:tab/>
      </w:r>
      <w:r w:rsidRPr="00067BAA">
        <w:rPr>
          <w:lang w:val="en-US"/>
        </w:rPr>
        <w:tab/>
        <w:t>Principal Investigator</w:t>
      </w:r>
    </w:p>
    <w:p w14:paraId="0788C0AC" w14:textId="77777777" w:rsidR="00FF601E" w:rsidRPr="003B2C65" w:rsidRDefault="00FF601E" w:rsidP="00FF601E">
      <w:pPr>
        <w:spacing w:after="0" w:line="240" w:lineRule="auto"/>
        <w:contextualSpacing/>
      </w:pPr>
      <w:r>
        <w:t>WMO</w:t>
      </w:r>
      <w:r>
        <w:tab/>
      </w:r>
      <w:r>
        <w:tab/>
        <w:t>Wet Medisch Wetenschappelijk Onderzoek met mensen.</w:t>
      </w:r>
    </w:p>
    <w:p w14:paraId="245449FF" w14:textId="77777777" w:rsidR="00FF601E" w:rsidRPr="003B2C65" w:rsidRDefault="00FF601E" w:rsidP="00FF601E">
      <w:pPr>
        <w:spacing w:after="0" w:line="240" w:lineRule="auto"/>
        <w:contextualSpacing/>
        <w:jc w:val="both"/>
      </w:pPr>
    </w:p>
    <w:p w14:paraId="50A7885D" w14:textId="3C75AD05" w:rsidR="00FF601E" w:rsidRDefault="00FF601E" w:rsidP="007D7E0C">
      <w:pPr>
        <w:pStyle w:val="Heading2"/>
        <w:numPr>
          <w:ilvl w:val="0"/>
          <w:numId w:val="12"/>
        </w:numPr>
      </w:pPr>
      <w:bookmarkStart w:id="3" w:name="_Toc31639837"/>
      <w:r>
        <w:t>Enkele definities</w:t>
      </w:r>
      <w:bookmarkEnd w:id="3"/>
    </w:p>
    <w:p w14:paraId="462731A0" w14:textId="77777777" w:rsidR="00FF601E" w:rsidRDefault="00FF601E" w:rsidP="00FF601E">
      <w:pPr>
        <w:spacing w:after="0" w:line="240" w:lineRule="auto"/>
        <w:contextualSpacing/>
        <w:jc w:val="both"/>
        <w:rPr>
          <w:b/>
        </w:rPr>
      </w:pPr>
    </w:p>
    <w:tbl>
      <w:tblPr>
        <w:tblStyle w:val="TableGrid"/>
        <w:tblW w:w="0" w:type="auto"/>
        <w:tblLook w:val="04A0" w:firstRow="1" w:lastRow="0" w:firstColumn="1" w:lastColumn="0" w:noHBand="0" w:noVBand="1"/>
      </w:tblPr>
      <w:tblGrid>
        <w:gridCol w:w="1980"/>
        <w:gridCol w:w="7036"/>
      </w:tblGrid>
      <w:tr w:rsidR="00FF601E" w14:paraId="009DA381" w14:textId="77777777" w:rsidTr="0008661D">
        <w:tc>
          <w:tcPr>
            <w:tcW w:w="9016" w:type="dxa"/>
            <w:gridSpan w:val="2"/>
          </w:tcPr>
          <w:p w14:paraId="68A798CB" w14:textId="77777777" w:rsidR="00FF601E" w:rsidRDefault="00FF601E" w:rsidP="0008661D">
            <w:pPr>
              <w:contextualSpacing/>
              <w:jc w:val="both"/>
              <w:rPr>
                <w:b/>
              </w:rPr>
            </w:pPr>
            <w:r>
              <w:rPr>
                <w:b/>
              </w:rPr>
              <w:t>Verrichter / sponsor</w:t>
            </w:r>
          </w:p>
        </w:tc>
      </w:tr>
      <w:tr w:rsidR="00FF601E" w14:paraId="72D67197" w14:textId="77777777" w:rsidTr="0008661D">
        <w:tc>
          <w:tcPr>
            <w:tcW w:w="1980" w:type="dxa"/>
          </w:tcPr>
          <w:p w14:paraId="3A9633BA" w14:textId="77777777" w:rsidR="00FF601E" w:rsidRPr="00517914" w:rsidRDefault="00FF601E" w:rsidP="0008661D">
            <w:pPr>
              <w:contextualSpacing/>
              <w:jc w:val="both"/>
            </w:pPr>
            <w:r w:rsidRPr="00517914">
              <w:t>WMO, artikel 1f</w:t>
            </w:r>
          </w:p>
        </w:tc>
        <w:tc>
          <w:tcPr>
            <w:tcW w:w="7036" w:type="dxa"/>
          </w:tcPr>
          <w:p w14:paraId="2F4B3253" w14:textId="77777777" w:rsidR="00FF601E" w:rsidRDefault="00FF601E" w:rsidP="0008661D">
            <w:pPr>
              <w:contextualSpacing/>
              <w:jc w:val="both"/>
              <w:rPr>
                <w:b/>
              </w:rPr>
            </w:pPr>
            <w:r w:rsidRPr="00517914">
              <w:rPr>
                <w:i/>
              </w:rPr>
              <w:t>Degene die het wetenschappelijk onderzoek verricht</w:t>
            </w:r>
            <w:r>
              <w:t xml:space="preserve">: een persoon, bedrijf, instelling of organisatie die de verantwoordelijkheid op zich neemt voor het starten, het beheer </w:t>
            </w:r>
            <w:r w:rsidRPr="00517914">
              <w:rPr>
                <w:i/>
              </w:rPr>
              <w:t>of</w:t>
            </w:r>
            <w:r>
              <w:t xml:space="preserve"> de financiering van het wetenschappelijk onderzoek.</w:t>
            </w:r>
          </w:p>
        </w:tc>
      </w:tr>
      <w:tr w:rsidR="00FF601E" w:rsidRPr="007C295B" w14:paraId="37D1A8D1" w14:textId="77777777" w:rsidTr="0008661D">
        <w:tc>
          <w:tcPr>
            <w:tcW w:w="1980" w:type="dxa"/>
          </w:tcPr>
          <w:p w14:paraId="27D0AD16" w14:textId="77777777" w:rsidR="00FF601E" w:rsidRPr="00517914" w:rsidRDefault="00FF601E" w:rsidP="0008661D">
            <w:pPr>
              <w:contextualSpacing/>
              <w:jc w:val="both"/>
            </w:pPr>
            <w:r>
              <w:t>ICH-GCP, 1.53</w:t>
            </w:r>
          </w:p>
        </w:tc>
        <w:tc>
          <w:tcPr>
            <w:tcW w:w="7036" w:type="dxa"/>
          </w:tcPr>
          <w:p w14:paraId="0B8CE8F5" w14:textId="77777777" w:rsidR="00FF601E" w:rsidRPr="00517914" w:rsidRDefault="00FF601E" w:rsidP="0008661D">
            <w:pPr>
              <w:contextualSpacing/>
              <w:jc w:val="both"/>
              <w:rPr>
                <w:b/>
                <w:lang w:val="en-US"/>
              </w:rPr>
            </w:pPr>
            <w:r w:rsidRPr="00517914">
              <w:rPr>
                <w:i/>
                <w:lang w:val="en-US"/>
              </w:rPr>
              <w:t>Sponsor</w:t>
            </w:r>
            <w:r>
              <w:rPr>
                <w:lang w:val="en-US"/>
              </w:rPr>
              <w:t xml:space="preserve">: </w:t>
            </w:r>
            <w:r w:rsidRPr="0073425F">
              <w:rPr>
                <w:lang w:val="en-US"/>
              </w:rPr>
              <w:t xml:space="preserve">An individual, company, institution, or organization which takes responsibility for the initiation, management, </w:t>
            </w:r>
            <w:r w:rsidRPr="00517914">
              <w:rPr>
                <w:i/>
                <w:lang w:val="en-US"/>
              </w:rPr>
              <w:t>and/or</w:t>
            </w:r>
            <w:r w:rsidRPr="0073425F">
              <w:rPr>
                <w:lang w:val="en-US"/>
              </w:rPr>
              <w:t xml:space="preserve"> financing of a clinical trial.</w:t>
            </w:r>
          </w:p>
        </w:tc>
      </w:tr>
      <w:tr w:rsidR="00FF601E" w:rsidRPr="00517914" w14:paraId="7988228D" w14:textId="77777777" w:rsidTr="0008661D">
        <w:tc>
          <w:tcPr>
            <w:tcW w:w="9016" w:type="dxa"/>
            <w:gridSpan w:val="2"/>
          </w:tcPr>
          <w:p w14:paraId="01461B0B" w14:textId="77777777" w:rsidR="00FF601E" w:rsidRPr="00517914" w:rsidRDefault="00FF601E" w:rsidP="0008661D">
            <w:pPr>
              <w:contextualSpacing/>
              <w:jc w:val="both"/>
              <w:rPr>
                <w:b/>
                <w:lang w:val="en-US"/>
              </w:rPr>
            </w:pPr>
            <w:proofErr w:type="spellStart"/>
            <w:r>
              <w:rPr>
                <w:b/>
                <w:lang w:val="en-US"/>
              </w:rPr>
              <w:t>Uitvoerder</w:t>
            </w:r>
            <w:proofErr w:type="spellEnd"/>
            <w:r>
              <w:rPr>
                <w:b/>
                <w:lang w:val="en-US"/>
              </w:rPr>
              <w:t xml:space="preserve"> / arts / </w:t>
            </w:r>
            <w:proofErr w:type="spellStart"/>
            <w:r>
              <w:rPr>
                <w:b/>
                <w:lang w:val="en-US"/>
              </w:rPr>
              <w:t>onderzoeker</w:t>
            </w:r>
            <w:proofErr w:type="spellEnd"/>
          </w:p>
        </w:tc>
      </w:tr>
      <w:tr w:rsidR="00FF601E" w:rsidRPr="00517914" w14:paraId="1A6059FA" w14:textId="77777777" w:rsidTr="0008661D">
        <w:tc>
          <w:tcPr>
            <w:tcW w:w="1980" w:type="dxa"/>
          </w:tcPr>
          <w:p w14:paraId="76A265D8" w14:textId="77777777" w:rsidR="00FF601E" w:rsidRDefault="00FF601E" w:rsidP="0008661D">
            <w:pPr>
              <w:contextualSpacing/>
              <w:jc w:val="both"/>
            </w:pPr>
            <w:r>
              <w:t>WMO, artikel 1g</w:t>
            </w:r>
          </w:p>
        </w:tc>
        <w:tc>
          <w:tcPr>
            <w:tcW w:w="7036" w:type="dxa"/>
          </w:tcPr>
          <w:p w14:paraId="4F2A0721" w14:textId="77777777" w:rsidR="00FF601E" w:rsidRPr="00517914" w:rsidRDefault="00FF601E" w:rsidP="0008661D">
            <w:pPr>
              <w:contextualSpacing/>
              <w:jc w:val="both"/>
            </w:pPr>
            <w:r w:rsidRPr="00517914">
              <w:rPr>
                <w:i/>
              </w:rPr>
              <w:t>Degene die het wetenschappelijk onderzoek uitvoert</w:t>
            </w:r>
            <w:r w:rsidRPr="00E55514">
              <w:t>: een arts of een in artikel 3, onder f, bedoelde persoon, die verantwoordelijk is voor de uitvoering van het wetenschappelijk onderzoek op een bepaalde locatie. Indien de feitelijke uitvoering geschiedt door een werknemer of een andere</w:t>
            </w:r>
            <w:r>
              <w:t xml:space="preserve"> </w:t>
            </w:r>
            <w:r w:rsidRPr="00517914">
              <w:t>geschiedt door een werknemer of een andere hulppersoon, wordt degene die van deze persoon gebruik maakt aangemerkt als degene die het onderzoek uitvoert</w:t>
            </w:r>
          </w:p>
        </w:tc>
      </w:tr>
      <w:tr w:rsidR="00FF601E" w:rsidRPr="007C295B" w14:paraId="2925B655" w14:textId="77777777" w:rsidTr="0008661D">
        <w:tc>
          <w:tcPr>
            <w:tcW w:w="1980" w:type="dxa"/>
          </w:tcPr>
          <w:p w14:paraId="7D688F41" w14:textId="77777777" w:rsidR="00FF601E" w:rsidRDefault="00FF601E" w:rsidP="0008661D">
            <w:pPr>
              <w:contextualSpacing/>
              <w:jc w:val="both"/>
            </w:pPr>
            <w:r>
              <w:t>ICH-GCP, 1.34</w:t>
            </w:r>
          </w:p>
        </w:tc>
        <w:tc>
          <w:tcPr>
            <w:tcW w:w="7036" w:type="dxa"/>
          </w:tcPr>
          <w:p w14:paraId="2F4C9CBC" w14:textId="77777777" w:rsidR="00FF601E" w:rsidRPr="00517914" w:rsidRDefault="00FF601E" w:rsidP="0008661D">
            <w:pPr>
              <w:contextualSpacing/>
              <w:jc w:val="both"/>
              <w:rPr>
                <w:lang w:val="en-US"/>
              </w:rPr>
            </w:pPr>
            <w:r w:rsidRPr="00517914">
              <w:rPr>
                <w:i/>
                <w:lang w:val="en-US"/>
              </w:rPr>
              <w:t xml:space="preserve">Investigator: </w:t>
            </w:r>
            <w:r w:rsidRPr="00E55514">
              <w:rPr>
                <w:lang w:val="en-US"/>
              </w:rPr>
              <w:t>A person responsible for the conduct of the clinical trial at a trial site. If a trial is conducted by a team of individuals at a trial site, the investigator is the responsible leader of the team and may be called the principal investigator.</w:t>
            </w:r>
          </w:p>
        </w:tc>
      </w:tr>
    </w:tbl>
    <w:p w14:paraId="26D0B325" w14:textId="77777777" w:rsidR="00FF601E" w:rsidRPr="00517914" w:rsidRDefault="00FF601E" w:rsidP="00FF601E">
      <w:pPr>
        <w:spacing w:after="0" w:line="240" w:lineRule="auto"/>
        <w:contextualSpacing/>
        <w:jc w:val="both"/>
        <w:rPr>
          <w:b/>
          <w:lang w:val="en-US"/>
        </w:rPr>
      </w:pPr>
    </w:p>
    <w:p w14:paraId="2F756B3C" w14:textId="77777777" w:rsidR="00FF601E" w:rsidRDefault="00FF601E" w:rsidP="00FF601E">
      <w:pPr>
        <w:spacing w:after="0" w:line="240" w:lineRule="auto"/>
        <w:contextualSpacing/>
        <w:jc w:val="both"/>
      </w:pPr>
      <w:r>
        <w:lastRenderedPageBreak/>
        <w:t>Opmerkingen:</w:t>
      </w:r>
    </w:p>
    <w:p w14:paraId="469F99A3" w14:textId="77777777" w:rsidR="00FF601E" w:rsidRDefault="00FF601E" w:rsidP="00FF601E">
      <w:pPr>
        <w:pStyle w:val="ListParagraph"/>
        <w:numPr>
          <w:ilvl w:val="0"/>
          <w:numId w:val="6"/>
        </w:numPr>
        <w:spacing w:after="0" w:line="240" w:lineRule="auto"/>
        <w:jc w:val="both"/>
      </w:pPr>
      <w:r>
        <w:t xml:space="preserve">Degenen die het onderzoek financiert is niet per se de verrichter. De </w:t>
      </w:r>
      <w:r w:rsidRPr="00EA48D1">
        <w:t>financier is degene die aan de verrichter van het onderzoek de financiële middelen ter beschikking stelt nodig om het onderzoek uit te voeren</w:t>
      </w:r>
      <w:r>
        <w:t>;</w:t>
      </w:r>
    </w:p>
    <w:p w14:paraId="73D5EEEF" w14:textId="3FED6529" w:rsidR="00FF601E" w:rsidRPr="009F5A6E" w:rsidRDefault="00FF601E" w:rsidP="00FF601E">
      <w:pPr>
        <w:pStyle w:val="ListParagraph"/>
        <w:numPr>
          <w:ilvl w:val="0"/>
          <w:numId w:val="6"/>
        </w:numPr>
        <w:spacing w:after="0" w:line="240" w:lineRule="auto"/>
        <w:jc w:val="both"/>
        <w:rPr>
          <w:lang w:val="en-US"/>
        </w:rPr>
      </w:pPr>
      <w:r w:rsidRPr="009F5A6E">
        <w:t xml:space="preserve">Een verrichter kan één of meer verplichtingen of taken van de verrichter beleggen bij een Contract Research </w:t>
      </w:r>
      <w:proofErr w:type="spellStart"/>
      <w:r w:rsidRPr="009F5A6E">
        <w:t>Organization</w:t>
      </w:r>
      <w:proofErr w:type="spellEnd"/>
      <w:r w:rsidRPr="009F5A6E">
        <w:t xml:space="preserve"> (CRO). </w:t>
      </w:r>
      <w:r w:rsidRPr="0063632A">
        <w:t>De verrichter blijft zelf wel verantwoordelijk</w:t>
      </w:r>
      <w:r w:rsidR="007C295B">
        <w:t>;</w:t>
      </w:r>
    </w:p>
    <w:p w14:paraId="713C362A" w14:textId="77777777" w:rsidR="00FF601E" w:rsidRDefault="00FF601E" w:rsidP="00FF601E">
      <w:pPr>
        <w:pStyle w:val="ListParagraph"/>
        <w:numPr>
          <w:ilvl w:val="0"/>
          <w:numId w:val="6"/>
        </w:numPr>
        <w:spacing w:after="0" w:line="240" w:lineRule="auto"/>
        <w:jc w:val="both"/>
      </w:pPr>
      <w:r w:rsidRPr="00517914">
        <w:t>Verrichter-onderzoeker</w:t>
      </w:r>
      <w:r>
        <w:t xml:space="preserve">. We hebben veelal te maken met </w:t>
      </w:r>
      <w:proofErr w:type="spellStart"/>
      <w:r>
        <w:t>onderzoekergeïnitieerd</w:t>
      </w:r>
      <w:proofErr w:type="spellEnd"/>
      <w:r>
        <w:t xml:space="preserve"> WMO-plichtig onderzoeker waarbij er sprake is van een “verrichter-onderzoeker”. De verplichtingen van de verrichter-onderzoeker behelzen dan zowel die van de verrichter als die van de onderzoeker (zie ICH-GCP, 1.54).</w:t>
      </w:r>
    </w:p>
    <w:p w14:paraId="2DF6E677" w14:textId="77777777" w:rsidR="00FF601E" w:rsidRPr="00E55514" w:rsidRDefault="00FF601E" w:rsidP="00FF601E">
      <w:pPr>
        <w:spacing w:after="0" w:line="240" w:lineRule="auto"/>
        <w:contextualSpacing/>
        <w:rPr>
          <w:b/>
        </w:rPr>
      </w:pPr>
    </w:p>
    <w:p w14:paraId="73F42AC9" w14:textId="0A53F149" w:rsidR="00FF601E" w:rsidRDefault="00FF601E" w:rsidP="007D7E0C">
      <w:pPr>
        <w:pStyle w:val="Heading2"/>
        <w:numPr>
          <w:ilvl w:val="0"/>
          <w:numId w:val="12"/>
        </w:numPr>
      </w:pPr>
      <w:bookmarkStart w:id="4" w:name="_Toc31639838"/>
      <w:r w:rsidRPr="00245410">
        <w:t>Ver</w:t>
      </w:r>
      <w:r>
        <w:t>plichtingen</w:t>
      </w:r>
      <w:r w:rsidRPr="00245410">
        <w:t xml:space="preserve"> verrichter</w:t>
      </w:r>
      <w:bookmarkEnd w:id="4"/>
    </w:p>
    <w:p w14:paraId="791A4CC3" w14:textId="77777777" w:rsidR="00FF601E" w:rsidRDefault="00FF601E" w:rsidP="00FF601E">
      <w:pPr>
        <w:spacing w:after="0" w:line="240" w:lineRule="auto"/>
        <w:contextualSpacing/>
      </w:pPr>
      <w:r>
        <w:t>Vanuit de WMO:</w:t>
      </w:r>
    </w:p>
    <w:p w14:paraId="00FFDCD7" w14:textId="77777777" w:rsidR="00FF601E" w:rsidRDefault="00FF601E" w:rsidP="00FF601E">
      <w:pPr>
        <w:pStyle w:val="ListParagraph"/>
        <w:numPr>
          <w:ilvl w:val="0"/>
          <w:numId w:val="8"/>
        </w:numPr>
        <w:spacing w:after="0" w:line="240" w:lineRule="auto"/>
      </w:pPr>
      <w:r>
        <w:t>Een onderzoeksprotocol (WMO, artikel 8 lid 1)</w:t>
      </w:r>
    </w:p>
    <w:p w14:paraId="72C7CB4A" w14:textId="77777777" w:rsidR="00FF601E" w:rsidRDefault="00FF601E" w:rsidP="00FF601E">
      <w:pPr>
        <w:pStyle w:val="ListParagraph"/>
        <w:numPr>
          <w:ilvl w:val="0"/>
          <w:numId w:val="8"/>
        </w:numPr>
        <w:spacing w:after="0" w:line="240" w:lineRule="auto"/>
      </w:pPr>
      <w:r>
        <w:t>Goedkeuring van een bevoegde METc (WMO, artikel 8 lid 1)</w:t>
      </w:r>
    </w:p>
    <w:p w14:paraId="75CED602" w14:textId="77777777" w:rsidR="00FF601E" w:rsidRDefault="00FF601E" w:rsidP="00FF601E">
      <w:pPr>
        <w:pStyle w:val="ListParagraph"/>
        <w:numPr>
          <w:ilvl w:val="0"/>
          <w:numId w:val="8"/>
        </w:numPr>
        <w:spacing w:after="0" w:line="240" w:lineRule="auto"/>
      </w:pPr>
      <w:r>
        <w:t>Het afsluiten van de juiste verzekeringen (bijvoorbeeld proefpersonenverzekering, aansprakelijkheidsverzekering) (WMO, artikel 8 lid 1)</w:t>
      </w:r>
    </w:p>
    <w:p w14:paraId="1AF50756" w14:textId="77777777" w:rsidR="00FF601E" w:rsidRDefault="00FF601E" w:rsidP="00FF601E">
      <w:pPr>
        <w:pStyle w:val="ListParagraph"/>
        <w:numPr>
          <w:ilvl w:val="0"/>
          <w:numId w:val="8"/>
        </w:numPr>
        <w:spacing w:after="0" w:line="240" w:lineRule="auto"/>
      </w:pPr>
      <w:r w:rsidRPr="00836134">
        <w:t xml:space="preserve">Het aanstellen van een onafhankelijke arts </w:t>
      </w:r>
      <w:r>
        <w:t>of andere deskundige (i.e. niet bij de uitvoering van het onderzoek betrokken) tot wie een proefpersoon zich kan wenden voor inlichtingen en advies over het onderzoek (WMO, artikel 9)</w:t>
      </w:r>
    </w:p>
    <w:p w14:paraId="4527246A" w14:textId="77777777" w:rsidR="00FF601E" w:rsidRDefault="00FF601E" w:rsidP="00FF601E">
      <w:pPr>
        <w:pStyle w:val="ListParagraph"/>
        <w:numPr>
          <w:ilvl w:val="0"/>
          <w:numId w:val="8"/>
        </w:numPr>
        <w:spacing w:after="0" w:line="240" w:lineRule="auto"/>
      </w:pPr>
      <w:r>
        <w:t>Rapportage van (ernstige) ongewenste voorvallen aan de METc (WMO, artikel 10 lid 2)</w:t>
      </w:r>
    </w:p>
    <w:p w14:paraId="09ACDCDD" w14:textId="77777777" w:rsidR="00FF601E" w:rsidRPr="004970D9" w:rsidRDefault="00FF601E" w:rsidP="00FF601E">
      <w:pPr>
        <w:pStyle w:val="ListParagraph"/>
        <w:numPr>
          <w:ilvl w:val="0"/>
          <w:numId w:val="8"/>
        </w:numPr>
        <w:spacing w:after="0" w:line="240" w:lineRule="auto"/>
      </w:pPr>
      <w:r>
        <w:t xml:space="preserve">Eventuele </w:t>
      </w:r>
      <w:r w:rsidRPr="00836134">
        <w:t xml:space="preserve">opschorting van het onderzoek </w:t>
      </w:r>
      <w:r w:rsidRPr="004970D9">
        <w:t>en rapportage daarvan aan de METc (WMO, artikel 10 lid 4 en 5)</w:t>
      </w:r>
    </w:p>
    <w:p w14:paraId="47A1C268" w14:textId="14D4EF0C" w:rsidR="00FF601E" w:rsidRPr="00836134" w:rsidRDefault="00FF601E" w:rsidP="00FF601E">
      <w:pPr>
        <w:pStyle w:val="ListParagraph"/>
        <w:numPr>
          <w:ilvl w:val="0"/>
          <w:numId w:val="8"/>
        </w:numPr>
        <w:spacing w:after="0" w:line="240" w:lineRule="auto"/>
      </w:pPr>
      <w:r w:rsidRPr="004970D9">
        <w:t xml:space="preserve">Voor onderzoek met geneesmiddelen en medische hulpmiddelen </w:t>
      </w:r>
      <w:r w:rsidRPr="00836134">
        <w:t>gelden extra verplichtingen</w:t>
      </w:r>
      <w:r w:rsidR="007C295B">
        <w:t xml:space="preserve"> (hier niet verder genoemd)</w:t>
      </w:r>
    </w:p>
    <w:p w14:paraId="23ABEB7F" w14:textId="77777777" w:rsidR="00FF601E" w:rsidRDefault="00FF601E" w:rsidP="00FF601E">
      <w:pPr>
        <w:spacing w:after="0" w:line="240" w:lineRule="auto"/>
      </w:pPr>
    </w:p>
    <w:p w14:paraId="15762734" w14:textId="77777777" w:rsidR="00FF601E" w:rsidRDefault="00FF601E" w:rsidP="00FF601E">
      <w:pPr>
        <w:spacing w:after="0" w:line="240" w:lineRule="auto"/>
      </w:pPr>
      <w:r>
        <w:t>Extra vanuit het richtsnoer ICH-GCP (hoofdstuk 5):</w:t>
      </w:r>
    </w:p>
    <w:p w14:paraId="70CAB4FA" w14:textId="77777777" w:rsidR="00FF601E" w:rsidRDefault="00FF601E" w:rsidP="00FF601E">
      <w:pPr>
        <w:pStyle w:val="ListParagraph"/>
        <w:numPr>
          <w:ilvl w:val="0"/>
          <w:numId w:val="8"/>
        </w:numPr>
        <w:spacing w:after="0" w:line="240" w:lineRule="auto"/>
      </w:pPr>
      <w:r>
        <w:t>Gekwalificeerde onderzoekers selecteren, trainen en/of contracteren</w:t>
      </w:r>
    </w:p>
    <w:p w14:paraId="2B8DD8C7" w14:textId="77777777" w:rsidR="00FF601E" w:rsidRDefault="00FF601E" w:rsidP="00FF601E">
      <w:pPr>
        <w:pStyle w:val="ListParagraph"/>
        <w:numPr>
          <w:ilvl w:val="0"/>
          <w:numId w:val="8"/>
        </w:numPr>
        <w:spacing w:after="0" w:line="240" w:lineRule="auto"/>
      </w:pPr>
      <w:r>
        <w:t>Toewijzen verantwoordelijkheden</w:t>
      </w:r>
    </w:p>
    <w:p w14:paraId="7BC20ACE" w14:textId="47E34FD6" w:rsidR="00FF601E" w:rsidRPr="00836134" w:rsidRDefault="00FF601E" w:rsidP="00FF601E">
      <w:pPr>
        <w:pStyle w:val="ListParagraph"/>
        <w:numPr>
          <w:ilvl w:val="0"/>
          <w:numId w:val="8"/>
        </w:numPr>
        <w:spacing w:after="0" w:line="240" w:lineRule="auto"/>
      </w:pPr>
      <w:r w:rsidRPr="00836134">
        <w:t>Aanstellen monitors en voorzien in adequate monitoring</w:t>
      </w:r>
    </w:p>
    <w:p w14:paraId="5E2569BC" w14:textId="767AB296" w:rsidR="00FF601E" w:rsidRPr="00836134" w:rsidRDefault="00FF601E" w:rsidP="00FF601E">
      <w:pPr>
        <w:pStyle w:val="ListParagraph"/>
        <w:numPr>
          <w:ilvl w:val="0"/>
          <w:numId w:val="8"/>
        </w:numPr>
        <w:spacing w:after="0" w:line="240" w:lineRule="auto"/>
      </w:pPr>
      <w:r w:rsidRPr="00836134">
        <w:t>Indien nodig het initiëren van een audit</w:t>
      </w:r>
    </w:p>
    <w:p w14:paraId="5C563686" w14:textId="5C220945" w:rsidR="00FF601E" w:rsidRPr="00836134" w:rsidRDefault="00FF601E" w:rsidP="00FF601E">
      <w:pPr>
        <w:pStyle w:val="ListParagraph"/>
        <w:numPr>
          <w:ilvl w:val="0"/>
          <w:numId w:val="8"/>
        </w:numPr>
        <w:spacing w:after="0" w:line="240" w:lineRule="auto"/>
      </w:pPr>
      <w:r w:rsidRPr="00836134">
        <w:t>Implementeren van een kwaliteits- en risicomanagementsysteem</w:t>
      </w:r>
    </w:p>
    <w:p w14:paraId="72769BBA" w14:textId="77777777" w:rsidR="00FF601E" w:rsidRDefault="00FF601E" w:rsidP="00FF601E">
      <w:pPr>
        <w:pStyle w:val="ListParagraph"/>
        <w:numPr>
          <w:ilvl w:val="0"/>
          <w:numId w:val="8"/>
        </w:numPr>
        <w:spacing w:after="0" w:line="240" w:lineRule="auto"/>
      </w:pPr>
      <w:r>
        <w:t>Indien nodig beleggen van taken bij een CRO</w:t>
      </w:r>
    </w:p>
    <w:p w14:paraId="4B4121BC" w14:textId="77777777" w:rsidR="00FF601E" w:rsidRDefault="00FF601E" w:rsidP="00FF601E">
      <w:pPr>
        <w:pStyle w:val="ListParagraph"/>
        <w:numPr>
          <w:ilvl w:val="0"/>
          <w:numId w:val="8"/>
        </w:numPr>
        <w:spacing w:after="0" w:line="240" w:lineRule="auto"/>
      </w:pPr>
      <w:r>
        <w:t>Inschakelen van expertise en ontwikkelen van standard operating procedures m.b.t. trial design, trial management en databeheer</w:t>
      </w:r>
    </w:p>
    <w:p w14:paraId="1CB80A2E" w14:textId="77777777" w:rsidR="00FF601E" w:rsidRDefault="00FF601E" w:rsidP="00FF601E">
      <w:pPr>
        <w:pStyle w:val="ListParagraph"/>
        <w:numPr>
          <w:ilvl w:val="0"/>
          <w:numId w:val="8"/>
        </w:numPr>
        <w:spacing w:after="0" w:line="240" w:lineRule="auto"/>
      </w:pPr>
      <w:r>
        <w:t>Documenteren en beheren van financiële afspraken</w:t>
      </w:r>
    </w:p>
    <w:p w14:paraId="5B6B5B3B" w14:textId="77777777" w:rsidR="00FF601E" w:rsidRDefault="00FF601E" w:rsidP="00FF601E">
      <w:pPr>
        <w:pStyle w:val="ListParagraph"/>
        <w:numPr>
          <w:ilvl w:val="0"/>
          <w:numId w:val="8"/>
        </w:numPr>
        <w:spacing w:after="0" w:line="240" w:lineRule="auto"/>
      </w:pPr>
      <w:r>
        <w:t>Voortgang en veiligheid bewaken en rapporteren</w:t>
      </w:r>
    </w:p>
    <w:p w14:paraId="4097BC14" w14:textId="77777777" w:rsidR="00FF601E" w:rsidRDefault="00FF601E" w:rsidP="00FF601E">
      <w:pPr>
        <w:pStyle w:val="ListParagraph"/>
        <w:numPr>
          <w:ilvl w:val="0"/>
          <w:numId w:val="8"/>
        </w:numPr>
        <w:spacing w:after="0" w:line="240" w:lineRule="auto"/>
      </w:pPr>
      <w:r>
        <w:t>Verzekeren dat de juiste overeenkomsten en afspraken zijn gemaakt bij een multicenter-trial</w:t>
      </w:r>
    </w:p>
    <w:p w14:paraId="18171659" w14:textId="7FBA26CD" w:rsidR="00FF601E" w:rsidRDefault="00FF601E" w:rsidP="00FF601E">
      <w:pPr>
        <w:pStyle w:val="ListParagraph"/>
        <w:numPr>
          <w:ilvl w:val="0"/>
          <w:numId w:val="8"/>
        </w:numPr>
        <w:spacing w:after="0" w:line="240" w:lineRule="auto"/>
      </w:pPr>
      <w:r>
        <w:t>Aanvullende verplichtingen rondom ‘</w:t>
      </w:r>
      <w:proofErr w:type="spellStart"/>
      <w:r>
        <w:t>investigational</w:t>
      </w:r>
      <w:proofErr w:type="spellEnd"/>
      <w:r>
        <w:t xml:space="preserve"> </w:t>
      </w:r>
      <w:proofErr w:type="spellStart"/>
      <w:r>
        <w:t>products</w:t>
      </w:r>
      <w:proofErr w:type="spellEnd"/>
      <w:r>
        <w:t xml:space="preserve">’ en ‘adverse drug </w:t>
      </w:r>
      <w:proofErr w:type="spellStart"/>
      <w:r>
        <w:t>reaction</w:t>
      </w:r>
      <w:r w:rsidR="007A695E">
        <w:t>s</w:t>
      </w:r>
      <w:proofErr w:type="spellEnd"/>
      <w:r>
        <w:t xml:space="preserve">’ </w:t>
      </w:r>
    </w:p>
    <w:p w14:paraId="236F8867" w14:textId="32AE8895" w:rsidR="00836134" w:rsidRDefault="00836134" w:rsidP="00836134">
      <w:pPr>
        <w:spacing w:after="0" w:line="240" w:lineRule="auto"/>
      </w:pPr>
    </w:p>
    <w:p w14:paraId="305B219D" w14:textId="5A8C3180" w:rsidR="00FF601E" w:rsidRDefault="00FF601E" w:rsidP="007D7E0C">
      <w:pPr>
        <w:pStyle w:val="Heading2"/>
        <w:numPr>
          <w:ilvl w:val="0"/>
          <w:numId w:val="12"/>
        </w:numPr>
      </w:pPr>
      <w:bookmarkStart w:id="5" w:name="_Toc31639839"/>
      <w:r w:rsidRPr="009F5A6E">
        <w:t>Verrichterschap HvA vs. UMC</w:t>
      </w:r>
      <w:bookmarkEnd w:id="5"/>
    </w:p>
    <w:p w14:paraId="3325552F" w14:textId="2CF9236D" w:rsidR="00FF601E" w:rsidRPr="00E65170" w:rsidRDefault="007D7E0C" w:rsidP="00FF601E">
      <w:pPr>
        <w:jc w:val="both"/>
        <w:rPr>
          <w:i/>
        </w:rPr>
      </w:pPr>
      <w:r>
        <w:rPr>
          <w:i/>
          <w:highlight w:val="yellow"/>
        </w:rPr>
        <w:t>Werk in uitvoering:</w:t>
      </w:r>
      <w:r w:rsidR="00FF601E" w:rsidRPr="005B4F1D">
        <w:rPr>
          <w:i/>
          <w:highlight w:val="yellow"/>
        </w:rPr>
        <w:t xml:space="preserve"> Vanuit de HvA of Urban Vitality is er op dit moment geen beleid over wanneer welke partij verrichter zou moeten of kunnen zijn. Een bijkomende vraag is of de HvA de expertise en middelen heeft om </w:t>
      </w:r>
      <w:r w:rsidR="004970D9">
        <w:rPr>
          <w:i/>
          <w:highlight w:val="yellow"/>
        </w:rPr>
        <w:t>alle</w:t>
      </w:r>
      <w:r w:rsidR="00FF601E" w:rsidRPr="005B4F1D">
        <w:rPr>
          <w:i/>
          <w:highlight w:val="yellow"/>
        </w:rPr>
        <w:t xml:space="preserve"> verplichtingen van het verrichterschap na te kunnen komen. In een memo aan het MT zullen onderstaande scenario’s worden voorgelegd met het advies om een beleidsplan op te stellen.</w:t>
      </w:r>
    </w:p>
    <w:p w14:paraId="432F2EFE" w14:textId="77777777" w:rsidR="00355862" w:rsidRDefault="00355862">
      <w:pPr>
        <w:rPr>
          <w:rFonts w:asciiTheme="majorHAnsi" w:eastAsiaTheme="majorEastAsia" w:hAnsiTheme="majorHAnsi" w:cstheme="majorBidi"/>
          <w:color w:val="1F3763" w:themeColor="accent1" w:themeShade="7F"/>
          <w:sz w:val="24"/>
          <w:szCs w:val="24"/>
        </w:rPr>
      </w:pPr>
      <w:bookmarkStart w:id="6" w:name="_Toc31639840"/>
      <w:r>
        <w:br w:type="page"/>
      </w:r>
    </w:p>
    <w:p w14:paraId="3A41BB0D" w14:textId="7A44F9C7" w:rsidR="00FF601E" w:rsidRDefault="00FF601E" w:rsidP="00FF601E">
      <w:pPr>
        <w:pStyle w:val="Heading3"/>
      </w:pPr>
      <w:r>
        <w:lastRenderedPageBreak/>
        <w:t>Scenario’s</w:t>
      </w:r>
      <w:bookmarkEnd w:id="6"/>
    </w:p>
    <w:p w14:paraId="06B1A670" w14:textId="77777777" w:rsidR="00FF601E" w:rsidRDefault="00FF601E" w:rsidP="00FF601E">
      <w:pPr>
        <w:spacing w:after="0" w:line="240" w:lineRule="auto"/>
        <w:contextualSpacing/>
        <w:rPr>
          <w:b/>
        </w:rPr>
      </w:pPr>
    </w:p>
    <w:p w14:paraId="684AB974" w14:textId="77777777" w:rsidR="00FF601E" w:rsidRPr="00355862" w:rsidRDefault="00FF601E" w:rsidP="00FF601E">
      <w:pPr>
        <w:spacing w:after="0" w:line="240" w:lineRule="auto"/>
        <w:jc w:val="both"/>
        <w:rPr>
          <w:b/>
          <w:sz w:val="20"/>
          <w:szCs w:val="20"/>
        </w:rPr>
      </w:pPr>
      <w:r w:rsidRPr="00355862">
        <w:rPr>
          <w:b/>
          <w:sz w:val="20"/>
          <w:szCs w:val="20"/>
        </w:rPr>
        <w:t>Scenario 1</w:t>
      </w:r>
    </w:p>
    <w:p w14:paraId="15B97BC6" w14:textId="77777777" w:rsidR="00FF601E" w:rsidRPr="00355862" w:rsidRDefault="00FF601E" w:rsidP="00FF601E">
      <w:pPr>
        <w:spacing w:after="0" w:line="240" w:lineRule="auto"/>
        <w:jc w:val="both"/>
        <w:rPr>
          <w:sz w:val="20"/>
          <w:szCs w:val="20"/>
        </w:rPr>
      </w:pPr>
      <w:r w:rsidRPr="00355862">
        <w:rPr>
          <w:sz w:val="20"/>
          <w:szCs w:val="20"/>
        </w:rPr>
        <w:t>Onderzoeker-geïnitieerd WMO-plichtig onderzoek met patiënten waarbij het onderzoek vrijwel helemaal binnen/bij een UMC wordt uitgevoerd en de rol van de HvA beperkt is</w:t>
      </w:r>
    </w:p>
    <w:p w14:paraId="07CE0C3C"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 xml:space="preserve">PI is HvA-lector </w:t>
      </w:r>
      <w:r w:rsidRPr="00355862">
        <w:rPr>
          <w:sz w:val="20"/>
          <w:szCs w:val="20"/>
          <w:u w:val="single"/>
        </w:rPr>
        <w:t>met</w:t>
      </w:r>
      <w:r w:rsidRPr="00355862">
        <w:rPr>
          <w:sz w:val="20"/>
          <w:szCs w:val="20"/>
        </w:rPr>
        <w:t xml:space="preserve"> aanstelling bij het AMC</w:t>
      </w:r>
    </w:p>
    <w:p w14:paraId="06B82135" w14:textId="7C343BF4"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Onderzoeker is aangesteld bij de HvA, maar promoveert bij het AMC</w:t>
      </w:r>
      <w:r w:rsidR="00B3516F" w:rsidRPr="00355862">
        <w:rPr>
          <w:sz w:val="20"/>
          <w:szCs w:val="20"/>
        </w:rPr>
        <w:t>-UvA</w:t>
      </w:r>
    </w:p>
    <w:p w14:paraId="60DEA5B3"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Multicenter-onderzoek met centra in België en Nederland waarbij deelnemers patiënten zijn</w:t>
      </w:r>
    </w:p>
    <w:p w14:paraId="5887ADC0"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Financier is SIA (RAAK) en NWO (promotiebeurs) &gt; penvoerder is HvA</w:t>
      </w:r>
    </w:p>
    <w:p w14:paraId="682183E7"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Vragenlijst- en interventieonderzoek (meetstraat). Databeheer o.a. via Castor AMC, gedeeltelijk ook bij HvA</w:t>
      </w:r>
    </w:p>
    <w:p w14:paraId="45552BEC" w14:textId="77777777" w:rsidR="00FF601E" w:rsidRPr="00355862" w:rsidRDefault="00FF601E" w:rsidP="00FF601E">
      <w:pPr>
        <w:spacing w:after="0" w:line="240" w:lineRule="auto"/>
        <w:contextualSpacing/>
        <w:jc w:val="both"/>
        <w:rPr>
          <w:b/>
          <w:sz w:val="20"/>
          <w:szCs w:val="20"/>
        </w:rPr>
      </w:pPr>
    </w:p>
    <w:p w14:paraId="6F82DD2A" w14:textId="77777777" w:rsidR="00FF601E" w:rsidRPr="00355862" w:rsidRDefault="00FF601E" w:rsidP="00FF601E">
      <w:pPr>
        <w:spacing w:after="0" w:line="240" w:lineRule="auto"/>
        <w:jc w:val="both"/>
        <w:rPr>
          <w:b/>
          <w:sz w:val="20"/>
          <w:szCs w:val="20"/>
        </w:rPr>
      </w:pPr>
      <w:r w:rsidRPr="00355862">
        <w:rPr>
          <w:b/>
          <w:sz w:val="20"/>
          <w:szCs w:val="20"/>
        </w:rPr>
        <w:t>Scenario 2</w:t>
      </w:r>
    </w:p>
    <w:p w14:paraId="0A6B8BB2" w14:textId="77777777" w:rsidR="00FF601E" w:rsidRPr="00355862" w:rsidRDefault="00FF601E" w:rsidP="00FF601E">
      <w:pPr>
        <w:spacing w:after="0" w:line="240" w:lineRule="auto"/>
        <w:jc w:val="both"/>
        <w:rPr>
          <w:sz w:val="20"/>
          <w:szCs w:val="20"/>
        </w:rPr>
      </w:pPr>
      <w:r w:rsidRPr="00355862">
        <w:rPr>
          <w:sz w:val="20"/>
          <w:szCs w:val="20"/>
        </w:rPr>
        <w:t>Onderzoeker-geïnitieerd WMO-plichtig onderzoek met patiënten waarbij het onderzoek vrijwel helemaal binnen/bij de HvA wordt uitgevoerd en waarbij een UMC alleen nodig is voor de rekrutering/werving van patiënten (en eventueel aanleveren van gegevens over inclusie/exclusie)</w:t>
      </w:r>
    </w:p>
    <w:p w14:paraId="5ADAF3D2" w14:textId="77777777" w:rsidR="00FF601E" w:rsidRPr="00355862" w:rsidRDefault="00FF601E" w:rsidP="00FF601E">
      <w:pPr>
        <w:pStyle w:val="ListParagraph"/>
        <w:numPr>
          <w:ilvl w:val="0"/>
          <w:numId w:val="7"/>
        </w:numPr>
        <w:spacing w:after="0" w:line="240" w:lineRule="auto"/>
        <w:jc w:val="both"/>
        <w:rPr>
          <w:b/>
          <w:sz w:val="20"/>
          <w:szCs w:val="20"/>
        </w:rPr>
      </w:pPr>
      <w:r w:rsidRPr="00355862">
        <w:rPr>
          <w:sz w:val="20"/>
          <w:szCs w:val="20"/>
        </w:rPr>
        <w:t xml:space="preserve">PI is HvA-lector </w:t>
      </w:r>
      <w:r w:rsidRPr="00355862">
        <w:rPr>
          <w:sz w:val="20"/>
          <w:szCs w:val="20"/>
          <w:u w:val="single"/>
        </w:rPr>
        <w:t>zonder</w:t>
      </w:r>
      <w:r w:rsidRPr="00355862">
        <w:rPr>
          <w:sz w:val="20"/>
          <w:szCs w:val="20"/>
        </w:rPr>
        <w:t xml:space="preserve"> aanstelling bij een UMC</w:t>
      </w:r>
    </w:p>
    <w:p w14:paraId="1CC8960F" w14:textId="77777777" w:rsidR="00FF601E" w:rsidRPr="00355862" w:rsidRDefault="00FF601E" w:rsidP="00FF601E">
      <w:pPr>
        <w:pStyle w:val="ListParagraph"/>
        <w:numPr>
          <w:ilvl w:val="0"/>
          <w:numId w:val="7"/>
        </w:numPr>
        <w:spacing w:after="0" w:line="240" w:lineRule="auto"/>
        <w:jc w:val="both"/>
        <w:rPr>
          <w:b/>
          <w:sz w:val="20"/>
          <w:szCs w:val="20"/>
        </w:rPr>
      </w:pPr>
      <w:r w:rsidRPr="00355862">
        <w:rPr>
          <w:sz w:val="20"/>
          <w:szCs w:val="20"/>
        </w:rPr>
        <w:t>Onderzoekers aangesteld bij HvA; geen promovendi bij een UMC</w:t>
      </w:r>
    </w:p>
    <w:p w14:paraId="56317DF6" w14:textId="77777777" w:rsidR="00FF601E" w:rsidRPr="00355862" w:rsidRDefault="00FF601E" w:rsidP="00FF601E">
      <w:pPr>
        <w:pStyle w:val="ListParagraph"/>
        <w:numPr>
          <w:ilvl w:val="0"/>
          <w:numId w:val="7"/>
        </w:numPr>
        <w:spacing w:after="0" w:line="240" w:lineRule="auto"/>
        <w:jc w:val="both"/>
        <w:rPr>
          <w:b/>
          <w:sz w:val="20"/>
          <w:szCs w:val="20"/>
        </w:rPr>
      </w:pPr>
      <w:r w:rsidRPr="00355862">
        <w:rPr>
          <w:sz w:val="20"/>
          <w:szCs w:val="20"/>
        </w:rPr>
        <w:t>Multicenter-onderzoek waarbij deelnemers patiënten zijn die in meerdere Nederlandse centra worden geworven</w:t>
      </w:r>
    </w:p>
    <w:p w14:paraId="43BA2F44" w14:textId="77777777" w:rsidR="00FF601E" w:rsidRPr="00355862" w:rsidRDefault="00FF601E" w:rsidP="00FF601E">
      <w:pPr>
        <w:pStyle w:val="ListParagraph"/>
        <w:numPr>
          <w:ilvl w:val="0"/>
          <w:numId w:val="7"/>
        </w:numPr>
        <w:spacing w:after="0" w:line="240" w:lineRule="auto"/>
        <w:jc w:val="both"/>
        <w:rPr>
          <w:b/>
          <w:sz w:val="20"/>
          <w:szCs w:val="20"/>
        </w:rPr>
      </w:pPr>
      <w:r w:rsidRPr="00355862">
        <w:rPr>
          <w:sz w:val="20"/>
          <w:szCs w:val="20"/>
        </w:rPr>
        <w:t>Financier is SIA (RAAK) &gt; penvoerder is HvA</w:t>
      </w:r>
    </w:p>
    <w:p w14:paraId="58B428EE" w14:textId="77777777" w:rsidR="00FF601E" w:rsidRPr="00355862" w:rsidRDefault="00FF601E" w:rsidP="00FF601E">
      <w:pPr>
        <w:pStyle w:val="ListParagraph"/>
        <w:numPr>
          <w:ilvl w:val="0"/>
          <w:numId w:val="7"/>
        </w:numPr>
        <w:spacing w:after="0" w:line="240" w:lineRule="auto"/>
        <w:jc w:val="both"/>
        <w:rPr>
          <w:b/>
          <w:sz w:val="20"/>
          <w:szCs w:val="20"/>
        </w:rPr>
      </w:pPr>
      <w:r w:rsidRPr="00355862">
        <w:rPr>
          <w:sz w:val="20"/>
          <w:szCs w:val="20"/>
        </w:rPr>
        <w:t>Eenarmige studie naar haalbaarheid en bruikbaarheid van een app. Databeheer vindt plaats bij HvA, via de ontwikkelde app, vragenlijsten en een aantal baseline-metingen in behandelcentra</w:t>
      </w:r>
    </w:p>
    <w:p w14:paraId="30933D65" w14:textId="77777777" w:rsidR="00FF601E" w:rsidRPr="00355862" w:rsidRDefault="00FF601E" w:rsidP="00FF601E">
      <w:pPr>
        <w:spacing w:after="0" w:line="240" w:lineRule="auto"/>
        <w:jc w:val="both"/>
        <w:rPr>
          <w:sz w:val="20"/>
          <w:szCs w:val="20"/>
        </w:rPr>
      </w:pPr>
    </w:p>
    <w:p w14:paraId="1BA70623" w14:textId="77777777" w:rsidR="00FF601E" w:rsidRPr="00355862" w:rsidRDefault="00FF601E" w:rsidP="00FF601E">
      <w:pPr>
        <w:spacing w:after="0" w:line="240" w:lineRule="auto"/>
        <w:jc w:val="both"/>
        <w:rPr>
          <w:b/>
          <w:sz w:val="20"/>
          <w:szCs w:val="20"/>
        </w:rPr>
      </w:pPr>
      <w:r w:rsidRPr="00355862">
        <w:rPr>
          <w:b/>
          <w:sz w:val="20"/>
          <w:szCs w:val="20"/>
        </w:rPr>
        <w:t>Scenario 3</w:t>
      </w:r>
    </w:p>
    <w:p w14:paraId="71A33A43" w14:textId="77777777" w:rsidR="00FF601E" w:rsidRPr="00355862" w:rsidRDefault="00FF601E" w:rsidP="00FF601E">
      <w:pPr>
        <w:spacing w:after="0" w:line="240" w:lineRule="auto"/>
        <w:jc w:val="both"/>
        <w:rPr>
          <w:b/>
          <w:sz w:val="20"/>
          <w:szCs w:val="20"/>
        </w:rPr>
      </w:pPr>
      <w:r w:rsidRPr="00355862">
        <w:rPr>
          <w:sz w:val="20"/>
          <w:szCs w:val="20"/>
        </w:rPr>
        <w:t>Onderzoeker-geïnitieerd WMO-plichtig onderzoek zonder patiënten waarbij het onderzoek vrijwel helemaal binnen/bij de HvA wordt uitgevoerd en waarbij een UMC helemaal niet betrokken is</w:t>
      </w:r>
    </w:p>
    <w:p w14:paraId="1DFF1C78"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 xml:space="preserve">PI is HvA-lector </w:t>
      </w:r>
      <w:r w:rsidRPr="00355862">
        <w:rPr>
          <w:sz w:val="20"/>
          <w:szCs w:val="20"/>
          <w:u w:val="single"/>
        </w:rPr>
        <w:t>met</w:t>
      </w:r>
      <w:r w:rsidRPr="00355862">
        <w:rPr>
          <w:sz w:val="20"/>
          <w:szCs w:val="20"/>
        </w:rPr>
        <w:t xml:space="preserve"> een aanstelling bij het </w:t>
      </w:r>
      <w:proofErr w:type="spellStart"/>
      <w:r w:rsidRPr="00355862">
        <w:rPr>
          <w:sz w:val="20"/>
          <w:szCs w:val="20"/>
        </w:rPr>
        <w:t>VUmc</w:t>
      </w:r>
      <w:proofErr w:type="spellEnd"/>
    </w:p>
    <w:p w14:paraId="5EF3F272"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Onderzoekers aangesteld bij HvA; promotie bij Universiteit Leiden</w:t>
      </w:r>
    </w:p>
    <w:p w14:paraId="4FA8EADC"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Onderzoek met kwetsbare ouderen ‘in de wijk’ – geen patiënten</w:t>
      </w:r>
    </w:p>
    <w:p w14:paraId="1E46E5E5"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Financier is SIA (RAAK) en NWO (promotiebeurs) &gt; penvoerder is HvA</w:t>
      </w:r>
    </w:p>
    <w:p w14:paraId="20EE5238" w14:textId="77777777" w:rsidR="00FF601E" w:rsidRPr="00355862" w:rsidRDefault="00FF601E" w:rsidP="00FF601E">
      <w:pPr>
        <w:pStyle w:val="ListParagraph"/>
        <w:numPr>
          <w:ilvl w:val="0"/>
          <w:numId w:val="7"/>
        </w:numPr>
        <w:spacing w:after="0" w:line="240" w:lineRule="auto"/>
        <w:jc w:val="both"/>
        <w:rPr>
          <w:sz w:val="20"/>
          <w:szCs w:val="20"/>
        </w:rPr>
      </w:pPr>
      <w:r w:rsidRPr="00355862">
        <w:rPr>
          <w:sz w:val="20"/>
          <w:szCs w:val="20"/>
        </w:rPr>
        <w:t>Vragenlijsten en meetstraat, o.a. in ANAC. Databeheer/verzameling via HvA</w:t>
      </w:r>
    </w:p>
    <w:p w14:paraId="71D4E184" w14:textId="77777777" w:rsidR="00FF601E" w:rsidRDefault="00FF601E" w:rsidP="00FF601E">
      <w:pPr>
        <w:spacing w:after="0" w:line="240" w:lineRule="auto"/>
        <w:contextualSpacing/>
        <w:rPr>
          <w:b/>
        </w:rPr>
      </w:pPr>
    </w:p>
    <w:p w14:paraId="0EDC877B" w14:textId="36D09BF1" w:rsidR="00FF601E" w:rsidRDefault="00FF601E" w:rsidP="007D7E0C">
      <w:pPr>
        <w:pStyle w:val="Heading2"/>
        <w:numPr>
          <w:ilvl w:val="0"/>
          <w:numId w:val="12"/>
        </w:numPr>
        <w:jc w:val="both"/>
      </w:pPr>
      <w:bookmarkStart w:id="7" w:name="_Toc31639841"/>
      <w:r w:rsidRPr="00E12B73">
        <w:t>De HvA als verrichter</w:t>
      </w:r>
      <w:r>
        <w:t xml:space="preserve"> bij WMO-plichtig onderzoek</w:t>
      </w:r>
      <w:r w:rsidRPr="00E12B73">
        <w:t>: wie, wat, waar?</w:t>
      </w:r>
      <w:bookmarkEnd w:id="7"/>
      <w:r>
        <w:t xml:space="preserve"> </w:t>
      </w:r>
    </w:p>
    <w:p w14:paraId="3D463D58" w14:textId="77777777" w:rsidR="00FF601E" w:rsidRDefault="00FF601E" w:rsidP="00FF601E">
      <w:pPr>
        <w:spacing w:after="0" w:line="240" w:lineRule="auto"/>
        <w:contextualSpacing/>
        <w:jc w:val="both"/>
      </w:pPr>
      <w:r>
        <w:t xml:space="preserve">Als het onderzoeksteam de HvA als verrichter aanmerkt bij WMO-plichtig onderzoek, dan moeten de bijbehorende verplichtingen geregeld worden. Hieronder een </w:t>
      </w:r>
      <w:r w:rsidRPr="000A2B39">
        <w:rPr>
          <w:highlight w:val="yellow"/>
        </w:rPr>
        <w:t>voorlopig overzicht.</w:t>
      </w:r>
    </w:p>
    <w:p w14:paraId="4AAC33A2" w14:textId="77777777" w:rsidR="00FF601E" w:rsidRDefault="00FF601E" w:rsidP="00FF601E">
      <w:pPr>
        <w:spacing w:after="0" w:line="240" w:lineRule="auto"/>
        <w:contextualSpacing/>
        <w:jc w:val="both"/>
        <w:rPr>
          <w:b/>
          <w:highlight w:val="yellow"/>
        </w:rPr>
      </w:pPr>
    </w:p>
    <w:p w14:paraId="4B459F73" w14:textId="77777777" w:rsidR="00FF601E" w:rsidRPr="00D74C42" w:rsidRDefault="00FF601E" w:rsidP="00355862">
      <w:pPr>
        <w:pStyle w:val="Heading3"/>
      </w:pPr>
      <w:r w:rsidRPr="00D74C42">
        <w:t>Toetsing</w:t>
      </w:r>
    </w:p>
    <w:p w14:paraId="4902D133" w14:textId="77777777" w:rsidR="00FF601E" w:rsidRDefault="00FF601E" w:rsidP="00FF601E">
      <w:pPr>
        <w:spacing w:after="0" w:line="240" w:lineRule="auto"/>
        <w:contextualSpacing/>
        <w:jc w:val="both"/>
      </w:pPr>
      <w:r>
        <w:t xml:space="preserve">Er wordt veelal gebruik gemaakt van de Medisch Ethische Toetsing commissie (METc) van het AMC of het </w:t>
      </w:r>
      <w:proofErr w:type="spellStart"/>
      <w:r>
        <w:t>VUmc</w:t>
      </w:r>
      <w:proofErr w:type="spellEnd"/>
      <w:r>
        <w:t>:</w:t>
      </w:r>
    </w:p>
    <w:p w14:paraId="0C2063E1" w14:textId="63764FFC" w:rsidR="00FF601E" w:rsidRDefault="00FE49E6" w:rsidP="00FF601E">
      <w:pPr>
        <w:pStyle w:val="ListParagraph"/>
        <w:numPr>
          <w:ilvl w:val="0"/>
          <w:numId w:val="7"/>
        </w:numPr>
        <w:spacing w:after="0" w:line="240" w:lineRule="auto"/>
        <w:jc w:val="both"/>
      </w:pPr>
      <w:hyperlink r:id="rId9" w:history="1">
        <w:r w:rsidR="00FF601E" w:rsidRPr="00D640B3">
          <w:rPr>
            <w:rStyle w:val="Hyperlink"/>
          </w:rPr>
          <w:t xml:space="preserve">Website METc </w:t>
        </w:r>
        <w:r w:rsidR="007D7E0C">
          <w:rPr>
            <w:rStyle w:val="Hyperlink"/>
          </w:rPr>
          <w:t xml:space="preserve">AUMC, locatie </w:t>
        </w:r>
        <w:r w:rsidR="00FF601E" w:rsidRPr="00D640B3">
          <w:rPr>
            <w:rStyle w:val="Hyperlink"/>
          </w:rPr>
          <w:t>AMC</w:t>
        </w:r>
      </w:hyperlink>
    </w:p>
    <w:p w14:paraId="51A453C1" w14:textId="5E2A9355" w:rsidR="00FF601E" w:rsidRPr="007C295B" w:rsidRDefault="00FE49E6" w:rsidP="00FF601E">
      <w:pPr>
        <w:pStyle w:val="ListParagraph"/>
        <w:numPr>
          <w:ilvl w:val="0"/>
          <w:numId w:val="7"/>
        </w:numPr>
        <w:spacing w:after="0" w:line="240" w:lineRule="auto"/>
        <w:jc w:val="both"/>
        <w:rPr>
          <w:rStyle w:val="Hyperlink"/>
          <w:color w:val="auto"/>
          <w:u w:val="none"/>
        </w:rPr>
      </w:pPr>
      <w:hyperlink r:id="rId10" w:history="1">
        <w:r w:rsidR="00FF601E" w:rsidRPr="00D640B3">
          <w:rPr>
            <w:rStyle w:val="Hyperlink"/>
          </w:rPr>
          <w:t>Website METc</w:t>
        </w:r>
        <w:r w:rsidR="007D7E0C">
          <w:rPr>
            <w:rStyle w:val="Hyperlink"/>
          </w:rPr>
          <w:t xml:space="preserve"> AUMC, locatie</w:t>
        </w:r>
        <w:r w:rsidR="00FF601E" w:rsidRPr="00D640B3">
          <w:rPr>
            <w:rStyle w:val="Hyperlink"/>
          </w:rPr>
          <w:t xml:space="preserve"> </w:t>
        </w:r>
        <w:proofErr w:type="spellStart"/>
        <w:r w:rsidR="00FF601E" w:rsidRPr="00D640B3">
          <w:rPr>
            <w:rStyle w:val="Hyperlink"/>
          </w:rPr>
          <w:t>VUmc</w:t>
        </w:r>
        <w:proofErr w:type="spellEnd"/>
      </w:hyperlink>
    </w:p>
    <w:p w14:paraId="37E4F86F" w14:textId="77777777" w:rsidR="007D7E0C" w:rsidRDefault="007D7E0C" w:rsidP="007C295B">
      <w:pPr>
        <w:spacing w:after="0" w:line="240" w:lineRule="auto"/>
        <w:jc w:val="both"/>
      </w:pPr>
    </w:p>
    <w:p w14:paraId="13E04286" w14:textId="661B7B5C" w:rsidR="007C295B" w:rsidRDefault="007D7E0C" w:rsidP="007C295B">
      <w:pPr>
        <w:spacing w:after="0" w:line="240" w:lineRule="auto"/>
        <w:jc w:val="both"/>
      </w:pPr>
      <w:r>
        <w:t xml:space="preserve">Omdat de HvA met geen van beide METCs afspraken heeft (zie </w:t>
      </w:r>
      <w:hyperlink r:id="rId11" w:history="1">
        <w:r w:rsidRPr="007D7E0C">
          <w:rPr>
            <w:rStyle w:val="Hyperlink"/>
          </w:rPr>
          <w:t>hier</w:t>
        </w:r>
      </w:hyperlink>
      <w:r>
        <w:t xml:space="preserve"> en </w:t>
      </w:r>
      <w:hyperlink r:id="rId12" w:history="1">
        <w:r w:rsidRPr="007D7E0C">
          <w:rPr>
            <w:rStyle w:val="Hyperlink"/>
          </w:rPr>
          <w:t>hier</w:t>
        </w:r>
      </w:hyperlink>
      <w:r>
        <w:t>), kan HvA-verrichterschap tot extra uitdagingen leiden.</w:t>
      </w:r>
    </w:p>
    <w:p w14:paraId="282DE29D" w14:textId="77777777" w:rsidR="00FF601E" w:rsidRPr="00B27CB4" w:rsidRDefault="00FF601E" w:rsidP="00FF601E">
      <w:pPr>
        <w:spacing w:after="0" w:line="240" w:lineRule="auto"/>
        <w:contextualSpacing/>
        <w:jc w:val="both"/>
      </w:pPr>
    </w:p>
    <w:p w14:paraId="035B702A" w14:textId="77777777" w:rsidR="00FF601E" w:rsidRPr="00881549" w:rsidRDefault="00FF601E" w:rsidP="00355862">
      <w:pPr>
        <w:pStyle w:val="Heading3"/>
      </w:pPr>
      <w:r w:rsidRPr="00881549">
        <w:t>Verzekeringen</w:t>
      </w:r>
    </w:p>
    <w:p w14:paraId="65EAA78A" w14:textId="77777777" w:rsidR="00FF601E" w:rsidRDefault="00FF601E" w:rsidP="00FF601E">
      <w:pPr>
        <w:spacing w:after="0" w:line="240" w:lineRule="auto"/>
        <w:contextualSpacing/>
        <w:jc w:val="both"/>
      </w:pPr>
      <w:r>
        <w:t xml:space="preserve">Op advies van de METc moet er al dan niet een proefpersonenverzekering en/of aansprakelijkheidsverzekering worden afgesloten. Voor meer informatie over beide verzekeringen zie de </w:t>
      </w:r>
      <w:hyperlink r:id="rId13" w:history="1">
        <w:r w:rsidRPr="0031400E">
          <w:rPr>
            <w:rStyle w:val="Hyperlink"/>
          </w:rPr>
          <w:t>website van het CCMO</w:t>
        </w:r>
      </w:hyperlink>
      <w:r>
        <w:t>. Voor het afsluiten van deze verzekeringen binnen de HvA kan contact worden opgenomen met het HvA contact verzekeringen, de heer Peter Wurtz:</w:t>
      </w:r>
    </w:p>
    <w:p w14:paraId="762A4062" w14:textId="77777777" w:rsidR="00FF601E" w:rsidRDefault="00FF601E" w:rsidP="00FF601E">
      <w:pPr>
        <w:pStyle w:val="ListParagraph"/>
        <w:numPr>
          <w:ilvl w:val="0"/>
          <w:numId w:val="7"/>
        </w:numPr>
        <w:spacing w:after="0" w:line="240" w:lineRule="auto"/>
        <w:jc w:val="both"/>
      </w:pPr>
      <w:r>
        <w:t>Telefoon: 020-5252905</w:t>
      </w:r>
    </w:p>
    <w:p w14:paraId="4DF4D4FB" w14:textId="77777777" w:rsidR="00FF601E" w:rsidRDefault="00FF601E" w:rsidP="00FF601E">
      <w:pPr>
        <w:pStyle w:val="ListParagraph"/>
        <w:numPr>
          <w:ilvl w:val="0"/>
          <w:numId w:val="7"/>
        </w:numPr>
        <w:spacing w:after="0" w:line="240" w:lineRule="auto"/>
        <w:jc w:val="both"/>
        <w:rPr>
          <w:lang w:val="en-US"/>
        </w:rPr>
      </w:pPr>
      <w:r w:rsidRPr="00D640B3">
        <w:rPr>
          <w:lang w:val="en-US"/>
        </w:rPr>
        <w:t xml:space="preserve">E-mail: </w:t>
      </w:r>
      <w:hyperlink r:id="rId14" w:history="1">
        <w:r w:rsidRPr="00CF7EE7">
          <w:rPr>
            <w:rStyle w:val="Hyperlink"/>
            <w:lang w:val="en-US"/>
          </w:rPr>
          <w:t>p.wurtz@hva.nl</w:t>
        </w:r>
      </w:hyperlink>
    </w:p>
    <w:p w14:paraId="449B71E2" w14:textId="77777777" w:rsidR="00FF601E" w:rsidRDefault="00FF601E" w:rsidP="00FF601E">
      <w:pPr>
        <w:pStyle w:val="ListParagraph"/>
        <w:numPr>
          <w:ilvl w:val="0"/>
          <w:numId w:val="7"/>
        </w:numPr>
        <w:spacing w:after="0" w:line="240" w:lineRule="auto"/>
        <w:jc w:val="both"/>
        <w:rPr>
          <w:lang w:val="en-US"/>
        </w:rPr>
      </w:pPr>
      <w:r>
        <w:rPr>
          <w:lang w:val="en-US"/>
        </w:rPr>
        <w:lastRenderedPageBreak/>
        <w:t xml:space="preserve">Website: </w:t>
      </w:r>
      <w:hyperlink r:id="rId15" w:history="1">
        <w:r w:rsidRPr="00D640B3">
          <w:rPr>
            <w:rStyle w:val="Hyperlink"/>
            <w:lang w:val="en-US"/>
          </w:rPr>
          <w:t xml:space="preserve">AZ-lemma </w:t>
        </w:r>
        <w:proofErr w:type="spellStart"/>
        <w:r w:rsidRPr="00D640B3">
          <w:rPr>
            <w:rStyle w:val="Hyperlink"/>
            <w:lang w:val="en-US"/>
          </w:rPr>
          <w:t>Verzekeringen</w:t>
        </w:r>
        <w:proofErr w:type="spellEnd"/>
      </w:hyperlink>
    </w:p>
    <w:p w14:paraId="1A6CB6A2" w14:textId="77777777" w:rsidR="00FF601E" w:rsidRDefault="00FF601E" w:rsidP="00FF601E">
      <w:pPr>
        <w:spacing w:after="0" w:line="240" w:lineRule="auto"/>
        <w:jc w:val="both"/>
      </w:pPr>
    </w:p>
    <w:p w14:paraId="57A71BEC" w14:textId="77777777" w:rsidR="00FF601E" w:rsidRDefault="00FF601E" w:rsidP="00FF601E">
      <w:pPr>
        <w:spacing w:after="0" w:line="240" w:lineRule="auto"/>
        <w:jc w:val="both"/>
      </w:pPr>
      <w:r w:rsidRPr="00D640B3">
        <w:t>Benodigde informatie voor het a</w:t>
      </w:r>
      <w:r>
        <w:t>fsluiten van de verzekeringen:</w:t>
      </w:r>
    </w:p>
    <w:p w14:paraId="40E719FB" w14:textId="77777777" w:rsidR="00FF601E" w:rsidRDefault="00FF601E" w:rsidP="00FF601E">
      <w:pPr>
        <w:pStyle w:val="ListParagraph"/>
        <w:numPr>
          <w:ilvl w:val="0"/>
          <w:numId w:val="9"/>
        </w:numPr>
        <w:spacing w:after="0" w:line="240" w:lineRule="auto"/>
        <w:jc w:val="both"/>
      </w:pPr>
      <w:r>
        <w:t>Het onderzoeksprotocol</w:t>
      </w:r>
    </w:p>
    <w:p w14:paraId="7CDC8593" w14:textId="3CF2B377" w:rsidR="00FF601E" w:rsidRDefault="00EC15D3" w:rsidP="00FF601E">
      <w:pPr>
        <w:pStyle w:val="ListParagraph"/>
        <w:numPr>
          <w:ilvl w:val="0"/>
          <w:numId w:val="9"/>
        </w:numPr>
        <w:spacing w:after="0" w:line="240" w:lineRule="auto"/>
        <w:jc w:val="both"/>
      </w:pPr>
      <w:r>
        <w:t>Contactgegevens van d</w:t>
      </w:r>
      <w:r w:rsidR="00FF601E">
        <w:t xml:space="preserve">e verantwoordelijke onderzoeker (PI) </w:t>
      </w:r>
    </w:p>
    <w:p w14:paraId="32FD5EFA" w14:textId="5C5019B6" w:rsidR="00FF601E" w:rsidRDefault="00FF601E" w:rsidP="00FF601E">
      <w:pPr>
        <w:pStyle w:val="ListParagraph"/>
        <w:numPr>
          <w:ilvl w:val="0"/>
          <w:numId w:val="9"/>
        </w:numPr>
        <w:spacing w:after="0" w:line="240" w:lineRule="auto"/>
        <w:jc w:val="both"/>
      </w:pPr>
      <w:r>
        <w:t xml:space="preserve">Omvang van de </w:t>
      </w:r>
      <w:r w:rsidR="00EC15D3">
        <w:t xml:space="preserve">(beoogde) </w:t>
      </w:r>
      <w:r>
        <w:t>onderzoekspopulatie</w:t>
      </w:r>
    </w:p>
    <w:p w14:paraId="3D3158FD" w14:textId="77777777" w:rsidR="00FF601E" w:rsidRDefault="00FF601E" w:rsidP="00FF601E">
      <w:pPr>
        <w:pStyle w:val="ListParagraph"/>
        <w:numPr>
          <w:ilvl w:val="0"/>
          <w:numId w:val="9"/>
        </w:numPr>
        <w:spacing w:after="0" w:line="240" w:lineRule="auto"/>
        <w:jc w:val="both"/>
      </w:pPr>
      <w:r>
        <w:t>Begin- en einddatum van de verzekering</w:t>
      </w:r>
    </w:p>
    <w:p w14:paraId="292FB648" w14:textId="77777777" w:rsidR="00FF601E" w:rsidRDefault="00FF601E" w:rsidP="00FF601E">
      <w:pPr>
        <w:spacing w:after="0" w:line="240" w:lineRule="auto"/>
        <w:jc w:val="both"/>
      </w:pPr>
    </w:p>
    <w:p w14:paraId="2670AFDD" w14:textId="076B582F" w:rsidR="00FF601E" w:rsidRPr="00D640B3" w:rsidRDefault="00FF601E" w:rsidP="00FF601E">
      <w:pPr>
        <w:spacing w:after="0" w:line="240" w:lineRule="auto"/>
        <w:jc w:val="both"/>
      </w:pPr>
      <w:r>
        <w:t xml:space="preserve">Na het eerste contact en afhankelijk van de aangeleverde informatie is de doorlooptijd zo’n zeven werkdagen. </w:t>
      </w:r>
      <w:r w:rsidR="00EC15D3">
        <w:t>De totale k</w:t>
      </w:r>
      <w:r>
        <w:t>osten van een proefpersonenverzekering zijn afhankelijk van bovenstaande variabelen, maar komen al snel boven de €1000.</w:t>
      </w:r>
    </w:p>
    <w:p w14:paraId="4C17849B" w14:textId="77777777" w:rsidR="00FF601E" w:rsidRDefault="00FF601E" w:rsidP="00FF601E">
      <w:pPr>
        <w:spacing w:after="0" w:line="240" w:lineRule="auto"/>
        <w:contextualSpacing/>
        <w:jc w:val="both"/>
      </w:pPr>
    </w:p>
    <w:p w14:paraId="3D47078C" w14:textId="77777777" w:rsidR="00FF601E" w:rsidRDefault="00FF601E" w:rsidP="00355862">
      <w:pPr>
        <w:pStyle w:val="Heading3"/>
      </w:pPr>
      <w:r w:rsidRPr="00881549">
        <w:t>Monitoring</w:t>
      </w:r>
    </w:p>
    <w:p w14:paraId="68F96C82" w14:textId="63D056D9" w:rsidR="00FF601E" w:rsidRPr="00881549" w:rsidRDefault="00E64194" w:rsidP="00FF601E">
      <w:pPr>
        <w:spacing w:after="0" w:line="240" w:lineRule="auto"/>
        <w:contextualSpacing/>
        <w:jc w:val="both"/>
      </w:pPr>
      <w:r>
        <w:t>Mo</w:t>
      </w:r>
      <w:r w:rsidR="00FF601E" w:rsidRPr="00881549">
        <w:t>nitors zijn n</w:t>
      </w:r>
      <w:r w:rsidR="00FF601E">
        <w:t xml:space="preserve">iet aanwezig bij de HvA. </w:t>
      </w:r>
      <w:r>
        <w:t>Het</w:t>
      </w:r>
      <w:r w:rsidR="00FF601E">
        <w:t xml:space="preserve"> onderzoeksteam </w:t>
      </w:r>
      <w:r>
        <w:t xml:space="preserve">zal </w:t>
      </w:r>
      <w:r w:rsidR="00FF601E">
        <w:t xml:space="preserve">zelf </w:t>
      </w:r>
      <w:r>
        <w:t>(externe) monitors aan moeten stellen en hier rekening mee moeten houden in de projectbegroting.</w:t>
      </w:r>
    </w:p>
    <w:p w14:paraId="43C4B196" w14:textId="77777777" w:rsidR="00FF601E" w:rsidRPr="00881549" w:rsidRDefault="00FF601E" w:rsidP="00FF601E">
      <w:pPr>
        <w:spacing w:after="0" w:line="240" w:lineRule="auto"/>
        <w:contextualSpacing/>
        <w:jc w:val="both"/>
      </w:pPr>
    </w:p>
    <w:p w14:paraId="6BDD92B8" w14:textId="77777777" w:rsidR="00FF601E" w:rsidRPr="0063632A" w:rsidRDefault="00FF601E" w:rsidP="00355862">
      <w:pPr>
        <w:pStyle w:val="Heading3"/>
      </w:pPr>
      <w:r w:rsidRPr="0063632A">
        <w:t>Standard Operating Procedures (</w:t>
      </w:r>
      <w:proofErr w:type="spellStart"/>
      <w:r w:rsidRPr="0063632A">
        <w:t>SOPs</w:t>
      </w:r>
      <w:proofErr w:type="spellEnd"/>
      <w:r w:rsidRPr="0063632A">
        <w:t>)</w:t>
      </w:r>
    </w:p>
    <w:p w14:paraId="2E5284C5" w14:textId="205F7F53" w:rsidR="00FF601E" w:rsidRPr="00104EB6" w:rsidRDefault="00FF601E" w:rsidP="00FF601E">
      <w:pPr>
        <w:spacing w:after="0" w:line="240" w:lineRule="auto"/>
        <w:contextualSpacing/>
        <w:jc w:val="both"/>
      </w:pPr>
      <w:r>
        <w:t>Standard Operating Procedures zijn aanwezig, maar d</w:t>
      </w:r>
      <w:r w:rsidRPr="00881549">
        <w:t>it is nu per l</w:t>
      </w:r>
      <w:r>
        <w:t xml:space="preserve">ab geregeld. </w:t>
      </w:r>
      <w:r w:rsidR="007D7E0C">
        <w:rPr>
          <w:i/>
          <w:highlight w:val="yellow"/>
        </w:rPr>
        <w:t>Werk in uitvoering:</w:t>
      </w:r>
      <w:r w:rsidRPr="005B4F1D">
        <w:rPr>
          <w:i/>
          <w:highlight w:val="yellow"/>
        </w:rPr>
        <w:t xml:space="preserve"> </w:t>
      </w:r>
      <w:r w:rsidR="007D7E0C">
        <w:rPr>
          <w:i/>
          <w:highlight w:val="yellow"/>
        </w:rPr>
        <w:t>P</w:t>
      </w:r>
      <w:r w:rsidRPr="005B4F1D">
        <w:rPr>
          <w:i/>
          <w:highlight w:val="yellow"/>
        </w:rPr>
        <w:t xml:space="preserve">lan om </w:t>
      </w:r>
      <w:proofErr w:type="spellStart"/>
      <w:r w:rsidRPr="005B4F1D">
        <w:rPr>
          <w:i/>
          <w:highlight w:val="yellow"/>
        </w:rPr>
        <w:t>SOPs</w:t>
      </w:r>
      <w:proofErr w:type="spellEnd"/>
      <w:r w:rsidRPr="005B4F1D">
        <w:rPr>
          <w:i/>
          <w:highlight w:val="yellow"/>
        </w:rPr>
        <w:t xml:space="preserve"> UV-breed toegankelijk te maken.</w:t>
      </w:r>
    </w:p>
    <w:p w14:paraId="2EBC5102" w14:textId="77777777" w:rsidR="00FF601E" w:rsidRPr="00B27CB4" w:rsidRDefault="00FF601E" w:rsidP="00FF601E">
      <w:pPr>
        <w:spacing w:after="0" w:line="240" w:lineRule="auto"/>
        <w:contextualSpacing/>
        <w:jc w:val="both"/>
      </w:pPr>
    </w:p>
    <w:p w14:paraId="097C9298" w14:textId="77777777" w:rsidR="00FF601E" w:rsidRPr="00881549" w:rsidRDefault="00FF601E" w:rsidP="00355862">
      <w:pPr>
        <w:pStyle w:val="Heading3"/>
      </w:pPr>
      <w:r w:rsidRPr="00881549">
        <w:t>Datamanagement</w:t>
      </w:r>
      <w:r>
        <w:t>, onderzoeksdesign, methodologie, randomisatie</w:t>
      </w:r>
    </w:p>
    <w:p w14:paraId="0B109508" w14:textId="77777777" w:rsidR="00FF601E" w:rsidRDefault="00FF601E" w:rsidP="00FF601E">
      <w:pPr>
        <w:spacing w:after="0" w:line="240" w:lineRule="auto"/>
        <w:contextualSpacing/>
        <w:jc w:val="both"/>
      </w:pPr>
      <w:r>
        <w:t>Ondersteuning op het gebied van datamanagement, onderzoeksdesign, methodologie en randomisatie is in eerste instantie facultair ingericht:</w:t>
      </w:r>
    </w:p>
    <w:p w14:paraId="16321625" w14:textId="77777777" w:rsidR="00FF601E" w:rsidRDefault="00FF601E" w:rsidP="00FF601E">
      <w:pPr>
        <w:pStyle w:val="ListParagraph"/>
        <w:numPr>
          <w:ilvl w:val="0"/>
          <w:numId w:val="7"/>
        </w:numPr>
        <w:spacing w:after="0" w:line="240" w:lineRule="auto"/>
        <w:jc w:val="both"/>
      </w:pPr>
      <w:r>
        <w:t xml:space="preserve">E-mail: </w:t>
      </w:r>
      <w:hyperlink r:id="rId16" w:history="1">
        <w:r w:rsidRPr="00CF7EE7">
          <w:rPr>
            <w:rStyle w:val="Hyperlink"/>
          </w:rPr>
          <w:t>opensciencesupport@hva.nl</w:t>
        </w:r>
      </w:hyperlink>
    </w:p>
    <w:p w14:paraId="1A8852CC" w14:textId="77777777" w:rsidR="00FF601E" w:rsidRDefault="00FF601E" w:rsidP="00FF601E">
      <w:pPr>
        <w:pStyle w:val="ListParagraph"/>
        <w:numPr>
          <w:ilvl w:val="0"/>
          <w:numId w:val="7"/>
        </w:numPr>
        <w:spacing w:after="0" w:line="240" w:lineRule="auto"/>
        <w:jc w:val="both"/>
      </w:pPr>
      <w:r>
        <w:t xml:space="preserve">Website: </w:t>
      </w:r>
      <w:hyperlink r:id="rId17" w:history="1">
        <w:r>
          <w:rPr>
            <w:rStyle w:val="Hyperlink"/>
          </w:rPr>
          <w:t>https://mibopenscience.github.io/</w:t>
        </w:r>
      </w:hyperlink>
    </w:p>
    <w:p w14:paraId="7ADD2F47" w14:textId="77777777" w:rsidR="00FF601E" w:rsidRDefault="00FF601E" w:rsidP="00FF601E">
      <w:pPr>
        <w:spacing w:after="0" w:line="240" w:lineRule="auto"/>
        <w:contextualSpacing/>
        <w:jc w:val="both"/>
      </w:pPr>
    </w:p>
    <w:p w14:paraId="126BA876" w14:textId="77777777" w:rsidR="00FF601E" w:rsidRDefault="00FF601E" w:rsidP="00FF601E">
      <w:pPr>
        <w:spacing w:after="0" w:line="240" w:lineRule="auto"/>
        <w:contextualSpacing/>
        <w:jc w:val="both"/>
      </w:pPr>
      <w:r>
        <w:t>De HvA heeft centraal datamanagementbeleid en er is een HvA/UvA website met meer informatie over research data management (RDM):</w:t>
      </w:r>
    </w:p>
    <w:p w14:paraId="472A7F79" w14:textId="77777777" w:rsidR="00FF601E" w:rsidRDefault="00FF601E" w:rsidP="00FF601E">
      <w:pPr>
        <w:pStyle w:val="ListParagraph"/>
        <w:numPr>
          <w:ilvl w:val="0"/>
          <w:numId w:val="7"/>
        </w:numPr>
        <w:spacing w:after="0" w:line="240" w:lineRule="auto"/>
        <w:jc w:val="both"/>
      </w:pPr>
      <w:r>
        <w:t xml:space="preserve">Beleid: </w:t>
      </w:r>
      <w:hyperlink r:id="rId18" w:history="1">
        <w:r w:rsidRPr="00104EB6">
          <w:rPr>
            <w:rStyle w:val="Hyperlink"/>
          </w:rPr>
          <w:t>AZ-lemma Onderzoeksdata</w:t>
        </w:r>
      </w:hyperlink>
    </w:p>
    <w:p w14:paraId="44691F2C" w14:textId="77777777" w:rsidR="00FF601E" w:rsidRDefault="00FF601E" w:rsidP="00FF601E">
      <w:pPr>
        <w:pStyle w:val="ListParagraph"/>
        <w:numPr>
          <w:ilvl w:val="0"/>
          <w:numId w:val="7"/>
        </w:numPr>
        <w:spacing w:after="0" w:line="240" w:lineRule="auto"/>
        <w:jc w:val="both"/>
      </w:pPr>
      <w:r>
        <w:t xml:space="preserve">Website: </w:t>
      </w:r>
      <w:hyperlink r:id="rId19" w:history="1">
        <w:r w:rsidRPr="00CF7EE7">
          <w:rPr>
            <w:rStyle w:val="Hyperlink"/>
          </w:rPr>
          <w:t>https://rdm.uva.nl/</w:t>
        </w:r>
      </w:hyperlink>
    </w:p>
    <w:p w14:paraId="0FDDA923" w14:textId="77777777" w:rsidR="00FF601E" w:rsidRPr="00881549" w:rsidRDefault="00FF601E" w:rsidP="00FF601E">
      <w:pPr>
        <w:pStyle w:val="ListParagraph"/>
        <w:spacing w:after="0" w:line="240" w:lineRule="auto"/>
        <w:jc w:val="both"/>
      </w:pPr>
    </w:p>
    <w:p w14:paraId="45AE6880" w14:textId="77777777" w:rsidR="00FF601E" w:rsidRPr="00881549" w:rsidRDefault="00FF601E" w:rsidP="00355862">
      <w:pPr>
        <w:pStyle w:val="Heading3"/>
      </w:pPr>
      <w:r w:rsidRPr="00881549">
        <w:t>Training</w:t>
      </w:r>
    </w:p>
    <w:p w14:paraId="4EEBC699" w14:textId="57F1BCFE" w:rsidR="00FF601E" w:rsidRDefault="00FF601E" w:rsidP="00FF601E">
      <w:pPr>
        <w:spacing w:after="0" w:line="240" w:lineRule="auto"/>
        <w:contextualSpacing/>
        <w:jc w:val="both"/>
      </w:pPr>
      <w:r>
        <w:t xml:space="preserve">De hoofdonderzoek en/of onderzoeksleider moeten </w:t>
      </w:r>
      <w:hyperlink r:id="rId20" w:history="1">
        <w:r w:rsidRPr="00331BAF">
          <w:rPr>
            <w:rStyle w:val="Hyperlink"/>
          </w:rPr>
          <w:t>BROK</w:t>
        </w:r>
      </w:hyperlink>
      <w:r>
        <w:t xml:space="preserve">-gecertificeerd zijn. Klik </w:t>
      </w:r>
      <w:hyperlink r:id="rId21" w:history="1">
        <w:r w:rsidRPr="00331BAF">
          <w:rPr>
            <w:rStyle w:val="Hyperlink"/>
          </w:rPr>
          <w:t>hier</w:t>
        </w:r>
      </w:hyperlink>
      <w:r>
        <w:t xml:space="preserve"> voor het BROK-register. </w:t>
      </w:r>
      <w:r w:rsidR="003F2C52">
        <w:t>M</w:t>
      </w:r>
      <w:r>
        <w:t>eer informatie over het doorlopen van een BROK en het behalen van het certificaat</w:t>
      </w:r>
      <w:r w:rsidR="003F2C52">
        <w:t xml:space="preserve"> was te vinden bij de kenniscentrumcoördinator.</w:t>
      </w:r>
    </w:p>
    <w:p w14:paraId="462EBC17" w14:textId="77777777" w:rsidR="00FF601E" w:rsidRDefault="00FF601E" w:rsidP="00FF601E">
      <w:pPr>
        <w:spacing w:after="0" w:line="240" w:lineRule="auto"/>
        <w:contextualSpacing/>
        <w:jc w:val="both"/>
      </w:pPr>
    </w:p>
    <w:p w14:paraId="09F29666" w14:textId="05655B43" w:rsidR="00FF601E" w:rsidRDefault="00FF601E" w:rsidP="00FF601E">
      <w:pPr>
        <w:spacing w:after="0" w:line="240" w:lineRule="auto"/>
        <w:contextualSpacing/>
        <w:jc w:val="both"/>
      </w:pPr>
      <w:r>
        <w:t>Meewerkende teamleden en studenten moeten tenminste trainingen volgen om GCP-gekwalificeerd te zijn.</w:t>
      </w:r>
      <w:r w:rsidR="003F2C52">
        <w:t xml:space="preserve"> Deze trainingen worden momenteel niet door de HvA verzorgd.</w:t>
      </w:r>
    </w:p>
    <w:p w14:paraId="3A808AF1" w14:textId="77777777" w:rsidR="00FF601E" w:rsidRPr="00881549" w:rsidRDefault="00FF601E" w:rsidP="00FF601E">
      <w:pPr>
        <w:spacing w:after="0" w:line="240" w:lineRule="auto"/>
        <w:contextualSpacing/>
        <w:jc w:val="both"/>
      </w:pPr>
    </w:p>
    <w:p w14:paraId="705F08C1" w14:textId="77777777" w:rsidR="00FF601E" w:rsidRPr="00881549" w:rsidRDefault="00FF601E" w:rsidP="00355862">
      <w:pPr>
        <w:pStyle w:val="Heading3"/>
      </w:pPr>
      <w:r w:rsidRPr="00881549">
        <w:t>Overeenkomsten en contracten</w:t>
      </w:r>
    </w:p>
    <w:p w14:paraId="08DFBFB7" w14:textId="77777777" w:rsidR="00FF601E" w:rsidRDefault="00FF601E" w:rsidP="00FF601E">
      <w:pPr>
        <w:spacing w:after="0" w:line="240" w:lineRule="auto"/>
        <w:contextualSpacing/>
        <w:jc w:val="both"/>
      </w:pPr>
      <w:r>
        <w:t>Voor advies bij en het opstellen van overeenkomsten en contracten kan het IXA-team HvA ingeschakeld worden. Voor verwerkersovereenkomsten in het kader van de AVG kan de HvA afdeling Juridische Zaken worden ingeschakeld.</w:t>
      </w:r>
    </w:p>
    <w:p w14:paraId="0ACA7CAA" w14:textId="77777777" w:rsidR="00FF601E" w:rsidRDefault="00FF601E" w:rsidP="00FF601E">
      <w:pPr>
        <w:pStyle w:val="ListParagraph"/>
        <w:numPr>
          <w:ilvl w:val="0"/>
          <w:numId w:val="7"/>
        </w:numPr>
        <w:spacing w:after="0" w:line="240" w:lineRule="auto"/>
        <w:jc w:val="both"/>
      </w:pPr>
      <w:r>
        <w:t xml:space="preserve">Website IXA: </w:t>
      </w:r>
      <w:hyperlink r:id="rId22" w:history="1">
        <w:r>
          <w:rPr>
            <w:rStyle w:val="Hyperlink"/>
          </w:rPr>
          <w:t>https://www.ixa.nl/about/teams/</w:t>
        </w:r>
      </w:hyperlink>
    </w:p>
    <w:p w14:paraId="13B9DC0D" w14:textId="58BC0267" w:rsidR="009A5C98" w:rsidRDefault="00FE49E6" w:rsidP="00F32A86">
      <w:pPr>
        <w:pStyle w:val="ListParagraph"/>
        <w:numPr>
          <w:ilvl w:val="0"/>
          <w:numId w:val="7"/>
        </w:numPr>
        <w:spacing w:after="0" w:line="240" w:lineRule="auto"/>
        <w:jc w:val="both"/>
      </w:pPr>
      <w:hyperlink r:id="rId23" w:history="1">
        <w:r w:rsidR="00FF601E" w:rsidRPr="00331BAF">
          <w:rPr>
            <w:rStyle w:val="Hyperlink"/>
          </w:rPr>
          <w:t>AZ-lemma Privacy</w:t>
        </w:r>
      </w:hyperlink>
      <w:r w:rsidR="00FF601E">
        <w:t xml:space="preserve"> (zie ‘Modellen’ voor templates en contactgegevens Juridische Zaken)</w:t>
      </w:r>
    </w:p>
    <w:p w14:paraId="0E971050" w14:textId="54599465" w:rsidR="005708B3" w:rsidRDefault="005708B3" w:rsidP="005708B3">
      <w:pPr>
        <w:spacing w:after="0" w:line="240" w:lineRule="auto"/>
        <w:jc w:val="both"/>
      </w:pPr>
    </w:p>
    <w:p w14:paraId="0B9EBD89" w14:textId="50E8C4B5" w:rsidR="005708B3" w:rsidRPr="007D7E0C" w:rsidRDefault="004E77ED" w:rsidP="00355862">
      <w:pPr>
        <w:pStyle w:val="Heading3"/>
        <w:rPr>
          <w:lang w:val="en-US"/>
        </w:rPr>
      </w:pPr>
      <w:r w:rsidRPr="007D7E0C">
        <w:rPr>
          <w:lang w:val="en-US"/>
        </w:rPr>
        <w:t>Data safety and monitoring board (DSMB) / Data monitoring committee (DMC)</w:t>
      </w:r>
    </w:p>
    <w:p w14:paraId="08448EF9" w14:textId="046E180B" w:rsidR="005708B3" w:rsidRDefault="004E77ED" w:rsidP="007D7E0C">
      <w:pPr>
        <w:spacing w:after="0" w:line="240" w:lineRule="auto"/>
        <w:jc w:val="both"/>
      </w:pPr>
      <w:r>
        <w:t xml:space="preserve">In interventie-onderzoek met mogelijke gevaren of bijwerkingen voor deelnemers kan het wenselijk zijn een commissie op te richten die op gezette tijden (de verzamelde) gegevens bekijkt, en eventueel analyseert om na te gaan of het onderzoek redelijkerwijs nog door moet gaan. Redenen om te stoppen </w:t>
      </w:r>
      <w:r>
        <w:lastRenderedPageBreak/>
        <w:t>kunnen zijn: (i) de vraag is beantwoord (binnen of buiten het onderzoek, (ii) er zijn onaanvaardbare bijwerkingen, (iii) de vraag kan met het onderzoek redelijkerwijs niet meer beantwoord worden (</w:t>
      </w:r>
      <w:proofErr w:type="spellStart"/>
      <w:r>
        <w:t>futility</w:t>
      </w:r>
      <w:proofErr w:type="spellEnd"/>
      <w:r>
        <w:t>).</w:t>
      </w:r>
      <w:r w:rsidR="007B1EBB">
        <w:t xml:space="preserve"> </w:t>
      </w:r>
      <w:r>
        <w:t xml:space="preserve">De activiteiten van een DSMB moeten financieel begroot worden. Zie voor het richtlijnen rondom het opstellen van een DSMB </w:t>
      </w:r>
      <w:r w:rsidR="007B1EBB">
        <w:t xml:space="preserve">charter  </w:t>
      </w:r>
      <w:hyperlink r:id="rId24" w:history="1">
        <w:r w:rsidR="007B1EBB">
          <w:rPr>
            <w:rStyle w:val="Hyperlink"/>
          </w:rPr>
          <w:t>https://</w:t>
        </w:r>
        <w:r w:rsidR="007B1EBB">
          <w:rPr>
            <w:rStyle w:val="Hyperlink"/>
          </w:rPr>
          <w:t>w</w:t>
        </w:r>
        <w:r w:rsidR="007B1EBB">
          <w:rPr>
            <w:rStyle w:val="Hyperlink"/>
          </w:rPr>
          <w:t>ww.ncbi.nlm.nih.gov/pubmed/15721478</w:t>
        </w:r>
      </w:hyperlink>
      <w:r w:rsidR="007D7E0C">
        <w:t>. Dit wordt momenteel niet door de HvA verzorgd.</w:t>
      </w:r>
    </w:p>
    <w:p w14:paraId="0E9D0F9A" w14:textId="3A6C43DD" w:rsidR="007D7E0C" w:rsidRDefault="007D7E0C" w:rsidP="007D7E0C">
      <w:pPr>
        <w:spacing w:after="0" w:line="240" w:lineRule="auto"/>
        <w:jc w:val="both"/>
      </w:pPr>
    </w:p>
    <w:p w14:paraId="6674429C" w14:textId="630A281F" w:rsidR="007D7E0C" w:rsidRDefault="007D7E0C" w:rsidP="00355862">
      <w:pPr>
        <w:pStyle w:val="Heading3"/>
      </w:pPr>
      <w:bookmarkStart w:id="8" w:name="_GoBack"/>
      <w:r w:rsidRPr="007D7E0C">
        <w:t>Overige verplichtingen verrichterschap</w:t>
      </w:r>
    </w:p>
    <w:bookmarkEnd w:id="8"/>
    <w:p w14:paraId="17B215F0" w14:textId="40E522BB" w:rsidR="007D7E0C" w:rsidRPr="007D7E0C" w:rsidRDefault="000A2B39" w:rsidP="007D7E0C">
      <w:pPr>
        <w:spacing w:after="0" w:line="240" w:lineRule="auto"/>
        <w:jc w:val="both"/>
      </w:pPr>
      <w:r>
        <w:t>Niet toegelichte punten uit paragraaf 3 worden momenteel, voor zover ons bekend, niet door de HvA verzorgd en/of moeten door het onderzoeksteam zelf geregeld worden.</w:t>
      </w:r>
    </w:p>
    <w:sectPr w:rsidR="007D7E0C" w:rsidRPr="007D7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C1EE4" w14:textId="77777777" w:rsidR="00FE49E6" w:rsidRDefault="00FE49E6" w:rsidP="000F4BB8">
      <w:pPr>
        <w:spacing w:after="0" w:line="240" w:lineRule="auto"/>
      </w:pPr>
      <w:r>
        <w:separator/>
      </w:r>
    </w:p>
  </w:endnote>
  <w:endnote w:type="continuationSeparator" w:id="0">
    <w:p w14:paraId="6E18A777" w14:textId="77777777" w:rsidR="00FE49E6" w:rsidRDefault="00FE49E6" w:rsidP="000F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93B3B" w14:textId="77777777" w:rsidR="00FE49E6" w:rsidRDefault="00FE49E6" w:rsidP="000F4BB8">
      <w:pPr>
        <w:spacing w:after="0" w:line="240" w:lineRule="auto"/>
      </w:pPr>
      <w:r>
        <w:separator/>
      </w:r>
    </w:p>
  </w:footnote>
  <w:footnote w:type="continuationSeparator" w:id="0">
    <w:p w14:paraId="78A9E3B8" w14:textId="77777777" w:rsidR="00FE49E6" w:rsidRDefault="00FE49E6" w:rsidP="000F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5563"/>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E6523D"/>
    <w:multiLevelType w:val="hybridMultilevel"/>
    <w:tmpl w:val="5DB44154"/>
    <w:lvl w:ilvl="0" w:tplc="394A24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7966F7"/>
    <w:multiLevelType w:val="hybridMultilevel"/>
    <w:tmpl w:val="48B8225C"/>
    <w:lvl w:ilvl="0" w:tplc="394A24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90235F"/>
    <w:multiLevelType w:val="hybridMultilevel"/>
    <w:tmpl w:val="55CAB23E"/>
    <w:lvl w:ilvl="0" w:tplc="7A84B45A">
      <w:start w:val="3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FA1E07"/>
    <w:multiLevelType w:val="hybridMultilevel"/>
    <w:tmpl w:val="854C2F2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A6F56"/>
    <w:multiLevelType w:val="hybridMultilevel"/>
    <w:tmpl w:val="CD548E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723901"/>
    <w:multiLevelType w:val="hybridMultilevel"/>
    <w:tmpl w:val="BED0B84A"/>
    <w:lvl w:ilvl="0" w:tplc="3DDA4E36">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F2707C"/>
    <w:multiLevelType w:val="hybridMultilevel"/>
    <w:tmpl w:val="5476CC3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E34F4F"/>
    <w:multiLevelType w:val="hybridMultilevel"/>
    <w:tmpl w:val="A9AEF46A"/>
    <w:lvl w:ilvl="0" w:tplc="89DA02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71616F"/>
    <w:multiLevelType w:val="hybridMultilevel"/>
    <w:tmpl w:val="4672D3D0"/>
    <w:lvl w:ilvl="0" w:tplc="A7E0D87A">
      <w:start w:val="202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1150B45"/>
    <w:multiLevelType w:val="hybridMultilevel"/>
    <w:tmpl w:val="ED84A44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24640D2"/>
    <w:multiLevelType w:val="hybridMultilevel"/>
    <w:tmpl w:val="A7BAF57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4"/>
  </w:num>
  <w:num w:numId="5">
    <w:abstractNumId w:val="1"/>
  </w:num>
  <w:num w:numId="6">
    <w:abstractNumId w:val="10"/>
  </w:num>
  <w:num w:numId="7">
    <w:abstractNumId w:val="3"/>
  </w:num>
  <w:num w:numId="8">
    <w:abstractNumId w:val="8"/>
  </w:num>
  <w:num w:numId="9">
    <w:abstractNumId w:val="11"/>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D2"/>
    <w:rsid w:val="000209C9"/>
    <w:rsid w:val="00067BAA"/>
    <w:rsid w:val="00070C35"/>
    <w:rsid w:val="0008661D"/>
    <w:rsid w:val="000A2B39"/>
    <w:rsid w:val="000A42EB"/>
    <w:rsid w:val="000C3BEB"/>
    <w:rsid w:val="000E1425"/>
    <w:rsid w:val="000F4BB8"/>
    <w:rsid w:val="0011520E"/>
    <w:rsid w:val="0014317E"/>
    <w:rsid w:val="00180925"/>
    <w:rsid w:val="001D0DCD"/>
    <w:rsid w:val="00202912"/>
    <w:rsid w:val="00224D7F"/>
    <w:rsid w:val="00251CC3"/>
    <w:rsid w:val="002A5B0E"/>
    <w:rsid w:val="002E77B9"/>
    <w:rsid w:val="00333458"/>
    <w:rsid w:val="00333A55"/>
    <w:rsid w:val="00343B3A"/>
    <w:rsid w:val="00350DD9"/>
    <w:rsid w:val="00354F00"/>
    <w:rsid w:val="00355862"/>
    <w:rsid w:val="00357917"/>
    <w:rsid w:val="003969C8"/>
    <w:rsid w:val="003F2C52"/>
    <w:rsid w:val="00494C1D"/>
    <w:rsid w:val="00495419"/>
    <w:rsid w:val="004970D9"/>
    <w:rsid w:val="004D3814"/>
    <w:rsid w:val="004D73C2"/>
    <w:rsid w:val="004E18A0"/>
    <w:rsid w:val="004E201E"/>
    <w:rsid w:val="004E4D05"/>
    <w:rsid w:val="004E77ED"/>
    <w:rsid w:val="004E7AEC"/>
    <w:rsid w:val="00537868"/>
    <w:rsid w:val="005708B3"/>
    <w:rsid w:val="00575934"/>
    <w:rsid w:val="005A6316"/>
    <w:rsid w:val="005B5DDC"/>
    <w:rsid w:val="00647A7B"/>
    <w:rsid w:val="00651863"/>
    <w:rsid w:val="006648CF"/>
    <w:rsid w:val="00674937"/>
    <w:rsid w:val="006863DF"/>
    <w:rsid w:val="006D0B43"/>
    <w:rsid w:val="006E5A1D"/>
    <w:rsid w:val="00743AAE"/>
    <w:rsid w:val="007A4000"/>
    <w:rsid w:val="007A60D1"/>
    <w:rsid w:val="007A695E"/>
    <w:rsid w:val="007B1EBB"/>
    <w:rsid w:val="007C295B"/>
    <w:rsid w:val="007D7E0C"/>
    <w:rsid w:val="007E2615"/>
    <w:rsid w:val="008322D2"/>
    <w:rsid w:val="00836134"/>
    <w:rsid w:val="0086516A"/>
    <w:rsid w:val="00884A27"/>
    <w:rsid w:val="00897551"/>
    <w:rsid w:val="008A3276"/>
    <w:rsid w:val="008B4E18"/>
    <w:rsid w:val="008D0D3F"/>
    <w:rsid w:val="008D7BBE"/>
    <w:rsid w:val="0090375A"/>
    <w:rsid w:val="00966E01"/>
    <w:rsid w:val="0096765D"/>
    <w:rsid w:val="0097001D"/>
    <w:rsid w:val="009A5C98"/>
    <w:rsid w:val="009D183A"/>
    <w:rsid w:val="009D3A8D"/>
    <w:rsid w:val="009E422A"/>
    <w:rsid w:val="00A0136B"/>
    <w:rsid w:val="00A05D27"/>
    <w:rsid w:val="00A43295"/>
    <w:rsid w:val="00A46A05"/>
    <w:rsid w:val="00A807A9"/>
    <w:rsid w:val="00AB4307"/>
    <w:rsid w:val="00AE50FE"/>
    <w:rsid w:val="00AE73EC"/>
    <w:rsid w:val="00B0549B"/>
    <w:rsid w:val="00B10CC2"/>
    <w:rsid w:val="00B3516F"/>
    <w:rsid w:val="00B8068F"/>
    <w:rsid w:val="00B91AE0"/>
    <w:rsid w:val="00BD61B5"/>
    <w:rsid w:val="00C00D28"/>
    <w:rsid w:val="00C23B70"/>
    <w:rsid w:val="00C30996"/>
    <w:rsid w:val="00C470CF"/>
    <w:rsid w:val="00C52C39"/>
    <w:rsid w:val="00CC50BA"/>
    <w:rsid w:val="00CC5F09"/>
    <w:rsid w:val="00D62F8C"/>
    <w:rsid w:val="00DC4E24"/>
    <w:rsid w:val="00DC75B4"/>
    <w:rsid w:val="00E074A9"/>
    <w:rsid w:val="00E164E2"/>
    <w:rsid w:val="00E319AB"/>
    <w:rsid w:val="00E64194"/>
    <w:rsid w:val="00EB2193"/>
    <w:rsid w:val="00EC15D3"/>
    <w:rsid w:val="00EF3B45"/>
    <w:rsid w:val="00F048F4"/>
    <w:rsid w:val="00F32A86"/>
    <w:rsid w:val="00F419C4"/>
    <w:rsid w:val="00F96A9C"/>
    <w:rsid w:val="00FB5DAB"/>
    <w:rsid w:val="00FE49E6"/>
    <w:rsid w:val="00FF60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132C"/>
  <w15:chartTrackingRefBased/>
  <w15:docId w15:val="{A9B5B8BF-9FFB-487A-8D22-34638704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C1D"/>
    <w:rPr>
      <w:color w:val="0563C1" w:themeColor="hyperlink"/>
      <w:u w:val="single"/>
    </w:rPr>
  </w:style>
  <w:style w:type="character" w:styleId="UnresolvedMention">
    <w:name w:val="Unresolved Mention"/>
    <w:basedOn w:val="DefaultParagraphFont"/>
    <w:uiPriority w:val="99"/>
    <w:semiHidden/>
    <w:unhideWhenUsed/>
    <w:rsid w:val="00494C1D"/>
    <w:rPr>
      <w:color w:val="605E5C"/>
      <w:shd w:val="clear" w:color="auto" w:fill="E1DFDD"/>
    </w:rPr>
  </w:style>
  <w:style w:type="paragraph" w:customStyle="1" w:styleId="Default">
    <w:name w:val="Default"/>
    <w:rsid w:val="001809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51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1C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4D7F"/>
    <w:pPr>
      <w:ind w:left="720"/>
      <w:contextualSpacing/>
    </w:pPr>
  </w:style>
  <w:style w:type="character" w:styleId="FollowedHyperlink">
    <w:name w:val="FollowedHyperlink"/>
    <w:basedOn w:val="DefaultParagraphFont"/>
    <w:uiPriority w:val="99"/>
    <w:semiHidden/>
    <w:unhideWhenUsed/>
    <w:rsid w:val="00B0549B"/>
    <w:rPr>
      <w:color w:val="954F72" w:themeColor="followedHyperlink"/>
      <w:u w:val="single"/>
    </w:rPr>
  </w:style>
  <w:style w:type="character" w:customStyle="1" w:styleId="Heading3Char">
    <w:name w:val="Heading 3 Char"/>
    <w:basedOn w:val="DefaultParagraphFont"/>
    <w:link w:val="Heading3"/>
    <w:uiPriority w:val="9"/>
    <w:rsid w:val="004E7AE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F4B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4BB8"/>
    <w:rPr>
      <w:sz w:val="20"/>
      <w:szCs w:val="20"/>
    </w:rPr>
  </w:style>
  <w:style w:type="character" w:styleId="FootnoteReference">
    <w:name w:val="footnote reference"/>
    <w:basedOn w:val="DefaultParagraphFont"/>
    <w:uiPriority w:val="99"/>
    <w:semiHidden/>
    <w:unhideWhenUsed/>
    <w:rsid w:val="000F4BB8"/>
    <w:rPr>
      <w:vertAlign w:val="superscript"/>
    </w:rPr>
  </w:style>
  <w:style w:type="character" w:styleId="CommentReference">
    <w:name w:val="annotation reference"/>
    <w:basedOn w:val="DefaultParagraphFont"/>
    <w:uiPriority w:val="99"/>
    <w:semiHidden/>
    <w:unhideWhenUsed/>
    <w:rsid w:val="006648CF"/>
    <w:rPr>
      <w:sz w:val="16"/>
      <w:szCs w:val="16"/>
    </w:rPr>
  </w:style>
  <w:style w:type="paragraph" w:styleId="CommentText">
    <w:name w:val="annotation text"/>
    <w:basedOn w:val="Normal"/>
    <w:link w:val="CommentTextChar"/>
    <w:uiPriority w:val="99"/>
    <w:semiHidden/>
    <w:unhideWhenUsed/>
    <w:rsid w:val="006648CF"/>
    <w:pPr>
      <w:spacing w:line="240" w:lineRule="auto"/>
    </w:pPr>
    <w:rPr>
      <w:sz w:val="20"/>
      <w:szCs w:val="20"/>
    </w:rPr>
  </w:style>
  <w:style w:type="character" w:customStyle="1" w:styleId="CommentTextChar">
    <w:name w:val="Comment Text Char"/>
    <w:basedOn w:val="DefaultParagraphFont"/>
    <w:link w:val="CommentText"/>
    <w:uiPriority w:val="99"/>
    <w:semiHidden/>
    <w:rsid w:val="006648CF"/>
    <w:rPr>
      <w:sz w:val="20"/>
      <w:szCs w:val="20"/>
    </w:rPr>
  </w:style>
  <w:style w:type="paragraph" w:styleId="CommentSubject">
    <w:name w:val="annotation subject"/>
    <w:basedOn w:val="CommentText"/>
    <w:next w:val="CommentText"/>
    <w:link w:val="CommentSubjectChar"/>
    <w:uiPriority w:val="99"/>
    <w:semiHidden/>
    <w:unhideWhenUsed/>
    <w:rsid w:val="006648CF"/>
    <w:rPr>
      <w:b/>
      <w:bCs/>
    </w:rPr>
  </w:style>
  <w:style w:type="character" w:customStyle="1" w:styleId="CommentSubjectChar">
    <w:name w:val="Comment Subject Char"/>
    <w:basedOn w:val="CommentTextChar"/>
    <w:link w:val="CommentSubject"/>
    <w:uiPriority w:val="99"/>
    <w:semiHidden/>
    <w:rsid w:val="006648CF"/>
    <w:rPr>
      <w:b/>
      <w:bCs/>
      <w:sz w:val="20"/>
      <w:szCs w:val="20"/>
    </w:rPr>
  </w:style>
  <w:style w:type="paragraph" w:styleId="BalloonText">
    <w:name w:val="Balloon Text"/>
    <w:basedOn w:val="Normal"/>
    <w:link w:val="BalloonTextChar"/>
    <w:uiPriority w:val="99"/>
    <w:semiHidden/>
    <w:unhideWhenUsed/>
    <w:rsid w:val="0066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8CF"/>
    <w:rPr>
      <w:rFonts w:ascii="Segoe UI" w:hAnsi="Segoe UI" w:cs="Segoe UI"/>
      <w:sz w:val="18"/>
      <w:szCs w:val="18"/>
    </w:rPr>
  </w:style>
  <w:style w:type="table" w:styleId="TableGrid">
    <w:name w:val="Table Grid"/>
    <w:basedOn w:val="TableNormal"/>
    <w:uiPriority w:val="39"/>
    <w:rsid w:val="00FF6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F601E"/>
    <w:pPr>
      <w:outlineLvl w:val="9"/>
    </w:pPr>
    <w:rPr>
      <w:lang w:eastAsia="nl-NL"/>
    </w:rPr>
  </w:style>
  <w:style w:type="paragraph" w:styleId="TOC1">
    <w:name w:val="toc 1"/>
    <w:basedOn w:val="Normal"/>
    <w:next w:val="Normal"/>
    <w:autoRedefine/>
    <w:uiPriority w:val="39"/>
    <w:unhideWhenUsed/>
    <w:rsid w:val="00FF601E"/>
    <w:pPr>
      <w:spacing w:after="100"/>
    </w:pPr>
  </w:style>
  <w:style w:type="paragraph" w:styleId="TOC2">
    <w:name w:val="toc 2"/>
    <w:basedOn w:val="Normal"/>
    <w:next w:val="Normal"/>
    <w:autoRedefine/>
    <w:uiPriority w:val="39"/>
    <w:unhideWhenUsed/>
    <w:rsid w:val="00FF601E"/>
    <w:pPr>
      <w:spacing w:after="100"/>
      <w:ind w:left="220"/>
    </w:pPr>
  </w:style>
  <w:style w:type="paragraph" w:styleId="TOC3">
    <w:name w:val="toc 3"/>
    <w:basedOn w:val="Normal"/>
    <w:next w:val="Normal"/>
    <w:autoRedefine/>
    <w:uiPriority w:val="39"/>
    <w:unhideWhenUsed/>
    <w:rsid w:val="00FF60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h.org/page/efficacy-guidelines" TargetMode="External"/><Relationship Id="rId13" Type="http://schemas.openxmlformats.org/officeDocument/2006/relationships/hyperlink" Target="https://www.ccmo.nl/onderzoekers/wet-en-regelgeving-voor-medisch-wetenschappelijk-onderzoek/wmo-bescherming-proefpersoon-centraal/verzekeringen" TargetMode="External"/><Relationship Id="rId18" Type="http://schemas.openxmlformats.org/officeDocument/2006/relationships/hyperlink" Target="https://az.hva.nl/medewerkers/bewegen-sport-voeding/az-lemmas/medewerkers/hva-breed/bibliotheek/onderzoeksdata/onderzoeksdata.html?origin=a6RfPo6MRIOynBGZEXQcv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fu.nl/wetenschap/kwaliteitsborging/basiscursus/brok-register/" TargetMode="External"/><Relationship Id="rId7" Type="http://schemas.openxmlformats.org/officeDocument/2006/relationships/endnotes" Target="endnotes.xml"/><Relationship Id="rId12" Type="http://schemas.openxmlformats.org/officeDocument/2006/relationships/hyperlink" Target="https://www.ccmo.nl/metcs/erkende-metcs/metc-vu-medisch-centrum" TargetMode="External"/><Relationship Id="rId17" Type="http://schemas.openxmlformats.org/officeDocument/2006/relationships/hyperlink" Target="https://mibopenscience.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opensciencesupport@hva.nl" TargetMode="External"/><Relationship Id="rId20" Type="http://schemas.openxmlformats.org/officeDocument/2006/relationships/hyperlink" Target="https://nfubrokacademie.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mo.nl/metcs/erkende-metcs/metc-academisch-medisch-centrum-amsterdam" TargetMode="External"/><Relationship Id="rId24" Type="http://schemas.openxmlformats.org/officeDocument/2006/relationships/hyperlink" Target="https://www.ncbi.nlm.nih.gov/pubmed/15721478" TargetMode="External"/><Relationship Id="rId5" Type="http://schemas.openxmlformats.org/officeDocument/2006/relationships/webSettings" Target="webSettings.xml"/><Relationship Id="rId15" Type="http://schemas.openxmlformats.org/officeDocument/2006/relationships/hyperlink" Target="https://az.hva.nl/medewerkers/bewegen-sport-voeding/az-lemmas/medewerkers/hva-breed/ac-hr/verzekeringen/verzekeringen.html?origin=a6RfPo6MRIOynBGZEXQcvw" TargetMode="External"/><Relationship Id="rId23" Type="http://schemas.openxmlformats.org/officeDocument/2006/relationships/hyperlink" Target="https://az.hva.nl/medewerkers/bewegen-sport-voeding/az-lemmas/medewerkers/hva-breed/juridische-zaken/avg/privacy.html?origin=a6RfPo6MRIOynBGZEXQcvw" TargetMode="External"/><Relationship Id="rId10" Type="http://schemas.openxmlformats.org/officeDocument/2006/relationships/hyperlink" Target="https://www.vumc.nl/research/overzicht/medisch-ethische-toetsingscommissie.htm" TargetMode="External"/><Relationship Id="rId19" Type="http://schemas.openxmlformats.org/officeDocument/2006/relationships/hyperlink" Target="https://rdm.uva.nl/" TargetMode="External"/><Relationship Id="rId4" Type="http://schemas.openxmlformats.org/officeDocument/2006/relationships/settings" Target="settings.xml"/><Relationship Id="rId9" Type="http://schemas.openxmlformats.org/officeDocument/2006/relationships/hyperlink" Target="https://www.amc.nl/web/research-75/medisch-ethische-toetsings-commissie-metc.htm" TargetMode="External"/><Relationship Id="rId14" Type="http://schemas.openxmlformats.org/officeDocument/2006/relationships/hyperlink" Target="mailto:p.wurtz@hva.nl" TargetMode="External"/><Relationship Id="rId22" Type="http://schemas.openxmlformats.org/officeDocument/2006/relationships/hyperlink" Target="https://www.ixa.nl/about/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F95C-49B5-467D-9B4C-23C3EE37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2254</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 van Ulzen</dc:creator>
  <cp:keywords/>
  <dc:description/>
  <cp:lastModifiedBy>Niek van Ulzen</cp:lastModifiedBy>
  <cp:revision>5</cp:revision>
  <dcterms:created xsi:type="dcterms:W3CDTF">2020-02-03T15:31:00Z</dcterms:created>
  <dcterms:modified xsi:type="dcterms:W3CDTF">2020-02-17T14:14:00Z</dcterms:modified>
</cp:coreProperties>
</file>