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28C5" w14:textId="77777777" w:rsidR="007B6CDB" w:rsidRPr="007B6CDB" w:rsidRDefault="007B6CDB" w:rsidP="007B6CDB">
      <w:r w:rsidRPr="007B6CDB">
        <w:rPr>
          <w:b/>
          <w:bCs/>
        </w:rPr>
        <w:t>Food–Drug Interactions in Diabetic Patients</w:t>
      </w:r>
    </w:p>
    <w:p w14:paraId="5A96FA70" w14:textId="77777777" w:rsidR="007B6CDB" w:rsidRPr="007B6CDB" w:rsidRDefault="007B6CDB" w:rsidP="007B6CDB">
      <w:r w:rsidRPr="007B6CDB">
        <w:t>Diabetes mellitus is a chronic metabolic disorder that often requires lifelong pharmacological treatment in combination with dietary modifications. Because nutrition plays a central role in diabetes management, interactions between food and antidiabetic medications are of significant clinical importance. Food–drug interactions can influence the absorption, metabolism, effectiveness, and safety of medications, potentially leading to poor glycemic control or adverse effects. Understanding these interactions enables healthcare professionals and patients to optimize treatment outcomes while minimizing complications associated with diabetes therapy.</w:t>
      </w:r>
    </w:p>
    <w:p w14:paraId="6D1271AD" w14:textId="77777777" w:rsidR="007B6CDB" w:rsidRPr="007B6CDB" w:rsidRDefault="007B6CDB" w:rsidP="007B6CDB">
      <w:r w:rsidRPr="007B6CDB">
        <w:t xml:space="preserve">One of the </w:t>
      </w:r>
      <w:proofErr w:type="gramStart"/>
      <w:r w:rsidRPr="007B6CDB">
        <w:t>most commonly prescribed</w:t>
      </w:r>
      <w:proofErr w:type="gramEnd"/>
      <w:r w:rsidRPr="007B6CDB">
        <w:t xml:space="preserve"> medications for type 2 diabetes is </w:t>
      </w:r>
      <w:r w:rsidRPr="007B6CDB">
        <w:rPr>
          <w:b/>
          <w:bCs/>
        </w:rPr>
        <w:t>metformin</w:t>
      </w:r>
      <w:r w:rsidRPr="007B6CDB">
        <w:t xml:space="preserve">, which is generally recommended to be taken with meals. Taking </w:t>
      </w:r>
      <w:proofErr w:type="gramStart"/>
      <w:r w:rsidRPr="007B6CDB">
        <w:t>metformin</w:t>
      </w:r>
      <w:proofErr w:type="gramEnd"/>
      <w:r w:rsidRPr="007B6CDB">
        <w:t xml:space="preserve"> with food reduces gastrointestinal side effects such as nausea, abdominal discomfort, and diarrhea without significantly affecting its glucose-lowering efficacy. However, prolonged metformin use has been associated with reduced absorption of vitamin B12, making periodic monitoring and dietary intake of vitamin B12-rich foods or supplementation important. In contrast, excessive alcohol consumption while taking metformin should be avoided because it increases the risk of lactic acidosis, a rare but potentially life-threatening condition.</w:t>
      </w:r>
    </w:p>
    <w:p w14:paraId="779FF5A0" w14:textId="77777777" w:rsidR="007B6CDB" w:rsidRPr="007B6CDB" w:rsidRDefault="007B6CDB" w:rsidP="007B6CDB">
      <w:r w:rsidRPr="007B6CDB">
        <w:rPr>
          <w:b/>
          <w:bCs/>
        </w:rPr>
        <w:t>Sulfonylureas</w:t>
      </w:r>
      <w:r w:rsidRPr="007B6CDB">
        <w:t>, including glimepiride, gliclazide, and glipizide, stimulate insulin secretion and therefore have a significant interaction with meal timing. These medications should generally be taken shortly before meals because skipping or delaying meals after taking them can result in hypoglycemia. Additionally, alcohol may enhance the glucose-lowering effect of sulfonylureas, increasing the risk of severe hypoglycemia. Patients are advised to maintain regular meal schedules and consume balanced meals containing adequate carbohydrates to ensure stable blood glucose levels while using these medications.</w:t>
      </w:r>
    </w:p>
    <w:p w14:paraId="4E9EFE06" w14:textId="77777777" w:rsidR="007B6CDB" w:rsidRPr="007B6CDB" w:rsidRDefault="007B6CDB" w:rsidP="007B6CDB">
      <w:r w:rsidRPr="007B6CDB">
        <w:rPr>
          <w:b/>
          <w:bCs/>
        </w:rPr>
        <w:t>Insulin therapy</w:t>
      </w:r>
      <w:r w:rsidRPr="007B6CDB">
        <w:t xml:space="preserve"> is also highly dependent on food intake. Rapid-acting insulins should be administered immediately before or shortly after meals to match postprandial glucose absorption. Failure to consume sufficient carbohydrates after insulin administration can lead to hypoglycemia, whereas consuming excessive carbohydrates may result in hyperglycemia despite treatment. Furthermore, high-fat meals can delay gastric emptying, causing a mismatch between insulin action and glucose absorption, which may require individualized insulin dosing strategies. Patients receiving insulin are encouraged to monitor blood glucose regularly and adjust their diet and insulin regimen under medical supervision.</w:t>
      </w:r>
    </w:p>
    <w:p w14:paraId="4484129B" w14:textId="77777777" w:rsidR="007B6CDB" w:rsidRPr="007B6CDB" w:rsidRDefault="007B6CDB" w:rsidP="007B6CDB">
      <w:r w:rsidRPr="007B6CDB">
        <w:lastRenderedPageBreak/>
        <w:t xml:space="preserve">Newer antidiabetic agents such as </w:t>
      </w:r>
      <w:r w:rsidRPr="007B6CDB">
        <w:rPr>
          <w:b/>
          <w:bCs/>
        </w:rPr>
        <w:t>SGLT2 inhibitors</w:t>
      </w:r>
      <w:r w:rsidRPr="007B6CDB">
        <w:t xml:space="preserve"> (e.g., empagliflozin and dapagliflozin) and </w:t>
      </w:r>
      <w:r w:rsidRPr="007B6CDB">
        <w:rPr>
          <w:b/>
          <w:bCs/>
        </w:rPr>
        <w:t>GLP-1 receptor agonists</w:t>
      </w:r>
      <w:r w:rsidRPr="007B6CDB">
        <w:t xml:space="preserve"> (e.g., semaglutide and liraglutide) also exhibit important food-related considerations. SGLT2 inhibitors can increase fluid loss through urine, making adequate hydration essential, particularly during hot weather or illness. GLP-1 receptor agonists slow gastric emptying and often reduce appetite; therefore, patients are encouraged to eat smaller, more frequent meals to minimize gastrointestinal side effects such as nausea. Maintaining a balanced diet and sufficient fluid intake improves medication tolerance and overall therapeutic outcomes.</w:t>
      </w:r>
    </w:p>
    <w:p w14:paraId="19CAA9C4" w14:textId="77777777" w:rsidR="007B6CDB" w:rsidRPr="007B6CDB" w:rsidRDefault="007B6CDB" w:rsidP="007B6CDB">
      <w:r w:rsidRPr="007B6CDB">
        <w:t>In conclusion, food–drug interactions are a critical aspect of diabetes management and should be considered when prescribing and administering antidiabetic medications. Appropriate meal timing, balanced nutrition, adequate hydration, and avoidance of excessive alcohol consumption contribute significantly to the effectiveness and safety of diabetes treatment. Patient education regarding these interactions, along with regular follow-up and individualized dietary counseling, can improve medication adherence, optimize glycemic control, and reduce the risk of both acute and long-term complications. Future research should continue to explore personalized nutritional strategies that complement pharmacological therapy and enhance the quality of life of individuals living with diabetes.</w:t>
      </w:r>
    </w:p>
    <w:p w14:paraId="0D8EB205" w14:textId="77777777" w:rsidR="007B6CDB" w:rsidRDefault="007B6CDB"/>
    <w:sectPr w:rsidR="007B6C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CDB"/>
    <w:rsid w:val="007B6CDB"/>
    <w:rsid w:val="00F12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AB231"/>
  <w15:chartTrackingRefBased/>
  <w15:docId w15:val="{424CE15D-955D-4E3B-80A2-6AA91C87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CDB"/>
    <w:rPr>
      <w:rFonts w:eastAsiaTheme="majorEastAsia" w:cstheme="majorBidi"/>
      <w:color w:val="272727" w:themeColor="text1" w:themeTint="D8"/>
    </w:rPr>
  </w:style>
  <w:style w:type="paragraph" w:styleId="Title">
    <w:name w:val="Title"/>
    <w:basedOn w:val="Normal"/>
    <w:next w:val="Normal"/>
    <w:link w:val="TitleChar"/>
    <w:uiPriority w:val="10"/>
    <w:qFormat/>
    <w:rsid w:val="007B6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CDB"/>
    <w:pPr>
      <w:spacing w:before="160"/>
      <w:jc w:val="center"/>
    </w:pPr>
    <w:rPr>
      <w:i/>
      <w:iCs/>
      <w:color w:val="404040" w:themeColor="text1" w:themeTint="BF"/>
    </w:rPr>
  </w:style>
  <w:style w:type="character" w:customStyle="1" w:styleId="QuoteChar">
    <w:name w:val="Quote Char"/>
    <w:basedOn w:val="DefaultParagraphFont"/>
    <w:link w:val="Quote"/>
    <w:uiPriority w:val="29"/>
    <w:rsid w:val="007B6CDB"/>
    <w:rPr>
      <w:i/>
      <w:iCs/>
      <w:color w:val="404040" w:themeColor="text1" w:themeTint="BF"/>
    </w:rPr>
  </w:style>
  <w:style w:type="paragraph" w:styleId="ListParagraph">
    <w:name w:val="List Paragraph"/>
    <w:basedOn w:val="Normal"/>
    <w:uiPriority w:val="34"/>
    <w:qFormat/>
    <w:rsid w:val="007B6CDB"/>
    <w:pPr>
      <w:ind w:left="720"/>
      <w:contextualSpacing/>
    </w:pPr>
  </w:style>
  <w:style w:type="character" w:styleId="IntenseEmphasis">
    <w:name w:val="Intense Emphasis"/>
    <w:basedOn w:val="DefaultParagraphFont"/>
    <w:uiPriority w:val="21"/>
    <w:qFormat/>
    <w:rsid w:val="007B6CDB"/>
    <w:rPr>
      <w:i/>
      <w:iCs/>
      <w:color w:val="0F4761" w:themeColor="accent1" w:themeShade="BF"/>
    </w:rPr>
  </w:style>
  <w:style w:type="paragraph" w:styleId="IntenseQuote">
    <w:name w:val="Intense Quote"/>
    <w:basedOn w:val="Normal"/>
    <w:next w:val="Normal"/>
    <w:link w:val="IntenseQuoteChar"/>
    <w:uiPriority w:val="30"/>
    <w:qFormat/>
    <w:rsid w:val="007B6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CDB"/>
    <w:rPr>
      <w:i/>
      <w:iCs/>
      <w:color w:val="0F4761" w:themeColor="accent1" w:themeShade="BF"/>
    </w:rPr>
  </w:style>
  <w:style w:type="character" w:styleId="IntenseReference">
    <w:name w:val="Intense Reference"/>
    <w:basedOn w:val="DefaultParagraphFont"/>
    <w:uiPriority w:val="32"/>
    <w:qFormat/>
    <w:rsid w:val="007B6C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621</Words>
  <Characters>3542</Characters>
  <Application>Microsoft Office Word</Application>
  <DocSecurity>0</DocSecurity>
  <Lines>29</Lines>
  <Paragraphs>8</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23PWBCS0960</dc:creator>
  <cp:keywords/>
  <dc:description/>
  <cp:lastModifiedBy>23PWBCS0960</cp:lastModifiedBy>
  <cp:revision>1</cp:revision>
  <dcterms:created xsi:type="dcterms:W3CDTF">2026-07-28T17:46:00Z</dcterms:created>
  <dcterms:modified xsi:type="dcterms:W3CDTF">2026-07-28T17:48:00Z</dcterms:modified>
</cp:coreProperties>
</file>