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E19F" w14:textId="1041272F" w:rsidR="00AD12E6" w:rsidRDefault="00117CA4">
      <w:proofErr w:type="spellStart"/>
      <w:r w:rsidRPr="00117CA4">
        <w:rPr>
          <w:b/>
          <w:bCs/>
        </w:rPr>
        <w:t>TruWeld</w:t>
      </w:r>
      <w:proofErr w:type="spellEnd"/>
      <w:r w:rsidRPr="00117CA4">
        <w:t xml:space="preserve"> is a </w:t>
      </w:r>
      <w:r w:rsidRPr="00117CA4">
        <w:rPr>
          <w:b/>
          <w:bCs/>
        </w:rPr>
        <w:t>Singapore-based manufacturer and supplier of professional welding equipment and accessories</w:t>
      </w:r>
      <w:r w:rsidRPr="00117CA4">
        <w:t xml:space="preserve">, specializing in high-quality </w:t>
      </w:r>
      <w:r w:rsidRPr="00117CA4">
        <w:rPr>
          <w:b/>
          <w:bCs/>
        </w:rPr>
        <w:t>TIG, MIG, and plasma welding torches</w:t>
      </w:r>
      <w:r w:rsidRPr="00117CA4">
        <w:t xml:space="preserve">, consumables, tungsten electrodes, and complementary welding components compatible with leading global brands. Trusted since 1993, </w:t>
      </w:r>
      <w:proofErr w:type="spellStart"/>
      <w:r w:rsidRPr="00117CA4">
        <w:t>TruWeld</w:t>
      </w:r>
      <w:proofErr w:type="spellEnd"/>
      <w:r w:rsidRPr="00117CA4">
        <w:t xml:space="preserve"> offers extensive inventory, competitive pricing, and fast fulfilment to support fabricators, distributors, and industrial customers locally and around the world — helping enhance productivity and reliability in metal fabrication and welding applications.</w:t>
      </w:r>
      <w:r>
        <w:tab/>
      </w:r>
    </w:p>
    <w:sectPr w:rsidR="00AD12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CA4"/>
    <w:rsid w:val="00117CA4"/>
    <w:rsid w:val="001C12D9"/>
    <w:rsid w:val="00393166"/>
    <w:rsid w:val="008177F4"/>
    <w:rsid w:val="00AD1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74EC"/>
  <w15:chartTrackingRefBased/>
  <w15:docId w15:val="{111BF251-388B-4DEF-888B-E85E0E164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panaligan</dc:creator>
  <cp:keywords/>
  <dc:description/>
  <cp:lastModifiedBy>kenneth panaligan</cp:lastModifiedBy>
  <cp:revision>1</cp:revision>
  <dcterms:created xsi:type="dcterms:W3CDTF">2025-12-26T08:30:00Z</dcterms:created>
  <dcterms:modified xsi:type="dcterms:W3CDTF">2025-12-26T08:31:00Z</dcterms:modified>
</cp:coreProperties>
</file>