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78"/>
        <w:gridCol w:w="1389"/>
        <w:gridCol w:w="1080"/>
      </w:tblGrid>
      <w:tr>
        <w:trPr>
          <w:trHeight w:val="638" w:hRule="auto"/>
          <w:tblHeader/>
        </w:trPr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1. Perú: Distribución de la población según nivel de inseguridad alimentaria (Rasch), 2025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Nivel de Inseguridad Alimentaria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(N)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Seguridad alimentaria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7,948,186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Inseguridad leve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5,806,969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Inseguridad moderada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3,655,058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19.5%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Inseguridad severa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1,352,095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7.2%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Cálculos expandidos a nivel poblacional.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2026-07-11T23:25:25Z</dcterms:modified>
  <cp:category/>
</cp:coreProperties>
</file>