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1"/>
        <w:gridCol w:w="1080"/>
        <w:gridCol w:w="1915"/>
        <w:gridCol w:w="1255"/>
        <w:gridCol w:w="1132"/>
        <w:gridCol w:w="1181"/>
      </w:tblGrid>
      <w:tr>
        <w:trPr>
          <w:trHeight w:val="638" w:hRule="auto"/>
          <w:tblHeader/>
        </w:trPr>
        <w:tc>
          <w:tcPr>
            <w:gridSpan w:val="6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Tabla 2. Perú: Estadísticos de resumen del puntaje FIES y la severidad Rasch, 2025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Desv. Estándar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Mínimo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Máximo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Puntaje Bruto FIES (0-8)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Severidad Latente Rasch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4.48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Fuente: ENAHO 2025. Cálculos expandidos a nivel poblacional.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2026-07-11T23:25:26Z</dcterms:modified>
  <cp:category/>
</cp:coreProperties>
</file>