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42"/>
        <w:gridCol w:w="1389"/>
        <w:gridCol w:w="1080"/>
      </w:tblGrid>
      <w:tr>
        <w:trPr>
          <w:trHeight w:val="638" w:hRule="auto"/>
          <w:tblHeader/>
        </w:trPr>
        <w:tc>
          <w:tcPr>
            <w:gridSpan w:val="3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Tabla 5. Perú: Distribución de la población según nivel educativo agrupado, 2025</w:t>
            </w:r>
          </w:p>
        </w:tc>
      </w:tr>
      <w:tr>
        <w:trPr>
          <w:trHeight w:val="638" w:hRule="auto"/>
          <w:tblHeader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Nivel Educativo Agrupado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 (N)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%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nivel / Inicial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2,234,140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11.9%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Primaria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5,888,867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31.4%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Secundaria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6,510,393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34.7%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Superior no universitaria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1,926,912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10.3%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Superior universitaria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1,961,416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10.5%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Maestría/Doctorado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217,299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1.2%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Básica especial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23,280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0.1%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Fuente: ENAHO 2025. Cálculos expandidos a nivel poblacional.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2026-07-11T23:25:30Z</dcterms:modified>
  <cp:category/>
</cp:coreProperties>
</file>