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68"/>
        <w:gridCol w:w="2795"/>
        <w:gridCol w:w="2270"/>
        <w:gridCol w:w="2857"/>
        <w:gridCol w:w="2526"/>
      </w:tblGrid>
      <w:tr>
        <w:trPr>
          <w:trHeight w:val="638" w:hRule="auto"/>
          <w:tblHeader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6. Perú: Nivel de inseguridad alimentaria según grupo etario (criterio teórico),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Grupo Etario (Teórico)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 Seguridad alimentaria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2. Inseguridad leve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3. Inseguridad moderada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4. Inseguridad severa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Niñez (3 a 11 años)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21.4%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Adolescencia (12 a 17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27.9%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Juventud (18 a 29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6.3%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Adultez (30 a 59 años)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43.7%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Adultez mayor (60 años a más)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19%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7%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2026-07-11T23:25:32Z</dcterms:modified>
  <cp:category/>
</cp:coreProperties>
</file>