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2"/>
        <w:gridCol w:w="2795"/>
        <w:gridCol w:w="2270"/>
        <w:gridCol w:w="2857"/>
        <w:gridCol w:w="2526"/>
      </w:tblGrid>
      <w:tr>
        <w:trPr>
          <w:trHeight w:val="638" w:hRule="auto"/>
          <w:tblHeader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7. Perú: Nivel de inseguridad alimentaria según tercil de edad (criterio datos),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Tercil de Edad (Datos)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 Seguridad alimentaria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 Inseguridad leve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 Inseguridad moderada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 Inseguridad severa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Tercil 1 (3-27 años)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Tercil 2 (27-52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Tercil 3 (52-98 años)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6.9%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2026-07-11T23:25:34Z</dcterms:modified>
  <cp:category/>
</cp:coreProperties>
</file>