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2795"/>
        <w:gridCol w:w="2270"/>
        <w:gridCol w:w="2857"/>
        <w:gridCol w:w="2526"/>
      </w:tblGrid>
      <w:tr>
        <w:trPr>
          <w:trHeight w:val="638" w:hRule="auto"/>
          <w:tblHeader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8. Perú: Nivel de inseguridad alimentaria según nivel educativo agrupado,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 Educativo Agrupado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 Seguridad alimentaria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 Inseguridad leve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 Inseguridad moderada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 Inseguridad severa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nivel / Inicial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Superior no universitaria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Superior universitaria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Maestría/Doctorado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Básica especial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26.7%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26.3%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23.3%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23.7%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2026-07-11T23:25:36Z</dcterms:modified>
  <cp:category/>
</cp:coreProperties>
</file>