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93"/>
        <w:gridCol w:w="2795"/>
        <w:gridCol w:w="2270"/>
        <w:gridCol w:w="2857"/>
        <w:gridCol w:w="2526"/>
      </w:tblGrid>
      <w:tr>
        <w:trPr>
          <w:trHeight w:val="638" w:hRule="auto"/>
          <w:tblHeader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9. Perú: Nivel de inseguridad alimentaria según sexo, 2025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 Seguridad alimentaria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 Inseguridad leve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 Inseguridad moderada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 Inseguridad severa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Hombre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7.3%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40.9%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31.8%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20.2%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expandidos a nivel poblacional.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2026-07-11T23:25:37Z</dcterms:modified>
  <cp:category/>
</cp:coreProperties>
</file>