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244" w:rsidRDefault="00495244">
      <w:pPr>
        <w:spacing w:before="80" w:after="80"/>
      </w:pPr>
    </w:p>
    <w:p w:rsidR="00495244" w:rsidRDefault="00495244">
      <w:pPr>
        <w:spacing w:before="80" w:after="80"/>
      </w:pPr>
    </w:p>
    <w:p w:rsidR="00495244" w:rsidRDefault="00397747">
      <w:pPr>
        <w:spacing w:before="480" w:after="120"/>
      </w:pPr>
      <w:r>
        <w:rPr>
          <w:b/>
          <w:bCs/>
          <w:color w:val="2E6DA4"/>
          <w:sz w:val="56"/>
          <w:szCs w:val="56"/>
        </w:rPr>
        <w:t>Airline Loyalty Customer Analysis</w:t>
      </w:r>
    </w:p>
    <w:p w:rsidR="00495244" w:rsidRDefault="00397747">
      <w:pPr>
        <w:pBdr>
          <w:bottom w:val="single" w:sz="8" w:space="8" w:color="2E6DA4"/>
        </w:pBdr>
        <w:spacing w:after="80"/>
      </w:pPr>
      <w:r>
        <w:rPr>
          <w:color w:val="666666"/>
          <w:sz w:val="28"/>
          <w:szCs w:val="28"/>
        </w:rPr>
        <w:t>Exploratory Data Analysis &amp; Customer Profiling Report</w:t>
      </w:r>
    </w:p>
    <w:p w:rsidR="00495244" w:rsidRDefault="00495244">
      <w:pPr>
        <w:spacing w:before="80" w:after="80"/>
      </w:pPr>
    </w:p>
    <w:p w:rsidR="00495244" w:rsidRDefault="00397747">
      <w:r>
        <w:rPr>
          <w:b/>
          <w:bCs/>
          <w:color w:val="404040"/>
        </w:rPr>
        <w:t xml:space="preserve">Dataset:  </w:t>
      </w:r>
      <w:r>
        <w:rPr>
          <w:color w:val="666666"/>
        </w:rPr>
        <w:t>Canadian Airline Loyalty Programme</w:t>
      </w:r>
    </w:p>
    <w:p w:rsidR="00495244" w:rsidRDefault="00397747">
      <w:r>
        <w:rPr>
          <w:b/>
          <w:bCs/>
          <w:color w:val="404040"/>
        </w:rPr>
        <w:t xml:space="preserve">Records:  </w:t>
      </w:r>
      <w:r>
        <w:rPr>
          <w:color w:val="666666"/>
        </w:rPr>
        <w:t>405,624 monthly flight activity records</w:t>
      </w:r>
    </w:p>
    <w:p w:rsidR="00495244" w:rsidRDefault="00397747">
      <w:r>
        <w:rPr>
          <w:b/>
          <w:bCs/>
          <w:color w:val="404040"/>
        </w:rPr>
        <w:t xml:space="preserve">Stack:     </w:t>
      </w:r>
      <w:r>
        <w:rPr>
          <w:color w:val="666666"/>
        </w:rPr>
        <w:t>Python  |  Pandas  |  NumPy  |  Matplotlib  |  Seaborn</w:t>
      </w:r>
    </w:p>
    <w:p w:rsidR="00495244" w:rsidRDefault="00495244">
      <w:pPr>
        <w:spacing w:before="80" w:after="80"/>
      </w:pPr>
    </w:p>
    <w:p w:rsidR="00495244" w:rsidRDefault="00495244">
      <w:pPr>
        <w:spacing w:before="80" w:after="80"/>
      </w:pPr>
    </w:p>
    <w:p w:rsidR="00495244" w:rsidRDefault="00397747">
      <w:pPr>
        <w:pStyle w:val="Ttulo1"/>
      </w:pPr>
      <w:r>
        <w:t>1. Project Overview</w:t>
      </w:r>
    </w:p>
    <w:p w:rsidR="00495244" w:rsidRDefault="00397747">
      <w:pPr>
        <w:spacing w:before="80" w:after="100"/>
      </w:pPr>
      <w:r>
        <w:rPr>
          <w:color w:val="404040"/>
        </w:rPr>
        <w:t>This report documents the end-to-end exploratory analysis of a Canadian airline's loyalty programme. The project aimed to profile customer demographics, understand flight activity patterns, and identify the structural drivers of loyalty</w:t>
      </w:r>
      <w:r>
        <w:rPr>
          <w:color w:val="404040"/>
        </w:rPr>
        <w:t xml:space="preserve"> tier distribution — providing a foundation for data-driven decisions on programme design and customer retention.</w:t>
      </w:r>
    </w:p>
    <w:p w:rsidR="00495244" w:rsidRDefault="00495244">
      <w:pPr>
        <w:spacing w:before="80" w:after="80"/>
      </w:pPr>
    </w:p>
    <w:p w:rsidR="00495244" w:rsidRDefault="00397747">
      <w:pPr>
        <w:spacing w:before="80" w:after="100"/>
      </w:pPr>
      <w:r>
        <w:rPr>
          <w:color w:val="404040"/>
        </w:rPr>
        <w:t>Two source datasets were merged on a shared customer identifier:</w:t>
      </w: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Customer Flight Activity — 405,624 rows of monthly flight records per custom</w:t>
      </w:r>
      <w:r>
        <w:rPr>
          <w:color w:val="404040"/>
        </w:rPr>
        <w:t>er, including flights booked, distance flown, points accumulated, and points redeemed.</w:t>
      </w: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Customer Loyalty History — customer profiles including province, education level, marital status, gender, salary, loyalty card tier, enrollment type, and cancellation st</w:t>
      </w:r>
      <w:r>
        <w:rPr>
          <w:color w:val="404040"/>
        </w:rPr>
        <w:t>atus.</w:t>
      </w:r>
    </w:p>
    <w:p w:rsidR="00495244" w:rsidRDefault="00495244">
      <w:pPr>
        <w:spacing w:before="80" w:after="80"/>
      </w:pPr>
    </w:p>
    <w:p w:rsidR="00495244" w:rsidRDefault="00397747">
      <w:pPr>
        <w:pStyle w:val="Ttulo1"/>
      </w:pPr>
      <w:r>
        <w:t>2. Data Cleaning &amp; Preparation</w:t>
      </w:r>
    </w:p>
    <w:p w:rsidR="00495244" w:rsidRDefault="00397747">
      <w:pPr>
        <w:spacing w:before="80" w:after="100"/>
      </w:pPr>
      <w:r>
        <w:rPr>
          <w:color w:val="404040"/>
        </w:rPr>
        <w:t>The merged dataset required three targeted cleaning interventions before analysis. Each decision was driven by the structure of the data rather than a generic imputation strategy.</w:t>
      </w:r>
    </w:p>
    <w:p w:rsidR="00495244" w:rsidRDefault="00495244">
      <w:pPr>
        <w:spacing w:before="80" w:after="80"/>
      </w:pPr>
    </w:p>
    <w:p w:rsidR="00495244" w:rsidRDefault="00397747">
      <w:pPr>
        <w:spacing w:before="240" w:after="80"/>
      </w:pPr>
      <w:r>
        <w:rPr>
          <w:b/>
          <w:bCs/>
          <w:color w:val="2E6DA4"/>
          <w:sz w:val="24"/>
          <w:szCs w:val="24"/>
        </w:rPr>
        <w:t>2.1  Salary Nulls — Segmented Imputat</w:t>
      </w:r>
      <w:r>
        <w:rPr>
          <w:b/>
          <w:bCs/>
          <w:color w:val="2E6DA4"/>
          <w:sz w:val="24"/>
          <w:szCs w:val="24"/>
        </w:rPr>
        <w:t>ion</w:t>
      </w:r>
    </w:p>
    <w:p w:rsidR="00495244" w:rsidRDefault="00397747">
      <w:pPr>
        <w:spacing w:before="80" w:after="100"/>
      </w:pPr>
      <w:r>
        <w:rPr>
          <w:color w:val="404040"/>
        </w:rPr>
        <w:t>The Education column was missing the 'College' category entirely, causing all College-level customers to have null Salary values. Rather than applying the global salary mean, the imputed value was calculated as the midpoint between the two adjacent edu</w:t>
      </w:r>
      <w:r>
        <w:rPr>
          <w:color w:val="404040"/>
        </w:rPr>
        <w:t>cation levels — 'High School or Below' and 'Bachelor' — preserving the salary-education gradient observed in the data.</w:t>
      </w:r>
    </w:p>
    <w:p w:rsidR="00495244" w:rsidRDefault="00495244">
      <w:pPr>
        <w:spacing w:before="80" w:after="80"/>
      </w:pPr>
    </w:p>
    <w:p w:rsidR="00495244" w:rsidRDefault="00397747">
      <w:pPr>
        <w:spacing w:before="240" w:after="80"/>
      </w:pPr>
      <w:r>
        <w:rPr>
          <w:b/>
          <w:bCs/>
          <w:color w:val="2E6DA4"/>
          <w:sz w:val="24"/>
          <w:szCs w:val="24"/>
        </w:rPr>
        <w:t>2.2  Cancellation Fields — Active Customer Encoding</w:t>
      </w:r>
    </w:p>
    <w:p w:rsidR="00495244" w:rsidRDefault="00397747">
      <w:pPr>
        <w:spacing w:before="80" w:after="100"/>
      </w:pPr>
      <w:r>
        <w:rPr>
          <w:color w:val="404040"/>
        </w:rPr>
        <w:lastRenderedPageBreak/>
        <w:t>Cancellation Year and Cancellation Month were null for all active customers (those who had not yet cancelled). These nulls were imputed with 0 and converted from float to int, encoding 'no cancellation has occurred' in a way that is operable and consistent</w:t>
      </w:r>
      <w:r>
        <w:rPr>
          <w:color w:val="404040"/>
        </w:rPr>
        <w:t xml:space="preserve"> with the Enrollment Year column format.</w:t>
      </w:r>
    </w:p>
    <w:p w:rsidR="00495244" w:rsidRDefault="00495244">
      <w:pPr>
        <w:spacing w:before="80" w:after="80"/>
      </w:pPr>
    </w:p>
    <w:p w:rsidR="00495244" w:rsidRDefault="00397747">
      <w:pPr>
        <w:spacing w:before="240" w:after="80"/>
      </w:pPr>
      <w:r>
        <w:rPr>
          <w:b/>
          <w:bCs/>
          <w:color w:val="2E6DA4"/>
          <w:sz w:val="24"/>
          <w:szCs w:val="24"/>
        </w:rPr>
        <w:t>2.3  Points Accumulated — Type Correction</w:t>
      </w:r>
    </w:p>
    <w:p w:rsidR="00495244" w:rsidRDefault="00397747">
      <w:pPr>
        <w:spacing w:before="80" w:after="100"/>
      </w:pPr>
      <w:r>
        <w:rPr>
          <w:color w:val="404040"/>
        </w:rPr>
        <w:t>Points Accumulated was stored as float despite representing whole loyalty points. Values were rounded to the nearest integer and converted to int to align with Points Redee</w:t>
      </w:r>
      <w:r>
        <w:rPr>
          <w:color w:val="404040"/>
        </w:rPr>
        <w:t>med, which was already stored as integer. This correction removes a misleading precision signal from the data.</w:t>
      </w:r>
    </w:p>
    <w:p w:rsidR="00495244" w:rsidRDefault="00495244">
      <w:pPr>
        <w:spacing w:before="80" w:after="80"/>
      </w:pPr>
    </w:p>
    <w:p w:rsidR="00495244" w:rsidRDefault="00397747">
      <w:pPr>
        <w:pStyle w:val="Ttulo1"/>
      </w:pPr>
      <w:r>
        <w:t>3. Analysis &amp; Key Findings</w:t>
      </w:r>
    </w:p>
    <w:p w:rsidR="00495244" w:rsidRDefault="00397747">
      <w:pPr>
        <w:spacing w:before="80" w:after="100"/>
      </w:pPr>
      <w:r>
        <w:rPr>
          <w:color w:val="404040"/>
        </w:rPr>
        <w:t>Six analytical questions were investigated on the cleaned dataset. For each, the visualisation type was selected base</w:t>
      </w:r>
      <w:r>
        <w:rPr>
          <w:color w:val="404040"/>
        </w:rPr>
        <w:t>d on the structure of the variables being compared.</w:t>
      </w:r>
    </w:p>
    <w:p w:rsidR="00495244" w:rsidRDefault="00495244">
      <w:pPr>
        <w:spacing w:before="80" w:after="80"/>
      </w:pPr>
    </w:p>
    <w:p w:rsidR="00495244" w:rsidRDefault="00397747">
      <w:pPr>
        <w:pStyle w:val="Ttulo2"/>
        <w:pBdr>
          <w:bottom w:val="single" w:sz="4" w:space="4" w:color="CCCCCC"/>
        </w:pBdr>
      </w:pPr>
      <w:r>
        <w:t>3.1  Seasonal Flight Activity</w:t>
      </w:r>
    </w:p>
    <w:p w:rsidR="00495244" w:rsidRDefault="00397747">
      <w:pPr>
        <w:spacing w:before="240" w:after="80"/>
      </w:pPr>
      <w:r>
        <w:rPr>
          <w:b/>
          <w:bCs/>
          <w:color w:val="2E6DA4"/>
          <w:sz w:val="24"/>
          <w:szCs w:val="24"/>
        </w:rPr>
        <w:t>How are booked flights distributed across months?</w:t>
      </w:r>
    </w:p>
    <w:p w:rsidR="00495244" w:rsidRDefault="00397747">
      <w:pPr>
        <w:spacing w:before="80" w:after="100"/>
      </w:pPr>
      <w:r>
        <w:rPr>
          <w:color w:val="404040"/>
        </w:rPr>
        <w:t>Visualisation: Line plot — connects data points in chronological order to reveal temporal trends.</w:t>
      </w:r>
    </w:p>
    <w:p w:rsidR="00495244" w:rsidRDefault="00495244">
      <w:pPr>
        <w:spacing w:before="80" w:after="80"/>
      </w:pPr>
    </w:p>
    <w:p w:rsidR="00495244" w:rsidRDefault="00397747">
      <w:pPr>
        <w:spacing w:before="80" w:after="100"/>
      </w:pPr>
      <w:r>
        <w:rPr>
          <w:color w:val="404040"/>
        </w:rPr>
        <w:t>The data shows a clear seasonal pattern in flight bookings:</w:t>
      </w: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Peak activity in July and August, corresponding to the summer holiday period.</w:t>
      </w: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Lowest activity in January and February — the post-holiday trough.</w:t>
      </w: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Steady growth from March through the summer peak, r</w:t>
      </w:r>
      <w:r>
        <w:rPr>
          <w:color w:val="404040"/>
        </w:rPr>
        <w:t>eflecting spring and early summer demand.</w:t>
      </w:r>
    </w:p>
    <w:p w:rsidR="00495244" w:rsidRDefault="00495244">
      <w:pPr>
        <w:spacing w:before="80" w:after="80"/>
      </w:pPr>
    </w:p>
    <w:p w:rsidR="00495244" w:rsidRDefault="00397747">
      <w:pPr>
        <w:spacing w:before="80" w:after="100"/>
      </w:pPr>
      <w:r>
        <w:rPr>
          <w:color w:val="404040"/>
        </w:rPr>
        <w:t>Implication: Marketing and operational planning should account for strong seasonality. The January–February trough may represent an opportunity for targeted promotions to sustain engagement during low periods.</w:t>
      </w:r>
    </w:p>
    <w:p w:rsidR="00495244" w:rsidRDefault="00495244">
      <w:pPr>
        <w:spacing w:before="80" w:after="80"/>
      </w:pPr>
    </w:p>
    <w:p w:rsidR="00495244" w:rsidRDefault="00397747">
      <w:pPr>
        <w:pStyle w:val="Ttulo2"/>
        <w:pBdr>
          <w:bottom w:val="single" w:sz="4" w:space="4" w:color="CCCCCC"/>
        </w:pBdr>
      </w:pPr>
      <w:r>
        <w:t>3.</w:t>
      </w:r>
      <w:r>
        <w:t>2  Distance and Points Accumulation</w:t>
      </w:r>
    </w:p>
    <w:p w:rsidR="00495244" w:rsidRDefault="00397747">
      <w:pPr>
        <w:spacing w:before="240" w:after="80"/>
      </w:pPr>
      <w:r>
        <w:rPr>
          <w:b/>
          <w:bCs/>
          <w:color w:val="2E6DA4"/>
          <w:sz w:val="24"/>
          <w:szCs w:val="24"/>
        </w:rPr>
        <w:t>Is there a relationship between flight distance and points accumulated?</w:t>
      </w:r>
    </w:p>
    <w:p w:rsidR="00495244" w:rsidRDefault="00397747">
      <w:pPr>
        <w:spacing w:before="80" w:after="100"/>
      </w:pPr>
      <w:r>
        <w:rPr>
          <w:color w:val="404040"/>
        </w:rPr>
        <w:t>Visualisation: Dual scatter plot — segmented by Loyalty Card tier and by Enrollment Type separately.</w:t>
      </w:r>
    </w:p>
    <w:p w:rsidR="00495244" w:rsidRDefault="00495244">
      <w:pPr>
        <w:spacing w:before="80" w:after="80"/>
      </w:pPr>
    </w:p>
    <w:p w:rsidR="00495244" w:rsidRDefault="00397747">
      <w:pPr>
        <w:spacing w:before="80" w:after="100"/>
      </w:pPr>
      <w:r>
        <w:rPr>
          <w:color w:val="404040"/>
        </w:rPr>
        <w:t>Key findings:</w:t>
      </w: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Strong positive correlation betw</w:t>
      </w:r>
      <w:r>
        <w:rPr>
          <w:color w:val="404040"/>
        </w:rPr>
        <w:t>een distance flown and points accumulated, with low dispersion. Points accumulation is directly tied to miles flown.</w:t>
      </w: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Multiple distinct diagonal lines confirm that accumulation rates differ by loyalty tier — higher tiers earn points at a faster rate per mile.</w:t>
      </w: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The '2018 Promotion' enrollment type shows a higher accumulation rate than standard enrollment, visible as elevate</w:t>
      </w:r>
      <w:r>
        <w:rPr>
          <w:color w:val="404040"/>
        </w:rPr>
        <w:t>d diagonal lines in the Enrollment Type scatter.</w:t>
      </w:r>
    </w:p>
    <w:p w:rsidR="00495244" w:rsidRDefault="00495244">
      <w:pPr>
        <w:spacing w:before="80" w:after="80"/>
      </w:pPr>
    </w:p>
    <w:p w:rsidR="00495244" w:rsidRDefault="00397747">
      <w:pPr>
        <w:spacing w:before="80" w:after="100"/>
      </w:pPr>
      <w:r>
        <w:rPr>
          <w:color w:val="404040"/>
        </w:rPr>
        <w:t>Implication: The points system is mechanistically transparent — distance drives accumulation. Tier differences and the 2018 promotion are the main sources of variation. Customers enrolled during the promoti</w:t>
      </w:r>
      <w:r>
        <w:rPr>
          <w:color w:val="404040"/>
        </w:rPr>
        <w:t>on hold a structural advantage in point accumulation.</w:t>
      </w:r>
    </w:p>
    <w:p w:rsidR="00495244" w:rsidRDefault="00495244">
      <w:pPr>
        <w:spacing w:before="80" w:after="80"/>
      </w:pPr>
    </w:p>
    <w:p w:rsidR="00495244" w:rsidRDefault="00397747">
      <w:pPr>
        <w:pStyle w:val="Ttulo2"/>
        <w:pBdr>
          <w:bottom w:val="single" w:sz="4" w:space="4" w:color="CCCCCC"/>
        </w:pBdr>
      </w:pPr>
      <w:r>
        <w:t>3.3  Customer Geographic Distribution</w:t>
      </w:r>
    </w:p>
    <w:p w:rsidR="00495244" w:rsidRDefault="00397747">
      <w:pPr>
        <w:spacing w:before="240" w:after="80"/>
      </w:pPr>
      <w:r>
        <w:rPr>
          <w:b/>
          <w:bCs/>
          <w:color w:val="2E6DA4"/>
          <w:sz w:val="24"/>
          <w:szCs w:val="24"/>
        </w:rPr>
        <w:t>How are customers distributed by province and country?</w:t>
      </w:r>
    </w:p>
    <w:p w:rsidR="00495244" w:rsidRDefault="00397747">
      <w:pPr>
        <w:spacing w:before="80" w:after="100"/>
      </w:pPr>
      <w:r>
        <w:rPr>
          <w:color w:val="404040"/>
        </w:rPr>
        <w:t>Visualisation: Bar plot for province distribution; pie chart for country distribution.</w:t>
      </w:r>
    </w:p>
    <w:p w:rsidR="00495244" w:rsidRDefault="00495244">
      <w:pPr>
        <w:spacing w:before="80" w:after="80"/>
      </w:pP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Ontario, British Col</w:t>
      </w:r>
      <w:r>
        <w:rPr>
          <w:color w:val="404040"/>
        </w:rPr>
        <w:t>umbia, and Quebec are the top three provinces by customer volume, with Ontario leading by a significant margin.</w:t>
      </w: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The dataset is entirely Canadian — 100% of customers are from Canada. The country-level pie chart confirms the absence of international customer</w:t>
      </w:r>
      <w:r>
        <w:rPr>
          <w:color w:val="404040"/>
        </w:rPr>
        <w:t>s in this dataset.</w:t>
      </w:r>
    </w:p>
    <w:p w:rsidR="00495244" w:rsidRDefault="00495244">
      <w:pPr>
        <w:spacing w:before="80" w:after="80"/>
      </w:pPr>
    </w:p>
    <w:p w:rsidR="00495244" w:rsidRDefault="00397747">
      <w:pPr>
        <w:spacing w:before="80" w:after="100"/>
      </w:pPr>
      <w:r>
        <w:rPr>
          <w:color w:val="404040"/>
        </w:rPr>
        <w:t>Implication: Loyalty programme activity is heavily concentrated in three provinces. Regional campaigns or partnerships could leverage this concentration, while also identifying lower-penetration provinces as growth opportunities.</w:t>
      </w:r>
    </w:p>
    <w:p w:rsidR="00495244" w:rsidRDefault="00495244">
      <w:pPr>
        <w:spacing w:before="80" w:after="80"/>
      </w:pPr>
    </w:p>
    <w:p w:rsidR="00495244" w:rsidRDefault="00397747">
      <w:pPr>
        <w:pStyle w:val="Ttulo2"/>
        <w:pBdr>
          <w:bottom w:val="single" w:sz="4" w:space="4" w:color="CCCCCC"/>
        </w:pBdr>
      </w:pPr>
      <w:r>
        <w:t xml:space="preserve">3.4  </w:t>
      </w:r>
      <w:r>
        <w:t>Salary and Education Level</w:t>
      </w:r>
    </w:p>
    <w:p w:rsidR="00495244" w:rsidRDefault="00397747">
      <w:pPr>
        <w:spacing w:before="240" w:after="80"/>
      </w:pPr>
      <w:r>
        <w:rPr>
          <w:b/>
          <w:bCs/>
          <w:color w:val="2E6DA4"/>
          <w:sz w:val="24"/>
          <w:szCs w:val="24"/>
        </w:rPr>
        <w:t>How does average salary compare across education levels?</w:t>
      </w:r>
    </w:p>
    <w:p w:rsidR="00495244" w:rsidRDefault="00397747">
      <w:pPr>
        <w:spacing w:before="80" w:after="100"/>
      </w:pPr>
      <w:r>
        <w:rPr>
          <w:color w:val="404040"/>
        </w:rPr>
        <w:t>Visualisation: Bar plot (mean salary by level) and box plot (full distribution).</w:t>
      </w:r>
    </w:p>
    <w:p w:rsidR="00495244" w:rsidRDefault="00495244">
      <w:pPr>
        <w:spacing w:before="80" w:after="80"/>
      </w:pP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Clear positive gradient: higher education consistently correlates with higher average sala</w:t>
      </w:r>
      <w:r>
        <w:rPr>
          <w:color w:val="404040"/>
        </w:rPr>
        <w:t>ry.</w:t>
      </w: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The largest salary gap is between Master's and Doctorate level — doctoral holders earn approximately double the salary of the lowest tier.</w:t>
      </w: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The 'College' category shows only a single median line in the box plot (no interquartile range), reflecting that </w:t>
      </w:r>
      <w:r>
        <w:rPr>
          <w:color w:val="404040"/>
        </w:rPr>
        <w:t>all College values were imputed with a single calculated figure in the cleaning phase.</w:t>
      </w:r>
    </w:p>
    <w:p w:rsidR="00495244" w:rsidRDefault="00495244">
      <w:pPr>
        <w:spacing w:before="80" w:after="80"/>
      </w:pPr>
    </w:p>
    <w:p w:rsidR="00495244" w:rsidRDefault="00397747">
      <w:pPr>
        <w:spacing w:before="80" w:after="100"/>
      </w:pPr>
      <w:r>
        <w:rPr>
          <w:color w:val="404040"/>
        </w:rPr>
        <w:t>Implication: Education level is a reliable proxy for customer purchasing power in this dataset, which may be relevant for segmenting upgrade offers or premium product t</w:t>
      </w:r>
      <w:r>
        <w:rPr>
          <w:color w:val="404040"/>
        </w:rPr>
        <w:t>argeting.</w:t>
      </w:r>
    </w:p>
    <w:p w:rsidR="00495244" w:rsidRDefault="00495244">
      <w:pPr>
        <w:spacing w:before="80" w:after="80"/>
      </w:pPr>
    </w:p>
    <w:p w:rsidR="00495244" w:rsidRDefault="00397747">
      <w:pPr>
        <w:pStyle w:val="Ttulo2"/>
        <w:pBdr>
          <w:bottom w:val="single" w:sz="4" w:space="4" w:color="CCCCCC"/>
        </w:pBdr>
      </w:pPr>
      <w:r>
        <w:t>3.5  Loyalty Card Tier Distribution</w:t>
      </w:r>
    </w:p>
    <w:p w:rsidR="00495244" w:rsidRDefault="00397747">
      <w:pPr>
        <w:spacing w:before="240" w:after="80"/>
      </w:pPr>
      <w:r>
        <w:rPr>
          <w:b/>
          <w:bCs/>
          <w:color w:val="2E6DA4"/>
          <w:sz w:val="24"/>
          <w:szCs w:val="24"/>
        </w:rPr>
        <w:lastRenderedPageBreak/>
        <w:t>What is the proportion of customers by loyalty card type?</w:t>
      </w:r>
    </w:p>
    <w:p w:rsidR="00495244" w:rsidRDefault="00397747">
      <w:pPr>
        <w:spacing w:before="80" w:after="100"/>
      </w:pPr>
      <w:r>
        <w:rPr>
          <w:color w:val="404040"/>
        </w:rPr>
        <w:t>Visualisation: Pie chart — shows parts of a whole across a small number of categories.</w:t>
      </w:r>
    </w:p>
    <w:p w:rsidR="00495244" w:rsidRDefault="00495244">
      <w:pPr>
        <w:spacing w:before="80" w:after="80"/>
      </w:pP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Nearly half of all customers hold the entry-level 'Star' card.</w:t>
      </w: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The remaining customers are distributed across mid and upper tiers, with progressively smaller proportions at higher levels.</w:t>
      </w:r>
    </w:p>
    <w:p w:rsidR="00495244" w:rsidRDefault="00495244">
      <w:pPr>
        <w:spacing w:before="80" w:after="80"/>
      </w:pPr>
    </w:p>
    <w:p w:rsidR="00495244" w:rsidRDefault="00397747">
      <w:pPr>
        <w:spacing w:before="80" w:after="100"/>
      </w:pPr>
      <w:r>
        <w:rPr>
          <w:color w:val="404040"/>
        </w:rPr>
        <w:t>Implication: A large share of the customer base sits at the base of the loyalty pyramid. Understanding the barriers to progression</w:t>
      </w:r>
      <w:r>
        <w:rPr>
          <w:color w:val="404040"/>
        </w:rPr>
        <w:t xml:space="preserve"> — and whether current incentives are sufficient to drive tier advancement — is a priority question for programme design.</w:t>
      </w:r>
    </w:p>
    <w:p w:rsidR="00495244" w:rsidRDefault="00495244">
      <w:pPr>
        <w:spacing w:before="80" w:after="80"/>
      </w:pPr>
    </w:p>
    <w:p w:rsidR="00495244" w:rsidRDefault="00397747">
      <w:pPr>
        <w:pStyle w:val="Ttulo2"/>
        <w:pBdr>
          <w:bottom w:val="single" w:sz="4" w:space="4" w:color="CCCCCC"/>
        </w:pBdr>
      </w:pPr>
      <w:r>
        <w:t>3.6  Customer Demographics: Marital Status and Gender</w:t>
      </w:r>
    </w:p>
    <w:p w:rsidR="00495244" w:rsidRDefault="00397747">
      <w:pPr>
        <w:spacing w:before="240" w:after="80"/>
      </w:pPr>
      <w:r>
        <w:rPr>
          <w:b/>
          <w:bCs/>
          <w:color w:val="2E6DA4"/>
          <w:sz w:val="24"/>
          <w:szCs w:val="24"/>
        </w:rPr>
        <w:t>How are customers distributed by marital status and gender?</w:t>
      </w:r>
    </w:p>
    <w:p w:rsidR="00495244" w:rsidRDefault="00397747">
      <w:pPr>
        <w:spacing w:before="80" w:after="100"/>
      </w:pPr>
      <w:r>
        <w:rPr>
          <w:color w:val="404040"/>
        </w:rPr>
        <w:t>Visualisation: Coun</w:t>
      </w:r>
      <w:r>
        <w:rPr>
          <w:color w:val="404040"/>
        </w:rPr>
        <w:t>t plot — compares frequency across two categorical variables simultaneously.</w:t>
      </w:r>
    </w:p>
    <w:p w:rsidR="00495244" w:rsidRDefault="00495244">
      <w:pPr>
        <w:spacing w:before="80" w:after="80"/>
      </w:pP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Married customers are the largest segment, approximately double the size of the single customer segment.</w:t>
      </w: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Gender distribution is broadly even across all marital status categories — no significant skew toward either gender within any group.</w:t>
      </w:r>
    </w:p>
    <w:p w:rsidR="00495244" w:rsidRDefault="00495244">
      <w:pPr>
        <w:spacing w:before="80" w:after="80"/>
      </w:pPr>
    </w:p>
    <w:p w:rsidR="00495244" w:rsidRDefault="00397747">
      <w:pPr>
        <w:pStyle w:val="Ttulo1"/>
      </w:pPr>
      <w:r>
        <w:t>4. Summary of Findings</w:t>
      </w:r>
    </w:p>
    <w:p w:rsidR="00495244" w:rsidRDefault="00495244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4952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b/>
                <w:bCs/>
                <w:color w:val="FFFFFF"/>
                <w:sz w:val="20"/>
                <w:szCs w:val="20"/>
              </w:rPr>
              <w:t>Key Finding</w:t>
            </w:r>
          </w:p>
        </w:tc>
      </w:tr>
      <w:tr w:rsidR="004952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Seasonality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Peak bookings July–August; trough January–February. Strong predictable cycle.</w:t>
            </w:r>
          </w:p>
        </w:tc>
      </w:tr>
      <w:tr w:rsidR="004952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Points Accumulation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Directly proportional to distance flown. Rate varies by loyalty tier and enrollment type.</w:t>
            </w:r>
          </w:p>
        </w:tc>
      </w:tr>
      <w:tr w:rsidR="004952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Geography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Customer base concentrated in Ontario, BC, and Quebec. 100% Canadian dataset.</w:t>
            </w:r>
          </w:p>
        </w:tc>
      </w:tr>
      <w:tr w:rsidR="004952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Salary &amp; Education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Clear positive gradient. Doctorate holders earn ~2x the lowest tier.</w:t>
            </w:r>
          </w:p>
        </w:tc>
      </w:tr>
      <w:tr w:rsidR="004952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Loyalty Tiers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~50% of customers at entry-level 'Star' tier. Progression incentives may n</w:t>
            </w:r>
            <w:r>
              <w:rPr>
                <w:color w:val="404040"/>
                <w:sz w:val="20"/>
                <w:szCs w:val="20"/>
              </w:rPr>
              <w:t>eed review.</w:t>
            </w:r>
          </w:p>
        </w:tc>
      </w:tr>
      <w:tr w:rsidR="004952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Demographics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Majority married. Gender distribution even across all segments.</w:t>
            </w:r>
          </w:p>
        </w:tc>
      </w:tr>
    </w:tbl>
    <w:p w:rsidR="00495244" w:rsidRDefault="00495244">
      <w:pPr>
        <w:spacing w:before="80" w:after="80"/>
      </w:pPr>
    </w:p>
    <w:p w:rsidR="00495244" w:rsidRDefault="00495244">
      <w:pPr>
        <w:spacing w:before="80" w:after="80"/>
      </w:pPr>
    </w:p>
    <w:p w:rsidR="00495244" w:rsidRDefault="00397747">
      <w:pPr>
        <w:pStyle w:val="Ttulo1"/>
      </w:pPr>
      <w:r>
        <w:t>5. Open Questions &amp; Data Limitations</w:t>
      </w:r>
    </w:p>
    <w:p w:rsidR="00495244" w:rsidRDefault="00397747">
      <w:pPr>
        <w:spacing w:before="80" w:after="100"/>
      </w:pPr>
      <w:r>
        <w:rPr>
          <w:color w:val="404040"/>
        </w:rPr>
        <w:lastRenderedPageBreak/>
        <w:t>Several variables and relationships were identified during analysis that could not be fully explored with the available data:</w:t>
      </w:r>
    </w:p>
    <w:p w:rsidR="00495244" w:rsidRDefault="00495244">
      <w:pPr>
        <w:spacing w:before="80" w:after="80"/>
      </w:pP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No market salary benchmarks — it is not possible to assess whether the airline's customers are over- or under-compensated relative to comparable populations, limiting the depth of salary-based segmentation.</w:t>
      </w: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Cancellation drivers unknown — the dataset confi</w:t>
      </w:r>
      <w:r>
        <w:rPr>
          <w:color w:val="404040"/>
        </w:rPr>
        <w:t>rms when customers cancelled but provides no reason. A churn analysis would require additional survey or behavioural data.</w:t>
      </w: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Points redeemed vs. accumulated gap — some customers accumulate significantly more points than they redeem. The reasons (programme co</w:t>
      </w:r>
      <w:r>
        <w:rPr>
          <w:color w:val="404040"/>
        </w:rPr>
        <w:t>mplexity, redemption friction, lack of awareness) are not captured in the data.</w:t>
      </w:r>
    </w:p>
    <w:p w:rsidR="00495244" w:rsidRDefault="00397747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No time dimension on loyalty tier — it is unclear how long customers remain at each tier or what triggers advancement, which limits conclusions about programme effectiveness.</w:t>
      </w:r>
    </w:p>
    <w:p w:rsidR="00495244" w:rsidRDefault="00495244">
      <w:pPr>
        <w:spacing w:before="80" w:after="80"/>
      </w:pPr>
    </w:p>
    <w:p w:rsidR="00495244" w:rsidRDefault="00397747">
      <w:pPr>
        <w:pStyle w:val="Ttulo1"/>
      </w:pPr>
      <w:r>
        <w:t>6. Technical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4952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4952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Pr="00FC7C6F" w:rsidRDefault="00FC7C6F">
            <w:pPr>
              <w:rPr>
                <w:u w:val="single"/>
              </w:rPr>
            </w:pPr>
            <w:r>
              <w:rPr>
                <w:color w:val="404040"/>
                <w:sz w:val="20"/>
                <w:szCs w:val="20"/>
              </w:rPr>
              <w:t xml:space="preserve">Python </w:t>
            </w:r>
            <w:bookmarkStart w:id="0" w:name="_GoBack"/>
            <w:bookmarkEnd w:id="0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Core language for all analysis and processing</w:t>
            </w:r>
          </w:p>
        </w:tc>
      </w:tr>
      <w:tr w:rsidR="004952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Pandas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Data loading, merging, cleaning, aggregation</w:t>
            </w:r>
          </w:p>
        </w:tc>
      </w:tr>
      <w:tr w:rsidR="004952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NumPy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Numerical operations and statistical calculations</w:t>
            </w:r>
          </w:p>
        </w:tc>
      </w:tr>
      <w:tr w:rsidR="004952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Matplotlib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Base visualisation layer</w:t>
            </w:r>
          </w:p>
        </w:tc>
      </w:tr>
      <w:tr w:rsidR="004952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Seaborn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Statistical visualisation (box plots, scatter, count plots, bar plots)</w:t>
            </w:r>
          </w:p>
        </w:tc>
      </w:tr>
      <w:tr w:rsidR="004952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Custom src modules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5244" w:rsidRDefault="00397747">
            <w:r>
              <w:rPr>
                <w:color w:val="404040"/>
                <w:sz w:val="20"/>
                <w:szCs w:val="20"/>
              </w:rPr>
              <w:t>EDA support functions, colour palettes, correlation helpers</w:t>
            </w:r>
          </w:p>
        </w:tc>
      </w:tr>
    </w:tbl>
    <w:p w:rsidR="00495244" w:rsidRDefault="00495244">
      <w:pPr>
        <w:spacing w:before="80" w:after="80"/>
      </w:pPr>
    </w:p>
    <w:sectPr w:rsidR="0049524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7747" w:rsidRDefault="00397747">
      <w:r>
        <w:separator/>
      </w:r>
    </w:p>
  </w:endnote>
  <w:endnote w:type="continuationSeparator" w:id="0">
    <w:p w:rsidR="00397747" w:rsidRDefault="00397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244" w:rsidRDefault="00397747">
    <w:pPr>
      <w:jc w:val="center"/>
    </w:pPr>
    <w:r>
      <w:rPr>
        <w:color w:val="666666"/>
        <w:sz w:val="18"/>
        <w:szCs w:val="18"/>
      </w:rPr>
      <w:t xml:space="preserve">Airline Loyalty Customer Analysis  |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FC7C6F">
      <w:rPr>
        <w:color w:val="666666"/>
        <w:sz w:val="18"/>
        <w:szCs w:val="18"/>
      </w:rPr>
      <w:fldChar w:fldCharType="separate"/>
    </w:r>
    <w:r w:rsidR="00FC7C6F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7747" w:rsidRDefault="00397747">
      <w:r>
        <w:separator/>
      </w:r>
    </w:p>
  </w:footnote>
  <w:footnote w:type="continuationSeparator" w:id="0">
    <w:p w:rsidR="00397747" w:rsidRDefault="003977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C13B85"/>
    <w:multiLevelType w:val="hybridMultilevel"/>
    <w:tmpl w:val="162C0654"/>
    <w:lvl w:ilvl="0" w:tplc="3A86A9E2">
      <w:start w:val="1"/>
      <w:numFmt w:val="bullet"/>
      <w:lvlText w:val="●"/>
      <w:lvlJc w:val="left"/>
      <w:pPr>
        <w:ind w:left="720" w:hanging="360"/>
      </w:pPr>
    </w:lvl>
    <w:lvl w:ilvl="1" w:tplc="EB4085AC">
      <w:start w:val="1"/>
      <w:numFmt w:val="bullet"/>
      <w:lvlText w:val="○"/>
      <w:lvlJc w:val="left"/>
      <w:pPr>
        <w:ind w:left="1440" w:hanging="360"/>
      </w:pPr>
    </w:lvl>
    <w:lvl w:ilvl="2" w:tplc="A5B80C80">
      <w:start w:val="1"/>
      <w:numFmt w:val="bullet"/>
      <w:lvlText w:val="■"/>
      <w:lvlJc w:val="left"/>
      <w:pPr>
        <w:ind w:left="2160" w:hanging="360"/>
      </w:pPr>
    </w:lvl>
    <w:lvl w:ilvl="3" w:tplc="C4A2EEAC">
      <w:start w:val="1"/>
      <w:numFmt w:val="bullet"/>
      <w:lvlText w:val="●"/>
      <w:lvlJc w:val="left"/>
      <w:pPr>
        <w:ind w:left="2880" w:hanging="360"/>
      </w:pPr>
    </w:lvl>
    <w:lvl w:ilvl="4" w:tplc="EE28FEA2">
      <w:start w:val="1"/>
      <w:numFmt w:val="bullet"/>
      <w:lvlText w:val="○"/>
      <w:lvlJc w:val="left"/>
      <w:pPr>
        <w:ind w:left="3600" w:hanging="360"/>
      </w:pPr>
    </w:lvl>
    <w:lvl w:ilvl="5" w:tplc="2EC80DDE">
      <w:start w:val="1"/>
      <w:numFmt w:val="bullet"/>
      <w:lvlText w:val="■"/>
      <w:lvlJc w:val="left"/>
      <w:pPr>
        <w:ind w:left="4320" w:hanging="360"/>
      </w:pPr>
    </w:lvl>
    <w:lvl w:ilvl="6" w:tplc="4700606A">
      <w:start w:val="1"/>
      <w:numFmt w:val="bullet"/>
      <w:lvlText w:val="●"/>
      <w:lvlJc w:val="left"/>
      <w:pPr>
        <w:ind w:left="5040" w:hanging="360"/>
      </w:pPr>
    </w:lvl>
    <w:lvl w:ilvl="7" w:tplc="1E4CAF70">
      <w:start w:val="1"/>
      <w:numFmt w:val="bullet"/>
      <w:lvlText w:val="●"/>
      <w:lvlJc w:val="left"/>
      <w:pPr>
        <w:ind w:left="5760" w:hanging="360"/>
      </w:pPr>
    </w:lvl>
    <w:lvl w:ilvl="8" w:tplc="DBA4D3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B13AD4"/>
    <w:multiLevelType w:val="hybridMultilevel"/>
    <w:tmpl w:val="447EED48"/>
    <w:lvl w:ilvl="0" w:tplc="742C1F18">
      <w:start w:val="1"/>
      <w:numFmt w:val="bullet"/>
      <w:lvlText w:val="•"/>
      <w:lvlJc w:val="left"/>
      <w:pPr>
        <w:ind w:left="720" w:hanging="360"/>
      </w:pPr>
    </w:lvl>
    <w:lvl w:ilvl="1" w:tplc="46FEFDD6">
      <w:numFmt w:val="decimal"/>
      <w:lvlText w:val=""/>
      <w:lvlJc w:val="left"/>
    </w:lvl>
    <w:lvl w:ilvl="2" w:tplc="A0EE64DC">
      <w:numFmt w:val="decimal"/>
      <w:lvlText w:val=""/>
      <w:lvlJc w:val="left"/>
    </w:lvl>
    <w:lvl w:ilvl="3" w:tplc="C548F2D4">
      <w:numFmt w:val="decimal"/>
      <w:lvlText w:val=""/>
      <w:lvlJc w:val="left"/>
    </w:lvl>
    <w:lvl w:ilvl="4" w:tplc="544C3CE0">
      <w:numFmt w:val="decimal"/>
      <w:lvlText w:val=""/>
      <w:lvlJc w:val="left"/>
    </w:lvl>
    <w:lvl w:ilvl="5" w:tplc="EB7EF47E">
      <w:numFmt w:val="decimal"/>
      <w:lvlText w:val=""/>
      <w:lvlJc w:val="left"/>
    </w:lvl>
    <w:lvl w:ilvl="6" w:tplc="23585722">
      <w:numFmt w:val="decimal"/>
      <w:lvlText w:val=""/>
      <w:lvlJc w:val="left"/>
    </w:lvl>
    <w:lvl w:ilvl="7" w:tplc="0DE4627E">
      <w:numFmt w:val="decimal"/>
      <w:lvlText w:val=""/>
      <w:lvlJc w:val="left"/>
    </w:lvl>
    <w:lvl w:ilvl="8" w:tplc="16A06BB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244"/>
    <w:rsid w:val="00397747"/>
    <w:rsid w:val="00495244"/>
    <w:rsid w:val="00FC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D5A9A"/>
  <w15:docId w15:val="{BA344672-C6D5-4E87-8BE0-B068B895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160"/>
      <w:outlineLvl w:val="0"/>
    </w:pPr>
    <w:rPr>
      <w:b/>
      <w:bCs/>
      <w:color w:val="2E6DA4"/>
      <w:sz w:val="36"/>
      <w:szCs w:val="36"/>
    </w:rPr>
  </w:style>
  <w:style w:type="paragraph" w:styleId="Ttulo2">
    <w:name w:val="heading 2"/>
    <w:qFormat/>
    <w:pPr>
      <w:spacing w:before="320" w:after="120"/>
      <w:outlineLvl w:val="1"/>
    </w:pPr>
    <w:rPr>
      <w:b/>
      <w:bCs/>
      <w:color w:val="404040"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1292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Micaela Lafratta Ramos</cp:lastModifiedBy>
  <cp:revision>3</cp:revision>
  <cp:lastPrinted>2026-06-09T14:40:00Z</cp:lastPrinted>
  <dcterms:created xsi:type="dcterms:W3CDTF">2026-06-09T14:37:00Z</dcterms:created>
  <dcterms:modified xsi:type="dcterms:W3CDTF">2026-06-09T14:40:00Z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e0d74f12-d760-4b84-9eeb-aac0e4d6624f</vt:lpwstr>
  </property>
</Properties>
</file>