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E36C62" w14:textId="77777777" w:rsidR="00485BA9" w:rsidRDefault="00C003C6" w:rsidP="00C003C6">
      <w:pPr>
        <w:rPr>
          <w:rFonts w:ascii="Verdana" w:hAnsi="Verdana"/>
          <w:color w:val="000033"/>
          <w:sz w:val="17"/>
          <w:szCs w:val="17"/>
          <w:shd w:val="clear" w:color="auto" w:fill="FFFFFF"/>
        </w:rPr>
      </w:pPr>
      <w:r w:rsidRPr="00C003C6">
        <w:rPr>
          <w:rFonts w:ascii="Verdana" w:hAnsi="Verdana"/>
          <w:color w:val="000033"/>
          <w:sz w:val="17"/>
          <w:szCs w:val="17"/>
          <w:shd w:val="clear" w:color="auto" w:fill="FFFFFF"/>
        </w:rPr>
        <w:t>Reviewer #1: Comments to Author.</w:t>
      </w:r>
      <w:r w:rsidRPr="00C003C6">
        <w:rPr>
          <w:rFonts w:ascii="Verdana" w:hAnsi="Verdana"/>
          <w:color w:val="000033"/>
          <w:sz w:val="17"/>
          <w:szCs w:val="17"/>
        </w:rPr>
        <w:br/>
      </w:r>
      <w:r w:rsidRPr="00C003C6">
        <w:rPr>
          <w:rFonts w:ascii="Verdana" w:hAnsi="Verdana"/>
          <w:color w:val="000033"/>
          <w:sz w:val="17"/>
          <w:szCs w:val="17"/>
        </w:rPr>
        <w:br/>
      </w:r>
      <w:r w:rsidRPr="00C003C6">
        <w:rPr>
          <w:rFonts w:ascii="Verdana" w:hAnsi="Verdana"/>
          <w:color w:val="000033"/>
          <w:sz w:val="17"/>
          <w:szCs w:val="17"/>
          <w:shd w:val="clear" w:color="auto" w:fill="FFFFFF"/>
        </w:rPr>
        <w:t>In a world where electricity networks are seeing increasing penetration of renewable energy sources, battery energy storage systems</w:t>
      </w:r>
      <w:proofErr w:type="gramStart"/>
      <w:r w:rsidRPr="00C003C6">
        <w:rPr>
          <w:rFonts w:ascii="Verdana" w:hAnsi="Verdana"/>
          <w:color w:val="000033"/>
          <w:sz w:val="17"/>
          <w:szCs w:val="17"/>
          <w:shd w:val="clear" w:color="auto" w:fill="FFFFFF"/>
        </w:rPr>
        <w:t>, in particular, are</w:t>
      </w:r>
      <w:proofErr w:type="gramEnd"/>
      <w:r w:rsidRPr="00C003C6">
        <w:rPr>
          <w:rFonts w:ascii="Verdana" w:hAnsi="Verdana"/>
          <w:color w:val="000033"/>
          <w:sz w:val="17"/>
          <w:szCs w:val="17"/>
          <w:shd w:val="clear" w:color="auto" w:fill="FFFFFF"/>
        </w:rPr>
        <w:t xml:space="preserve"> seen as a potential solution to the resulting power system flexibility challenges. </w:t>
      </w:r>
      <w:proofErr w:type="gramStart"/>
      <w:r w:rsidRPr="00C003C6">
        <w:rPr>
          <w:rFonts w:ascii="Verdana" w:hAnsi="Verdana"/>
          <w:color w:val="000033"/>
          <w:sz w:val="17"/>
          <w:szCs w:val="17"/>
          <w:shd w:val="clear" w:color="auto" w:fill="FFFFFF"/>
        </w:rPr>
        <w:t>With this in mind, the</w:t>
      </w:r>
      <w:proofErr w:type="gramEnd"/>
      <w:r w:rsidRPr="00C003C6">
        <w:rPr>
          <w:rFonts w:ascii="Verdana" w:hAnsi="Verdana"/>
          <w:color w:val="000033"/>
          <w:sz w:val="17"/>
          <w:szCs w:val="17"/>
          <w:shd w:val="clear" w:color="auto" w:fill="FFFFFF"/>
        </w:rPr>
        <w:t xml:space="preserve"> Manuscript proposes a degradation-aware planning framework for shared battery ESSs in coordinated TSO-DSO operation. Siting, sizing and staged investment decisions under investment cost uncertainty are addressed taking into consideration TSO-DSO coordination. Tests show that shared ESSs reduces operating costs by up to 18.25% and RES curtailment by up to 92.16% in the later years of the planning horizon, while eliminating voltage violations.</w:t>
      </w:r>
      <w:r w:rsidRPr="00C003C6">
        <w:rPr>
          <w:rFonts w:ascii="Verdana" w:hAnsi="Verdana"/>
          <w:color w:val="000033"/>
          <w:sz w:val="17"/>
          <w:szCs w:val="17"/>
        </w:rPr>
        <w:br/>
      </w:r>
      <w:r w:rsidRPr="00C003C6">
        <w:rPr>
          <w:rFonts w:ascii="Verdana" w:hAnsi="Verdana"/>
          <w:color w:val="000033"/>
          <w:sz w:val="17"/>
          <w:szCs w:val="17"/>
        </w:rPr>
        <w:br/>
      </w:r>
      <w:r w:rsidRPr="00C003C6">
        <w:rPr>
          <w:rFonts w:ascii="Verdana" w:hAnsi="Verdana"/>
          <w:color w:val="000033"/>
          <w:sz w:val="17"/>
          <w:szCs w:val="17"/>
          <w:shd w:val="clear" w:color="auto" w:fill="FFFFFF"/>
        </w:rPr>
        <w:t>Upon reading the Manuscript, the following comments apply:</w:t>
      </w:r>
      <w:r w:rsidRPr="00C003C6">
        <w:rPr>
          <w:rFonts w:ascii="Verdana" w:hAnsi="Verdana"/>
          <w:color w:val="000033"/>
          <w:sz w:val="17"/>
          <w:szCs w:val="17"/>
        </w:rPr>
        <w:br/>
      </w:r>
      <w:r w:rsidRPr="00C003C6">
        <w:rPr>
          <w:rFonts w:ascii="Verdana" w:hAnsi="Verdana"/>
          <w:color w:val="000033"/>
          <w:sz w:val="17"/>
          <w:szCs w:val="17"/>
        </w:rPr>
        <w:br/>
      </w:r>
      <w:r w:rsidRPr="00C003C6">
        <w:rPr>
          <w:rFonts w:ascii="Verdana" w:hAnsi="Verdana"/>
          <w:color w:val="000033"/>
          <w:sz w:val="17"/>
          <w:szCs w:val="17"/>
          <w:shd w:val="clear" w:color="auto" w:fill="FFFFFF"/>
        </w:rPr>
        <w:t>(1). The Paper is generally well organized, composed of five sections excluding the appendix, namely: (</w:t>
      </w:r>
      <w:proofErr w:type="spellStart"/>
      <w:r w:rsidRPr="00C003C6">
        <w:rPr>
          <w:rFonts w:ascii="Verdana" w:hAnsi="Verdana"/>
          <w:color w:val="000033"/>
          <w:sz w:val="17"/>
          <w:szCs w:val="17"/>
          <w:shd w:val="clear" w:color="auto" w:fill="FFFFFF"/>
        </w:rPr>
        <w:t>i</w:t>
      </w:r>
      <w:proofErr w:type="spellEnd"/>
      <w:r w:rsidRPr="00C003C6">
        <w:rPr>
          <w:rFonts w:ascii="Verdana" w:hAnsi="Verdana"/>
          <w:color w:val="000033"/>
          <w:sz w:val="17"/>
          <w:szCs w:val="17"/>
          <w:shd w:val="clear" w:color="auto" w:fill="FFFFFF"/>
        </w:rPr>
        <w:t>). Introduction; (ii). Shared ESS Planning Framework; (iii). Case Study; (iv). Results; (v). Conclusions.</w:t>
      </w:r>
      <w:r w:rsidRPr="00C003C6">
        <w:rPr>
          <w:rFonts w:ascii="Verdana" w:hAnsi="Verdana"/>
          <w:color w:val="000033"/>
          <w:sz w:val="17"/>
          <w:szCs w:val="17"/>
        </w:rPr>
        <w:br/>
      </w:r>
      <w:r w:rsidRPr="00C003C6">
        <w:rPr>
          <w:rFonts w:ascii="Verdana" w:hAnsi="Verdana"/>
          <w:color w:val="000033"/>
          <w:sz w:val="17"/>
          <w:szCs w:val="17"/>
        </w:rPr>
        <w:br/>
      </w:r>
      <w:r w:rsidRPr="00C003C6">
        <w:rPr>
          <w:rFonts w:ascii="Verdana" w:hAnsi="Verdana"/>
          <w:color w:val="000033"/>
          <w:sz w:val="17"/>
          <w:szCs w:val="17"/>
          <w:shd w:val="clear" w:color="auto" w:fill="FFFFFF"/>
        </w:rPr>
        <w:t>(2). Regarding the Abstract, the following are relevant:</w:t>
      </w:r>
      <w:r w:rsidRPr="00C003C6">
        <w:rPr>
          <w:rFonts w:ascii="Verdana" w:hAnsi="Verdana"/>
          <w:color w:val="000033"/>
          <w:sz w:val="17"/>
          <w:szCs w:val="17"/>
        </w:rPr>
        <w:br/>
      </w:r>
      <w:r w:rsidRPr="00C003C6">
        <w:rPr>
          <w:rFonts w:ascii="Verdana" w:hAnsi="Verdana"/>
          <w:color w:val="000033"/>
          <w:sz w:val="17"/>
          <w:szCs w:val="17"/>
        </w:rPr>
        <w:br/>
      </w:r>
      <w:r w:rsidRPr="00C003C6">
        <w:rPr>
          <w:rFonts w:ascii="Verdana" w:hAnsi="Verdana"/>
          <w:color w:val="000033"/>
          <w:sz w:val="17"/>
          <w:szCs w:val="17"/>
          <w:shd w:val="clear" w:color="auto" w:fill="FFFFFF"/>
        </w:rPr>
        <w:t>(</w:t>
      </w:r>
      <w:proofErr w:type="spellStart"/>
      <w:r w:rsidRPr="00C003C6">
        <w:rPr>
          <w:rFonts w:ascii="Verdana" w:hAnsi="Verdana"/>
          <w:color w:val="000033"/>
          <w:sz w:val="17"/>
          <w:szCs w:val="17"/>
          <w:shd w:val="clear" w:color="auto" w:fill="FFFFFF"/>
        </w:rPr>
        <w:t>i</w:t>
      </w:r>
      <w:proofErr w:type="spellEnd"/>
      <w:r w:rsidRPr="00C003C6">
        <w:rPr>
          <w:rFonts w:ascii="Verdana" w:hAnsi="Verdana"/>
          <w:color w:val="000033"/>
          <w:sz w:val="17"/>
          <w:szCs w:val="17"/>
          <w:shd w:val="clear" w:color="auto" w:fill="FFFFFF"/>
        </w:rPr>
        <w:t>). The Authors could tell the reader a little more about the "uncertainty". Some elaboration on the investment-cost uncertainty will be very useful. Is it to do with cost of money (interest rate) being uncertain over the planning period in question?</w:t>
      </w:r>
    </w:p>
    <w:p w14:paraId="5B91F135" w14:textId="77777777" w:rsidR="00BF2DDC" w:rsidRDefault="00BF2DDC" w:rsidP="00C003C6">
      <w:pPr>
        <w:rPr>
          <w:rFonts w:ascii="Verdana" w:hAnsi="Verdana"/>
          <w:color w:val="000033"/>
          <w:sz w:val="17"/>
          <w:szCs w:val="17"/>
          <w:shd w:val="clear" w:color="auto" w:fill="FFFFFF"/>
        </w:rPr>
      </w:pPr>
    </w:p>
    <w:p w14:paraId="57A13AD2" w14:textId="7F527E8F" w:rsidR="00485BA9" w:rsidRDefault="001123BF" w:rsidP="00C003C6">
      <w:pPr>
        <w:rPr>
          <w:rFonts w:ascii="Verdana" w:hAnsi="Verdana"/>
          <w:color w:val="0070C0"/>
          <w:sz w:val="17"/>
          <w:szCs w:val="17"/>
          <w:shd w:val="clear" w:color="auto" w:fill="FFFFFF"/>
        </w:rPr>
      </w:pPr>
      <w:r>
        <w:rPr>
          <w:rFonts w:ascii="Verdana" w:hAnsi="Verdana"/>
          <w:color w:val="0070C0"/>
          <w:sz w:val="17"/>
          <w:szCs w:val="17"/>
          <w:shd w:val="clear" w:color="auto" w:fill="FFFFFF"/>
        </w:rPr>
        <w:t xml:space="preserve">Reply: </w:t>
      </w:r>
      <w:r w:rsidR="00485BA9" w:rsidRPr="00485BA9">
        <w:rPr>
          <w:rFonts w:ascii="Verdana" w:hAnsi="Verdana"/>
          <w:color w:val="0070C0"/>
          <w:sz w:val="17"/>
          <w:szCs w:val="17"/>
          <w:shd w:val="clear" w:color="auto" w:fill="FFFFFF"/>
        </w:rPr>
        <w:t xml:space="preserve">Thank you for this observation. We agree that the expression “investment-cost uncertainty” was insufficiently specific and could be interpreted as uncertainty in the discount rate or cost of capital. In the proposed framework, this uncertainty refers to the future evolution of the ESS converter power and battery energy-capacity investment costs, which are represented through low, medium, and </w:t>
      </w:r>
      <w:proofErr w:type="gramStart"/>
      <w:r w:rsidR="00485BA9" w:rsidRPr="00485BA9">
        <w:rPr>
          <w:rFonts w:ascii="Verdana" w:hAnsi="Verdana"/>
          <w:color w:val="0070C0"/>
          <w:sz w:val="17"/>
          <w:szCs w:val="17"/>
          <w:shd w:val="clear" w:color="auto" w:fill="FFFFFF"/>
        </w:rPr>
        <w:t>high cost</w:t>
      </w:r>
      <w:proofErr w:type="gramEnd"/>
      <w:r w:rsidR="00485BA9" w:rsidRPr="00485BA9">
        <w:rPr>
          <w:rFonts w:ascii="Verdana" w:hAnsi="Verdana"/>
          <w:color w:val="0070C0"/>
          <w:sz w:val="17"/>
          <w:szCs w:val="17"/>
          <w:shd w:val="clear" w:color="auto" w:fill="FFFFFF"/>
        </w:rPr>
        <w:t xml:space="preserve"> trajectories. The discount rate is fixed in the case study. We have revised the Abstract to clarify this distinction and to also indicate that load, RES-generation, and market-price uncertainty is considered in the operational evaluation.</w:t>
      </w:r>
      <w:r w:rsidR="007B5CA2">
        <w:rPr>
          <w:rFonts w:ascii="Verdana" w:hAnsi="Verdana"/>
          <w:color w:val="0070C0"/>
          <w:sz w:val="17"/>
          <w:szCs w:val="17"/>
          <w:shd w:val="clear" w:color="auto" w:fill="FFFFFF"/>
        </w:rPr>
        <w:br/>
        <w:t>Reviewed sentence: “</w:t>
      </w:r>
      <w:r w:rsidR="007B5CA2" w:rsidRPr="007B5CA2">
        <w:rPr>
          <w:rFonts w:ascii="Verdana" w:hAnsi="Verdana"/>
          <w:color w:val="0070C0"/>
          <w:sz w:val="17"/>
          <w:szCs w:val="17"/>
          <w:shd w:val="clear" w:color="auto" w:fill="FFFFFF"/>
        </w:rPr>
        <w:t>The problem is formulated as a bi-level stochastic optimization model in which the upper level determines the siting, sizing, and timing of shared ESS investments under low, medium, and high future technology cost trajectories, while the lower level evaluates the candidate investment plans under load, RES generation, and market price uncertainty through coordinated system operation.</w:t>
      </w:r>
      <w:r w:rsidR="007B5CA2">
        <w:rPr>
          <w:rFonts w:ascii="Verdana" w:hAnsi="Verdana"/>
          <w:color w:val="0070C0"/>
          <w:sz w:val="17"/>
          <w:szCs w:val="17"/>
          <w:shd w:val="clear" w:color="auto" w:fill="FFFFFF"/>
        </w:rPr>
        <w:t>”</w:t>
      </w:r>
    </w:p>
    <w:p w14:paraId="161E6399" w14:textId="77777777" w:rsidR="00BF2279" w:rsidRDefault="00C003C6" w:rsidP="00C003C6">
      <w:pPr>
        <w:rPr>
          <w:rFonts w:ascii="Verdana" w:hAnsi="Verdana"/>
          <w:color w:val="000033"/>
          <w:sz w:val="17"/>
          <w:szCs w:val="17"/>
          <w:shd w:val="clear" w:color="auto" w:fill="FFFFFF"/>
        </w:rPr>
      </w:pPr>
      <w:r w:rsidRPr="00C003C6">
        <w:rPr>
          <w:rFonts w:ascii="Verdana" w:hAnsi="Verdana"/>
          <w:color w:val="000033"/>
          <w:sz w:val="17"/>
          <w:szCs w:val="17"/>
        </w:rPr>
        <w:br/>
      </w:r>
      <w:r w:rsidRPr="00C003C6">
        <w:rPr>
          <w:rFonts w:ascii="Verdana" w:hAnsi="Verdana"/>
          <w:color w:val="000033"/>
          <w:sz w:val="17"/>
          <w:szCs w:val="17"/>
          <w:shd w:val="clear" w:color="auto" w:fill="FFFFFF"/>
        </w:rPr>
        <w:t xml:space="preserve">(ii). </w:t>
      </w:r>
      <w:bookmarkStart w:id="0" w:name="OLE_LINK1"/>
      <w:r w:rsidRPr="00C003C6">
        <w:rPr>
          <w:rFonts w:ascii="Verdana" w:hAnsi="Verdana"/>
          <w:color w:val="000033"/>
          <w:sz w:val="17"/>
          <w:szCs w:val="17"/>
          <w:shd w:val="clear" w:color="auto" w:fill="FFFFFF"/>
        </w:rPr>
        <w:t>The size of the test systems on which the framework is evaluated could also be indicated explicitly in the Abstract.</w:t>
      </w:r>
      <w:bookmarkEnd w:id="0"/>
    </w:p>
    <w:p w14:paraId="5E1135EF" w14:textId="18955CF6" w:rsidR="00BF2279" w:rsidRPr="00AD2CD6" w:rsidRDefault="001123BF" w:rsidP="00C003C6">
      <w:pPr>
        <w:rPr>
          <w:rFonts w:ascii="Verdana" w:hAnsi="Verdana"/>
          <w:color w:val="0070C0"/>
          <w:sz w:val="17"/>
          <w:szCs w:val="17"/>
          <w:shd w:val="clear" w:color="auto" w:fill="FFFFFF"/>
        </w:rPr>
      </w:pPr>
      <w:r>
        <w:rPr>
          <w:rFonts w:ascii="Verdana" w:hAnsi="Verdana"/>
          <w:color w:val="0070C0"/>
          <w:sz w:val="17"/>
          <w:szCs w:val="17"/>
          <w:shd w:val="clear" w:color="auto" w:fill="FFFFFF"/>
        </w:rPr>
        <w:t xml:space="preserve">Reply: </w:t>
      </w:r>
      <w:r w:rsidR="00AD2CD6" w:rsidRPr="00AD2CD6">
        <w:rPr>
          <w:rFonts w:ascii="Verdana" w:hAnsi="Verdana"/>
          <w:color w:val="0070C0"/>
          <w:sz w:val="17"/>
          <w:szCs w:val="17"/>
          <w:shd w:val="clear" w:color="auto" w:fill="FFFFFF"/>
        </w:rPr>
        <w:t>Thank you for this suggestion. We agree that explicitly indicating the size and composition of the test system improves the clarity of the Abstract. We have therefore revised the corresponding sentence to specify that the framework is evaluated using an integrated 108-bus transmission–distribution test system, comprising the IEEE 9-bus transmission network and three IEEE 33-bus active distribution networks.</w:t>
      </w:r>
    </w:p>
    <w:p w14:paraId="43637BB1" w14:textId="77777777" w:rsidR="00AA4C54" w:rsidRDefault="00BF2279" w:rsidP="00C003C6">
      <w:pPr>
        <w:rPr>
          <w:rFonts w:ascii="Verdana" w:hAnsi="Verdana"/>
          <w:color w:val="000033"/>
          <w:sz w:val="17"/>
          <w:szCs w:val="17"/>
          <w:shd w:val="clear" w:color="auto" w:fill="FFFFFF"/>
        </w:rPr>
      </w:pPr>
      <w:r w:rsidRPr="00BF2279">
        <w:rPr>
          <w:rFonts w:ascii="Verdana" w:hAnsi="Verdana"/>
          <w:color w:val="0070C0"/>
          <w:sz w:val="17"/>
          <w:szCs w:val="17"/>
          <w:shd w:val="clear" w:color="auto" w:fill="FFFFFF"/>
        </w:rPr>
        <w:t>Reviewed sentence: “The framework is evaluated over a 15-year planning horizon using an integrated 108-bus test system comprised of the IEEE 9-bus transmission network and three IEEE 33-bus active distribution networks.”</w:t>
      </w:r>
      <w:r w:rsidR="00C003C6" w:rsidRPr="00C003C6">
        <w:rPr>
          <w:rFonts w:ascii="Verdana" w:hAnsi="Verdana"/>
          <w:color w:val="000033"/>
          <w:sz w:val="17"/>
          <w:szCs w:val="17"/>
        </w:rPr>
        <w:br/>
      </w:r>
      <w:r w:rsidR="00C003C6" w:rsidRPr="00C003C6">
        <w:rPr>
          <w:rFonts w:ascii="Verdana" w:hAnsi="Verdana"/>
          <w:color w:val="000033"/>
          <w:sz w:val="17"/>
          <w:szCs w:val="17"/>
        </w:rPr>
        <w:br/>
      </w:r>
      <w:r w:rsidR="00C003C6" w:rsidRPr="00C003C6">
        <w:rPr>
          <w:rFonts w:ascii="Verdana" w:hAnsi="Verdana"/>
          <w:color w:val="000033"/>
          <w:sz w:val="17"/>
          <w:szCs w:val="17"/>
          <w:shd w:val="clear" w:color="auto" w:fill="FFFFFF"/>
        </w:rPr>
        <w:t>(iii). The lines below could also be improved:</w:t>
      </w:r>
      <w:r w:rsidR="00C003C6" w:rsidRPr="00C003C6">
        <w:rPr>
          <w:rFonts w:ascii="Verdana" w:hAnsi="Verdana"/>
          <w:color w:val="000033"/>
          <w:sz w:val="17"/>
          <w:szCs w:val="17"/>
        </w:rPr>
        <w:br/>
      </w:r>
      <w:r w:rsidR="00C003C6" w:rsidRPr="00C003C6">
        <w:rPr>
          <w:rFonts w:ascii="Verdana" w:hAnsi="Verdana"/>
          <w:color w:val="000033"/>
          <w:sz w:val="17"/>
          <w:szCs w:val="17"/>
        </w:rPr>
        <w:br/>
      </w:r>
      <w:bookmarkStart w:id="1" w:name="OLE_LINK2"/>
      <w:r w:rsidR="00C003C6" w:rsidRPr="00C003C6">
        <w:rPr>
          <w:rFonts w:ascii="Verdana" w:hAnsi="Verdana"/>
          <w:color w:val="000033"/>
          <w:sz w:val="17"/>
          <w:szCs w:val="17"/>
          <w:shd w:val="clear" w:color="auto" w:fill="FFFFFF"/>
        </w:rPr>
        <w:t>Relative to uncoordinated operation, coordinated operation with shared ESSs reduces operating costs by up to 18.25% and RES curtailment by up to 92.16% in the later years of the planning horizon, while eliminating voltage violations</w:t>
      </w:r>
      <w:r w:rsidR="00C003C6" w:rsidRPr="00C003C6">
        <w:rPr>
          <w:rFonts w:ascii="Verdana" w:hAnsi="Verdana"/>
          <w:color w:val="000033"/>
          <w:sz w:val="17"/>
          <w:szCs w:val="17"/>
        </w:rPr>
        <w:br/>
      </w:r>
      <w:r w:rsidR="00C003C6" w:rsidRPr="00C003C6">
        <w:rPr>
          <w:rFonts w:ascii="Verdana" w:hAnsi="Verdana"/>
          <w:color w:val="000033"/>
          <w:sz w:val="17"/>
          <w:szCs w:val="17"/>
        </w:rPr>
        <w:br/>
      </w:r>
      <w:r w:rsidR="00C003C6" w:rsidRPr="00C003C6">
        <w:rPr>
          <w:rFonts w:ascii="Verdana" w:hAnsi="Verdana"/>
          <w:color w:val="000033"/>
          <w:sz w:val="17"/>
          <w:szCs w:val="17"/>
          <w:shd w:val="clear" w:color="auto" w:fill="FFFFFF"/>
        </w:rPr>
        <w:t>Does 18.25% refer to annual operating cost reduction? What does 92.16% in the later years of the planning horizon mean? 8th year, 10th year, 13th year or 14th year? Some clarification could be useful.</w:t>
      </w:r>
      <w:bookmarkEnd w:id="1"/>
    </w:p>
    <w:p w14:paraId="4C793B68" w14:textId="07C10F82" w:rsidR="00AA4C54" w:rsidRDefault="001123BF" w:rsidP="00C003C6">
      <w:pPr>
        <w:rPr>
          <w:rFonts w:ascii="Verdana" w:hAnsi="Verdana"/>
          <w:color w:val="0070C0"/>
          <w:sz w:val="17"/>
          <w:szCs w:val="17"/>
          <w:shd w:val="clear" w:color="auto" w:fill="FFFFFF"/>
        </w:rPr>
      </w:pPr>
      <w:r>
        <w:rPr>
          <w:rFonts w:ascii="Verdana" w:hAnsi="Verdana"/>
          <w:color w:val="0070C0"/>
          <w:sz w:val="17"/>
          <w:szCs w:val="17"/>
          <w:shd w:val="clear" w:color="auto" w:fill="FFFFFF"/>
        </w:rPr>
        <w:t xml:space="preserve">Reply: </w:t>
      </w:r>
      <w:r w:rsidR="00AA4C54" w:rsidRPr="00AA4C54">
        <w:rPr>
          <w:rFonts w:ascii="Verdana" w:hAnsi="Verdana"/>
          <w:color w:val="0070C0"/>
          <w:sz w:val="17"/>
          <w:szCs w:val="17"/>
          <w:shd w:val="clear" w:color="auto" w:fill="FFFFFF"/>
        </w:rPr>
        <w:t>Thank you for highlighting this ambiguity. The reported reductions do not correspond to the results of a full-year chronological simulation. They are calculated from the daily averages across the four seasonal representative days considered for each representative year. Both the 18.25% operating-cost reduction and the 92.16% RES-curtailment reduction are obtained for 2037, the final representative year, relative to the uncoordinated-operation benchmark. We have revised the Abstract to explicitly state the year, the reference case, and the representative-day basis of the reported results.</w:t>
      </w:r>
    </w:p>
    <w:p w14:paraId="1B4BE3FB" w14:textId="3BBC24D8" w:rsidR="004B7165" w:rsidRDefault="00AA4C54" w:rsidP="00C003C6">
      <w:pPr>
        <w:rPr>
          <w:rFonts w:ascii="Verdana" w:hAnsi="Verdana"/>
          <w:color w:val="000033"/>
          <w:sz w:val="17"/>
          <w:szCs w:val="17"/>
          <w:shd w:val="clear" w:color="auto" w:fill="FFFFFF"/>
        </w:rPr>
      </w:pPr>
      <w:bookmarkStart w:id="2" w:name="OLE_LINK4"/>
      <w:r>
        <w:rPr>
          <w:rFonts w:ascii="Verdana" w:hAnsi="Verdana"/>
          <w:color w:val="0070C0"/>
          <w:sz w:val="17"/>
          <w:szCs w:val="17"/>
          <w:shd w:val="clear" w:color="auto" w:fill="FFFFFF"/>
        </w:rPr>
        <w:t>Reviewed sentence: “</w:t>
      </w:r>
      <w:r w:rsidR="00FC79E5" w:rsidRPr="00FC79E5">
        <w:rPr>
          <w:rFonts w:ascii="Verdana" w:hAnsi="Verdana"/>
          <w:color w:val="0070C0"/>
          <w:sz w:val="17"/>
          <w:szCs w:val="17"/>
          <w:shd w:val="clear" w:color="auto" w:fill="FFFFFF"/>
        </w:rPr>
        <w:t>The technology-agnostic framework is evaluated over a 15-year planning horizon using parameters representative of utility-scale lithium-ion battery storage and an integrated 108-bus test system comprising the IEEE 9-bus transmission network and three IEEE 33-bus active distribution networks.</w:t>
      </w:r>
      <w:r w:rsidR="00A273B9">
        <w:rPr>
          <w:rFonts w:ascii="Verdana" w:hAnsi="Verdana"/>
          <w:color w:val="0070C0"/>
          <w:sz w:val="17"/>
          <w:szCs w:val="17"/>
          <w:shd w:val="clear" w:color="auto" w:fill="FFFFFF"/>
        </w:rPr>
        <w:t>”</w:t>
      </w:r>
      <w:bookmarkEnd w:id="2"/>
      <w:r w:rsidR="00C003C6" w:rsidRPr="00C003C6">
        <w:rPr>
          <w:rFonts w:ascii="Verdana" w:hAnsi="Verdana"/>
          <w:color w:val="000033"/>
          <w:sz w:val="17"/>
          <w:szCs w:val="17"/>
        </w:rPr>
        <w:br/>
      </w:r>
      <w:r w:rsidR="00C003C6" w:rsidRPr="00C003C6">
        <w:rPr>
          <w:rFonts w:ascii="Verdana" w:hAnsi="Verdana"/>
          <w:color w:val="000033"/>
          <w:sz w:val="17"/>
          <w:szCs w:val="17"/>
        </w:rPr>
        <w:br/>
      </w:r>
      <w:r w:rsidR="00C003C6" w:rsidRPr="00C003C6">
        <w:rPr>
          <w:rFonts w:ascii="Verdana" w:hAnsi="Verdana"/>
          <w:color w:val="000033"/>
          <w:sz w:val="17"/>
          <w:szCs w:val="17"/>
          <w:shd w:val="clear" w:color="auto" w:fill="FFFFFF"/>
        </w:rPr>
        <w:t xml:space="preserve">(iv). </w:t>
      </w:r>
      <w:bookmarkStart w:id="3" w:name="OLE_LINK3"/>
      <w:r w:rsidR="00C003C6" w:rsidRPr="00C003C6">
        <w:rPr>
          <w:rFonts w:ascii="Verdana" w:hAnsi="Verdana"/>
          <w:color w:val="000033"/>
          <w:sz w:val="17"/>
          <w:szCs w:val="17"/>
          <w:shd w:val="clear" w:color="auto" w:fill="FFFFFF"/>
        </w:rPr>
        <w:t>What type of battery ESS is the reference? This could also come out in the Abstract.</w:t>
      </w:r>
      <w:bookmarkEnd w:id="3"/>
    </w:p>
    <w:p w14:paraId="2D6B1015" w14:textId="147CB3FD" w:rsidR="00FC79E5" w:rsidRPr="00FC79E5" w:rsidRDefault="001123BF" w:rsidP="00C003C6">
      <w:pPr>
        <w:rPr>
          <w:rFonts w:ascii="Verdana" w:hAnsi="Verdana"/>
          <w:color w:val="0070C0"/>
          <w:sz w:val="17"/>
          <w:szCs w:val="17"/>
          <w:shd w:val="clear" w:color="auto" w:fill="FFFFFF"/>
        </w:rPr>
      </w:pPr>
      <w:r>
        <w:rPr>
          <w:rFonts w:ascii="Verdana" w:hAnsi="Verdana"/>
          <w:color w:val="0070C0"/>
          <w:sz w:val="17"/>
          <w:szCs w:val="17"/>
          <w:shd w:val="clear" w:color="auto" w:fill="FFFFFF"/>
        </w:rPr>
        <w:lastRenderedPageBreak/>
        <w:t xml:space="preserve">Reply: </w:t>
      </w:r>
      <w:r w:rsidR="004B7165" w:rsidRPr="00FC79E5">
        <w:rPr>
          <w:rFonts w:ascii="Verdana" w:hAnsi="Verdana"/>
          <w:color w:val="0070C0"/>
          <w:sz w:val="17"/>
          <w:szCs w:val="17"/>
          <w:shd w:val="clear" w:color="auto" w:fill="FFFFFF"/>
        </w:rPr>
        <w:t>Thank you for this comment. The proposed planning formulation is not restricted to a specific battery chemistry, since the storage technology is characterized through technology-dependent parameters such as the energy-to-power ratio, investment costs, lifetime, cycle life, and degradation characteristics. In the case study, these parameters were selected to represent a utility-scale lithium-ion battery energy storage system. We have clarified this distinction in the Abstract.</w:t>
      </w:r>
    </w:p>
    <w:p w14:paraId="641E6DAB" w14:textId="77777777" w:rsidR="00791218" w:rsidRDefault="00FC79E5" w:rsidP="00C003C6">
      <w:pPr>
        <w:rPr>
          <w:rFonts w:ascii="Verdana" w:hAnsi="Verdana"/>
          <w:color w:val="000033"/>
          <w:sz w:val="17"/>
          <w:szCs w:val="17"/>
          <w:shd w:val="clear" w:color="auto" w:fill="FFFFFF"/>
        </w:rPr>
      </w:pPr>
      <w:r>
        <w:rPr>
          <w:rFonts w:ascii="Verdana" w:hAnsi="Verdana"/>
          <w:color w:val="0070C0"/>
          <w:sz w:val="17"/>
          <w:szCs w:val="17"/>
          <w:shd w:val="clear" w:color="auto" w:fill="FFFFFF"/>
        </w:rPr>
        <w:t>Reviewed sentence: “</w:t>
      </w:r>
      <w:r w:rsidRPr="00FC79E5">
        <w:rPr>
          <w:rFonts w:ascii="Verdana" w:hAnsi="Verdana"/>
          <w:color w:val="0070C0"/>
          <w:sz w:val="17"/>
          <w:szCs w:val="17"/>
          <w:shd w:val="clear" w:color="auto" w:fill="FFFFFF"/>
        </w:rPr>
        <w:t>The technology-agnostic framework is evaluated over a 15-year planning horizon using parameters representative of utility-scale lithium-ion battery storage and an integrated 108-bus test system comprising the IEEE 9-bus transmission network and three IEEE 33-bus active distribution networks.</w:t>
      </w:r>
      <w:r>
        <w:rPr>
          <w:rFonts w:ascii="Verdana" w:hAnsi="Verdana"/>
          <w:color w:val="0070C0"/>
          <w:sz w:val="17"/>
          <w:szCs w:val="17"/>
          <w:shd w:val="clear" w:color="auto" w:fill="FFFFFF"/>
        </w:rPr>
        <w:t>”</w:t>
      </w:r>
      <w:r w:rsidR="00C003C6" w:rsidRPr="00C003C6">
        <w:rPr>
          <w:rFonts w:ascii="Verdana" w:hAnsi="Verdana"/>
          <w:color w:val="000033"/>
          <w:sz w:val="17"/>
          <w:szCs w:val="17"/>
        </w:rPr>
        <w:br/>
      </w:r>
      <w:r w:rsidR="00C003C6" w:rsidRPr="00C003C6">
        <w:rPr>
          <w:rFonts w:ascii="Verdana" w:hAnsi="Verdana"/>
          <w:color w:val="000033"/>
          <w:sz w:val="17"/>
          <w:szCs w:val="17"/>
        </w:rPr>
        <w:br/>
      </w:r>
      <w:r w:rsidR="00C003C6" w:rsidRPr="00C003C6">
        <w:rPr>
          <w:rFonts w:ascii="Verdana" w:hAnsi="Verdana"/>
          <w:color w:val="000033"/>
          <w:sz w:val="17"/>
          <w:szCs w:val="17"/>
          <w:shd w:val="clear" w:color="auto" w:fill="FFFFFF"/>
        </w:rPr>
        <w:t xml:space="preserve">(v). </w:t>
      </w:r>
      <w:bookmarkStart w:id="4" w:name="OLE_LINK5"/>
      <w:r w:rsidR="00C003C6" w:rsidRPr="00C003C6">
        <w:rPr>
          <w:rFonts w:ascii="Verdana" w:hAnsi="Verdana"/>
          <w:color w:val="000033"/>
          <w:sz w:val="17"/>
          <w:szCs w:val="17"/>
          <w:shd w:val="clear" w:color="auto" w:fill="FFFFFF"/>
        </w:rPr>
        <w:t>The battery ESS is shared by both the Transmission and Distribution Systems. How does the transmission system impact degradation? How does the distribution system impact degradation? What level of degradation could we attribute to the transmission system and what level to the distribution one?</w:t>
      </w:r>
      <w:bookmarkEnd w:id="4"/>
    </w:p>
    <w:p w14:paraId="40999BEA" w14:textId="0F11A883" w:rsidR="00ED063E" w:rsidRDefault="001123BF" w:rsidP="00C003C6">
      <w:pPr>
        <w:rPr>
          <w:rFonts w:ascii="Verdana" w:hAnsi="Verdana"/>
          <w:color w:val="0070C0"/>
          <w:sz w:val="17"/>
          <w:szCs w:val="17"/>
          <w:shd w:val="clear" w:color="auto" w:fill="FFFFFF"/>
        </w:rPr>
      </w:pPr>
      <w:r>
        <w:rPr>
          <w:rFonts w:ascii="Verdana" w:hAnsi="Verdana"/>
          <w:color w:val="0070C0"/>
          <w:sz w:val="17"/>
          <w:szCs w:val="17"/>
          <w:shd w:val="clear" w:color="auto" w:fill="FFFFFF"/>
        </w:rPr>
        <w:t xml:space="preserve">Reply: </w:t>
      </w:r>
      <w:r w:rsidR="00791218" w:rsidRPr="00791218">
        <w:rPr>
          <w:rFonts w:ascii="Verdana" w:hAnsi="Verdana"/>
          <w:color w:val="0070C0"/>
          <w:sz w:val="17"/>
          <w:szCs w:val="17"/>
          <w:shd w:val="clear" w:color="auto" w:fill="FFFFFF"/>
        </w:rPr>
        <w:t>Thank you for raising this relevant point. The degradation calculated in the proposed framework results from the final ESS operating schedule obtained through the TSO–DSO coordination procedure. The TSO and participating DSOs communicate their requested ESS active- and reactive-power exchanges, while the shared-ESS subproblem reconciles these requests with the physical and degradation constraints of the storage system. The resulting schedule is therefore jointly determined and cannot be decomposed uniquely into independent TSO- and DSO-induced degradation components.</w:t>
      </w:r>
    </w:p>
    <w:p w14:paraId="1F9875DD" w14:textId="77777777" w:rsidR="00D001EA" w:rsidRDefault="00ED063E" w:rsidP="00C003C6">
      <w:pPr>
        <w:rPr>
          <w:rFonts w:ascii="Verdana" w:hAnsi="Verdana"/>
          <w:color w:val="000033"/>
          <w:sz w:val="17"/>
          <w:szCs w:val="17"/>
          <w:shd w:val="clear" w:color="auto" w:fill="FFFFFF"/>
        </w:rPr>
      </w:pPr>
      <w:r w:rsidRPr="00ED063E">
        <w:rPr>
          <w:rFonts w:ascii="Verdana" w:hAnsi="Verdana"/>
          <w:color w:val="0070C0"/>
          <w:sz w:val="17"/>
          <w:szCs w:val="17"/>
          <w:shd w:val="clear" w:color="auto" w:fill="FFFFFF"/>
        </w:rPr>
        <w:t>A quantitative allocation would require additional counterfactual simulations or the adoption of an explicit allocation mechanism, such as marginal-contribution or cooperative-game-based allocation. Such an allocation is outside the scope of the present planning framework. We have nevertheless clarified in Section 2.3.2 and Section 4.2 that the reported degradation represents the aggregate effect of coordinated TSO–DSO utilization and cannot be attributed directly to either system operator.</w:t>
      </w:r>
      <w:r w:rsidR="00C003C6" w:rsidRPr="00C003C6">
        <w:rPr>
          <w:rFonts w:ascii="Verdana" w:hAnsi="Verdana"/>
          <w:color w:val="000033"/>
          <w:sz w:val="17"/>
          <w:szCs w:val="17"/>
        </w:rPr>
        <w:br/>
      </w:r>
      <w:r w:rsidR="00C003C6" w:rsidRPr="00C003C6">
        <w:rPr>
          <w:rFonts w:ascii="Verdana" w:hAnsi="Verdana"/>
          <w:color w:val="000033"/>
          <w:sz w:val="17"/>
          <w:szCs w:val="17"/>
        </w:rPr>
        <w:br/>
      </w:r>
      <w:bookmarkStart w:id="5" w:name="OLE_LINK6"/>
      <w:r w:rsidR="00C003C6" w:rsidRPr="00C003C6">
        <w:rPr>
          <w:rFonts w:ascii="Verdana" w:hAnsi="Verdana"/>
          <w:color w:val="000033"/>
          <w:sz w:val="17"/>
          <w:szCs w:val="17"/>
          <w:shd w:val="clear" w:color="auto" w:fill="FFFFFF"/>
        </w:rPr>
        <w:t>(vi). Improving the Abstract taking into consideration the above points will bring significant clarity.</w:t>
      </w:r>
      <w:bookmarkEnd w:id="5"/>
    </w:p>
    <w:p w14:paraId="1FC22EAC" w14:textId="337A5486" w:rsidR="001F3F40" w:rsidRDefault="001123BF" w:rsidP="00C003C6">
      <w:pPr>
        <w:rPr>
          <w:rFonts w:ascii="Verdana" w:hAnsi="Verdana"/>
          <w:color w:val="000033"/>
          <w:sz w:val="17"/>
          <w:szCs w:val="17"/>
          <w:shd w:val="clear" w:color="auto" w:fill="FFFFFF"/>
        </w:rPr>
      </w:pPr>
      <w:r>
        <w:rPr>
          <w:rFonts w:ascii="Verdana" w:hAnsi="Verdana"/>
          <w:color w:val="0070C0"/>
          <w:sz w:val="17"/>
          <w:szCs w:val="17"/>
          <w:shd w:val="clear" w:color="auto" w:fill="FFFFFF"/>
        </w:rPr>
        <w:t xml:space="preserve">Reply: </w:t>
      </w:r>
      <w:r w:rsidR="00D001EA" w:rsidRPr="00D001EA">
        <w:rPr>
          <w:rFonts w:ascii="Verdana" w:hAnsi="Verdana"/>
          <w:color w:val="0070C0"/>
          <w:sz w:val="17"/>
          <w:szCs w:val="17"/>
          <w:shd w:val="clear" w:color="auto" w:fill="FFFFFF"/>
        </w:rPr>
        <w:t>We agree. The Abstract has been revised to clarify the sources of uncertainty, the size and composition of the test system, the reference year and basis of the reported performance metrics, and the battery technology adopted in the case study. The issue of operator-specific degradation attribution has also been clarified in the methodology and results sections, as it cannot be meaningfully addressed within the Abstract.</w:t>
      </w:r>
      <w:r w:rsidR="00C003C6" w:rsidRPr="00C003C6">
        <w:rPr>
          <w:rFonts w:ascii="Verdana" w:hAnsi="Verdana"/>
          <w:color w:val="000033"/>
          <w:sz w:val="17"/>
          <w:szCs w:val="17"/>
        </w:rPr>
        <w:br/>
      </w:r>
      <w:r w:rsidR="00C003C6" w:rsidRPr="00C003C6">
        <w:rPr>
          <w:rFonts w:ascii="Verdana" w:hAnsi="Verdana"/>
          <w:color w:val="000033"/>
          <w:sz w:val="17"/>
          <w:szCs w:val="17"/>
        </w:rPr>
        <w:br/>
      </w:r>
      <w:bookmarkStart w:id="6" w:name="OLE_LINK7"/>
      <w:r w:rsidR="00C003C6" w:rsidRPr="00C003C6">
        <w:rPr>
          <w:rFonts w:ascii="Verdana" w:hAnsi="Verdana"/>
          <w:color w:val="000033"/>
          <w:sz w:val="17"/>
          <w:szCs w:val="17"/>
          <w:shd w:val="clear" w:color="auto" w:fill="FFFFFF"/>
        </w:rPr>
        <w:t>(3). The Introduction section is clear, with a demonstrated research gap and key contributions.</w:t>
      </w:r>
      <w:bookmarkEnd w:id="6"/>
    </w:p>
    <w:p w14:paraId="354502CA" w14:textId="77097596" w:rsidR="0024077A" w:rsidRDefault="001123BF" w:rsidP="0024077A">
      <w:pPr>
        <w:rPr>
          <w:rFonts w:ascii="Verdana" w:hAnsi="Verdana"/>
          <w:color w:val="000033"/>
          <w:sz w:val="17"/>
          <w:szCs w:val="17"/>
          <w:shd w:val="clear" w:color="auto" w:fill="FFFFFF"/>
        </w:rPr>
      </w:pPr>
      <w:r>
        <w:rPr>
          <w:rFonts w:ascii="Verdana" w:hAnsi="Verdana"/>
          <w:color w:val="0070C0"/>
          <w:sz w:val="17"/>
          <w:szCs w:val="17"/>
          <w:shd w:val="clear" w:color="auto" w:fill="FFFFFF"/>
        </w:rPr>
        <w:t xml:space="preserve">Reply: </w:t>
      </w:r>
      <w:r w:rsidR="001F3F40" w:rsidRPr="001F3F40">
        <w:rPr>
          <w:rFonts w:ascii="Verdana" w:hAnsi="Verdana"/>
          <w:color w:val="0070C0"/>
          <w:sz w:val="17"/>
          <w:szCs w:val="17"/>
          <w:shd w:val="clear" w:color="auto" w:fill="FFFFFF"/>
        </w:rPr>
        <w:t>Thank you for the positive assessment. We appreciate the reviewer’s recognition that the Introduction clearly establishes the research gap and the main contributions of the work.</w:t>
      </w:r>
      <w:r w:rsidR="00C003C6" w:rsidRPr="00C003C6">
        <w:rPr>
          <w:rFonts w:ascii="Verdana" w:hAnsi="Verdana"/>
          <w:color w:val="000033"/>
          <w:sz w:val="17"/>
          <w:szCs w:val="17"/>
        </w:rPr>
        <w:br/>
      </w:r>
      <w:r w:rsidR="00C003C6" w:rsidRPr="00C003C6">
        <w:rPr>
          <w:rFonts w:ascii="Verdana" w:hAnsi="Verdana"/>
          <w:color w:val="000033"/>
          <w:sz w:val="17"/>
          <w:szCs w:val="17"/>
        </w:rPr>
        <w:br/>
      </w:r>
      <w:bookmarkStart w:id="7" w:name="OLE_LINK8"/>
      <w:r w:rsidR="00C003C6" w:rsidRPr="00C003C6">
        <w:rPr>
          <w:rFonts w:ascii="Verdana" w:hAnsi="Verdana"/>
          <w:color w:val="000033"/>
          <w:sz w:val="17"/>
          <w:szCs w:val="17"/>
          <w:shd w:val="clear" w:color="auto" w:fill="FFFFFF"/>
        </w:rPr>
        <w:t>(4). Several uncertainties will accompany the evolution of energy systems, namely: Government Policies; Fuel Costs; Cost of Capital; Technology maturation; Demand growth; and infrastructure retirements.</w:t>
      </w:r>
      <w:bookmarkEnd w:id="7"/>
      <w:r w:rsidR="00C003C6" w:rsidRPr="00C003C6">
        <w:rPr>
          <w:rFonts w:ascii="Verdana" w:hAnsi="Verdana"/>
          <w:color w:val="000033"/>
          <w:sz w:val="17"/>
          <w:szCs w:val="17"/>
        </w:rPr>
        <w:br/>
      </w:r>
      <w:r w:rsidR="00C003C6" w:rsidRPr="00C003C6">
        <w:rPr>
          <w:rFonts w:ascii="Verdana" w:hAnsi="Verdana"/>
          <w:color w:val="000033"/>
          <w:sz w:val="17"/>
          <w:szCs w:val="17"/>
        </w:rPr>
        <w:br/>
      </w:r>
      <w:bookmarkStart w:id="8" w:name="OLE_LINK9"/>
      <w:r w:rsidR="00C003C6" w:rsidRPr="00C003C6">
        <w:rPr>
          <w:rFonts w:ascii="Verdana" w:hAnsi="Verdana"/>
          <w:color w:val="000033"/>
          <w:sz w:val="17"/>
          <w:szCs w:val="17"/>
          <w:shd w:val="clear" w:color="auto" w:fill="FFFFFF"/>
        </w:rPr>
        <w:t>(</w:t>
      </w:r>
      <w:proofErr w:type="spellStart"/>
      <w:r w:rsidR="00C003C6" w:rsidRPr="00C003C6">
        <w:rPr>
          <w:rFonts w:ascii="Verdana" w:hAnsi="Verdana"/>
          <w:color w:val="000033"/>
          <w:sz w:val="17"/>
          <w:szCs w:val="17"/>
          <w:shd w:val="clear" w:color="auto" w:fill="FFFFFF"/>
        </w:rPr>
        <w:t>i</w:t>
      </w:r>
      <w:proofErr w:type="spellEnd"/>
      <w:r w:rsidR="00C003C6" w:rsidRPr="00C003C6">
        <w:rPr>
          <w:rFonts w:ascii="Verdana" w:hAnsi="Verdana"/>
          <w:color w:val="000033"/>
          <w:sz w:val="17"/>
          <w:szCs w:val="17"/>
          <w:shd w:val="clear" w:color="auto" w:fill="FFFFFF"/>
        </w:rPr>
        <w:t>). It could be good for this type of Paper to elaborate a little more on the above factors.</w:t>
      </w:r>
      <w:bookmarkEnd w:id="8"/>
    </w:p>
    <w:p w14:paraId="357442C5" w14:textId="40F104B0" w:rsidR="0024077A" w:rsidRDefault="001123BF" w:rsidP="0024077A">
      <w:pPr>
        <w:rPr>
          <w:rFonts w:ascii="Verdana" w:hAnsi="Verdana"/>
          <w:color w:val="0070C0"/>
          <w:sz w:val="17"/>
          <w:szCs w:val="17"/>
          <w:shd w:val="clear" w:color="auto" w:fill="FFFFFF"/>
        </w:rPr>
      </w:pPr>
      <w:r>
        <w:rPr>
          <w:rFonts w:ascii="Verdana" w:hAnsi="Verdana"/>
          <w:color w:val="0070C0"/>
          <w:sz w:val="17"/>
          <w:szCs w:val="17"/>
          <w:shd w:val="clear" w:color="auto" w:fill="FFFFFF"/>
        </w:rPr>
        <w:t xml:space="preserve">Reply: </w:t>
      </w:r>
      <w:r w:rsidR="0024077A" w:rsidRPr="0024077A">
        <w:rPr>
          <w:rFonts w:ascii="Verdana" w:hAnsi="Verdana"/>
          <w:color w:val="0070C0"/>
          <w:sz w:val="17"/>
          <w:szCs w:val="17"/>
          <w:shd w:val="clear" w:color="auto" w:fill="FFFFFF"/>
        </w:rPr>
        <w:t>Thank you for this observation. We agree that long-term ESS planning is influenced by a broader range of uncertainties than those initially emphasized in the manuscript, including policy developments, fuel and market prices, financing conditions, technology maturation, demand evolution, RES deployment, and infrastructure retirements. We have expanded the Introduction to discuss these factors and to clarify the scope of the uncertainty representation adopted in this work.</w:t>
      </w:r>
    </w:p>
    <w:p w14:paraId="7E7AA0F6" w14:textId="77777777" w:rsidR="00F802DB" w:rsidRDefault="0024077A" w:rsidP="00C003C6">
      <w:pPr>
        <w:rPr>
          <w:rFonts w:ascii="Verdana" w:hAnsi="Verdana"/>
          <w:color w:val="000033"/>
          <w:sz w:val="17"/>
          <w:szCs w:val="17"/>
          <w:shd w:val="clear" w:color="auto" w:fill="FFFFFF"/>
        </w:rPr>
      </w:pPr>
      <w:r w:rsidRPr="0024077A">
        <w:rPr>
          <w:rFonts w:ascii="Verdana" w:hAnsi="Verdana"/>
          <w:color w:val="0070C0"/>
          <w:sz w:val="17"/>
          <w:szCs w:val="17"/>
          <w:shd w:val="clear" w:color="auto" w:fill="FFFFFF"/>
        </w:rPr>
        <w:t>Specifically, the proposed framework explicitly considers uncertainty in future ESS investment costs through alternative cost trajectories, as well as operational uncertainty in load, RES generation, and market prices. Demand growth and RES capacity expansion are represented through predefined trajectories, whereas policy changes, infrastructure retirements, and uncertainty in the cost of capital are not explicitly modelled. These limitations and possible extensions are now stated in the revised manuscript.</w:t>
      </w:r>
      <w:r w:rsidR="00C003C6" w:rsidRPr="00C003C6">
        <w:rPr>
          <w:rFonts w:ascii="Verdana" w:hAnsi="Verdana"/>
          <w:color w:val="000033"/>
          <w:sz w:val="17"/>
          <w:szCs w:val="17"/>
        </w:rPr>
        <w:br/>
      </w:r>
      <w:r w:rsidR="00C003C6" w:rsidRPr="00C003C6">
        <w:rPr>
          <w:rFonts w:ascii="Verdana" w:hAnsi="Verdana"/>
          <w:color w:val="000033"/>
          <w:sz w:val="17"/>
          <w:szCs w:val="17"/>
        </w:rPr>
        <w:br/>
      </w:r>
      <w:bookmarkStart w:id="9" w:name="OLE_LINK10"/>
      <w:r w:rsidR="00C003C6" w:rsidRPr="00C003C6">
        <w:rPr>
          <w:rFonts w:ascii="Verdana" w:hAnsi="Verdana"/>
          <w:color w:val="000033"/>
          <w:sz w:val="17"/>
          <w:szCs w:val="17"/>
          <w:shd w:val="clear" w:color="auto" w:fill="FFFFFF"/>
        </w:rPr>
        <w:t>(ii). Additionally, could some sensitivity analysis be useful - so far as cost of capital is concerned?</w:t>
      </w:r>
      <w:bookmarkEnd w:id="9"/>
    </w:p>
    <w:p w14:paraId="318DD84E" w14:textId="279FEEEE" w:rsidR="00BB7E12" w:rsidRDefault="001123BF" w:rsidP="00C003C6">
      <w:pPr>
        <w:rPr>
          <w:rFonts w:ascii="Verdana" w:hAnsi="Verdana"/>
          <w:color w:val="000033"/>
          <w:sz w:val="17"/>
          <w:szCs w:val="17"/>
          <w:shd w:val="clear" w:color="auto" w:fill="FFFFFF"/>
        </w:rPr>
      </w:pPr>
      <w:r>
        <w:rPr>
          <w:rFonts w:ascii="Verdana" w:hAnsi="Verdana"/>
          <w:color w:val="EE0000"/>
          <w:sz w:val="17"/>
          <w:szCs w:val="17"/>
          <w:shd w:val="clear" w:color="auto" w:fill="FFFFFF"/>
        </w:rPr>
        <w:t xml:space="preserve">Note: </w:t>
      </w:r>
      <w:r w:rsidR="00E44F2D" w:rsidRPr="00E44F2D">
        <w:rPr>
          <w:rFonts w:ascii="Verdana" w:hAnsi="Verdana"/>
          <w:color w:val="EE0000"/>
          <w:sz w:val="17"/>
          <w:szCs w:val="17"/>
          <w:shd w:val="clear" w:color="auto" w:fill="FFFFFF"/>
        </w:rPr>
        <w:t xml:space="preserve">To be addressed. </w:t>
      </w:r>
      <w:r w:rsidR="00F802DB" w:rsidRPr="00E44F2D">
        <w:rPr>
          <w:rFonts w:ascii="Verdana" w:hAnsi="Verdana"/>
          <w:color w:val="EE0000"/>
          <w:sz w:val="17"/>
          <w:szCs w:val="17"/>
          <w:shd w:val="clear" w:color="auto" w:fill="FFFFFF"/>
        </w:rPr>
        <w:t xml:space="preserve">Might require </w:t>
      </w:r>
      <w:r w:rsidR="00E44F2D" w:rsidRPr="00E44F2D">
        <w:rPr>
          <w:rFonts w:ascii="Verdana" w:hAnsi="Verdana"/>
          <w:color w:val="EE0000"/>
          <w:sz w:val="17"/>
          <w:szCs w:val="17"/>
          <w:shd w:val="clear" w:color="auto" w:fill="FFFFFF"/>
        </w:rPr>
        <w:t>further simulation</w:t>
      </w:r>
      <w:r w:rsidR="00E44F2D">
        <w:rPr>
          <w:rFonts w:ascii="Verdana" w:hAnsi="Verdana"/>
          <w:color w:val="EE0000"/>
          <w:sz w:val="17"/>
          <w:szCs w:val="17"/>
          <w:shd w:val="clear" w:color="auto" w:fill="FFFFFF"/>
        </w:rPr>
        <w:t>s</w:t>
      </w:r>
      <w:r w:rsidR="00E44F2D" w:rsidRPr="00E44F2D">
        <w:rPr>
          <w:rFonts w:ascii="Verdana" w:hAnsi="Verdana"/>
          <w:color w:val="EE0000"/>
          <w:sz w:val="17"/>
          <w:szCs w:val="17"/>
          <w:shd w:val="clear" w:color="auto" w:fill="FFFFFF"/>
        </w:rPr>
        <w:t>. Check later.</w:t>
      </w:r>
      <w:r w:rsidR="00C003C6" w:rsidRPr="00C003C6">
        <w:rPr>
          <w:rFonts w:ascii="Verdana" w:hAnsi="Verdana"/>
          <w:color w:val="000033"/>
          <w:sz w:val="17"/>
          <w:szCs w:val="17"/>
        </w:rPr>
        <w:br/>
      </w:r>
      <w:r w:rsidR="00C003C6" w:rsidRPr="00C003C6">
        <w:rPr>
          <w:rFonts w:ascii="Verdana" w:hAnsi="Verdana"/>
          <w:color w:val="000033"/>
          <w:sz w:val="17"/>
          <w:szCs w:val="17"/>
        </w:rPr>
        <w:br/>
      </w:r>
      <w:bookmarkStart w:id="10" w:name="OLE_LINK11"/>
      <w:r w:rsidR="00C003C6" w:rsidRPr="00C003C6">
        <w:rPr>
          <w:rFonts w:ascii="Verdana" w:hAnsi="Verdana"/>
          <w:color w:val="000033"/>
          <w:sz w:val="17"/>
          <w:szCs w:val="17"/>
          <w:shd w:val="clear" w:color="auto" w:fill="FFFFFF"/>
        </w:rPr>
        <w:t>(5). Figure 2 could be improved in size for clarity.</w:t>
      </w:r>
      <w:bookmarkEnd w:id="10"/>
      <w:r w:rsidR="00C003C6" w:rsidRPr="00C003C6">
        <w:rPr>
          <w:rFonts w:ascii="Verdana" w:hAnsi="Verdana"/>
          <w:color w:val="000033"/>
          <w:sz w:val="17"/>
          <w:szCs w:val="17"/>
        </w:rPr>
        <w:br/>
      </w:r>
      <w:r>
        <w:rPr>
          <w:rFonts w:ascii="Verdana" w:hAnsi="Verdana"/>
          <w:color w:val="EE0000"/>
          <w:sz w:val="17"/>
          <w:szCs w:val="17"/>
        </w:rPr>
        <w:t xml:space="preserve">Note: </w:t>
      </w:r>
      <w:r w:rsidR="00650631" w:rsidRPr="00D945DA">
        <w:rPr>
          <w:rFonts w:ascii="Verdana" w:hAnsi="Verdana"/>
          <w:color w:val="EE0000"/>
          <w:sz w:val="17"/>
          <w:szCs w:val="17"/>
        </w:rPr>
        <w:t xml:space="preserve">Placeholder figure. </w:t>
      </w:r>
      <w:r w:rsidR="00D945DA" w:rsidRPr="00D945DA">
        <w:rPr>
          <w:rFonts w:ascii="Verdana" w:hAnsi="Verdana"/>
          <w:color w:val="EE0000"/>
          <w:sz w:val="17"/>
          <w:szCs w:val="17"/>
        </w:rPr>
        <w:t>Needs improvement. Check later.</w:t>
      </w:r>
      <w:r w:rsidR="00C003C6" w:rsidRPr="00C003C6">
        <w:rPr>
          <w:rFonts w:ascii="Verdana" w:hAnsi="Verdana"/>
          <w:color w:val="000033"/>
          <w:sz w:val="17"/>
          <w:szCs w:val="17"/>
        </w:rPr>
        <w:br/>
      </w:r>
      <w:r w:rsidR="00C003C6" w:rsidRPr="00C003C6">
        <w:rPr>
          <w:rFonts w:ascii="Verdana" w:hAnsi="Verdana"/>
          <w:color w:val="000033"/>
          <w:sz w:val="17"/>
          <w:szCs w:val="17"/>
        </w:rPr>
        <w:br/>
      </w:r>
      <w:r w:rsidR="00C003C6" w:rsidRPr="00C003C6">
        <w:rPr>
          <w:rFonts w:ascii="Verdana" w:hAnsi="Verdana"/>
          <w:color w:val="000033"/>
          <w:sz w:val="17"/>
          <w:szCs w:val="17"/>
          <w:shd w:val="clear" w:color="auto" w:fill="FFFFFF"/>
        </w:rPr>
        <w:t xml:space="preserve">Reviewer #2: The topic is relevant and the proposed integration of shared ESS planning, TSO-DSO coordination, and degradation-aware operation is potentially valuable. However, the current manuscript does not provide a sufficiently rigorous or reproducible solution methodology. The claimed combination of bilevel optimization, </w:t>
      </w:r>
      <w:proofErr w:type="gramStart"/>
      <w:r w:rsidR="00C003C6" w:rsidRPr="00C003C6">
        <w:rPr>
          <w:rFonts w:ascii="Verdana" w:hAnsi="Verdana"/>
          <w:color w:val="000033"/>
          <w:sz w:val="17"/>
          <w:szCs w:val="17"/>
          <w:shd w:val="clear" w:color="auto" w:fill="FFFFFF"/>
        </w:rPr>
        <w:t>Benders</w:t>
      </w:r>
      <w:proofErr w:type="gramEnd"/>
      <w:r w:rsidR="00C003C6" w:rsidRPr="00C003C6">
        <w:rPr>
          <w:rFonts w:ascii="Verdana" w:hAnsi="Verdana"/>
          <w:color w:val="000033"/>
          <w:sz w:val="17"/>
          <w:szCs w:val="17"/>
          <w:shd w:val="clear" w:color="auto" w:fill="FFFFFF"/>
        </w:rPr>
        <w:t xml:space="preserve"> decomposition, and ADMM is not mathematically justified for the nonconvex AC-constrained and degradation-coupled formulation. The validity of the Benders cuts, the derivation of sensitivities, the convergence of the ADMM subproblem, and the physical consistency of the ESS degradation </w:t>
      </w:r>
      <w:proofErr w:type="gramStart"/>
      <w:r w:rsidR="00C003C6" w:rsidRPr="00C003C6">
        <w:rPr>
          <w:rFonts w:ascii="Verdana" w:hAnsi="Verdana"/>
          <w:color w:val="000033"/>
          <w:sz w:val="17"/>
          <w:szCs w:val="17"/>
          <w:shd w:val="clear" w:color="auto" w:fill="FFFFFF"/>
        </w:rPr>
        <w:lastRenderedPageBreak/>
        <w:t>model</w:t>
      </w:r>
      <w:proofErr w:type="gramEnd"/>
      <w:r w:rsidR="00C003C6" w:rsidRPr="00C003C6">
        <w:rPr>
          <w:rFonts w:ascii="Verdana" w:hAnsi="Verdana"/>
          <w:color w:val="000033"/>
          <w:sz w:val="17"/>
          <w:szCs w:val="17"/>
          <w:shd w:val="clear" w:color="auto" w:fill="FFFFFF"/>
        </w:rPr>
        <w:t xml:space="preserve"> require substantial clarification before the numerical results can be considered reliable.</w:t>
      </w:r>
      <w:r w:rsidR="00C003C6" w:rsidRPr="00C003C6">
        <w:rPr>
          <w:rFonts w:ascii="Verdana" w:hAnsi="Verdana"/>
          <w:color w:val="000033"/>
          <w:sz w:val="17"/>
          <w:szCs w:val="17"/>
        </w:rPr>
        <w:br/>
      </w:r>
      <w:r w:rsidR="00C003C6" w:rsidRPr="00C003C6">
        <w:rPr>
          <w:rFonts w:ascii="Verdana" w:hAnsi="Verdana"/>
          <w:color w:val="000033"/>
          <w:sz w:val="17"/>
          <w:szCs w:val="17"/>
        </w:rPr>
        <w:br/>
      </w:r>
      <w:r w:rsidR="00C003C6" w:rsidRPr="00C003C6">
        <w:rPr>
          <w:rFonts w:ascii="Verdana" w:hAnsi="Verdana"/>
          <w:color w:val="000033"/>
          <w:sz w:val="17"/>
          <w:szCs w:val="17"/>
        </w:rPr>
        <w:br/>
      </w:r>
      <w:r w:rsidR="00C003C6" w:rsidRPr="00C003C6">
        <w:rPr>
          <w:rFonts w:ascii="Verdana" w:hAnsi="Verdana"/>
          <w:color w:val="000033"/>
          <w:sz w:val="17"/>
          <w:szCs w:val="17"/>
          <w:shd w:val="clear" w:color="auto" w:fill="FFFFFF"/>
        </w:rPr>
        <w:t>Below are the detailed comments.</w:t>
      </w:r>
      <w:r w:rsidR="00C003C6" w:rsidRPr="00C003C6">
        <w:rPr>
          <w:rFonts w:ascii="Verdana" w:hAnsi="Verdana"/>
          <w:color w:val="000033"/>
          <w:sz w:val="17"/>
          <w:szCs w:val="17"/>
        </w:rPr>
        <w:br/>
      </w:r>
      <w:r w:rsidR="00C003C6" w:rsidRPr="00C003C6">
        <w:rPr>
          <w:rFonts w:ascii="Verdana" w:hAnsi="Verdana"/>
          <w:color w:val="000033"/>
          <w:sz w:val="17"/>
          <w:szCs w:val="17"/>
        </w:rPr>
        <w:br/>
      </w:r>
      <w:r w:rsidR="00C003C6" w:rsidRPr="00C003C6">
        <w:rPr>
          <w:rFonts w:ascii="Verdana" w:hAnsi="Verdana"/>
          <w:color w:val="000033"/>
          <w:sz w:val="17"/>
          <w:szCs w:val="17"/>
          <w:shd w:val="clear" w:color="auto" w:fill="FFFFFF"/>
        </w:rPr>
        <w:t xml:space="preserve">1. </w:t>
      </w:r>
      <w:bookmarkStart w:id="11" w:name="OLE_LINK12"/>
      <w:r w:rsidR="00C003C6" w:rsidRPr="00C003C6">
        <w:rPr>
          <w:rFonts w:ascii="Verdana" w:hAnsi="Verdana"/>
          <w:color w:val="000033"/>
          <w:sz w:val="17"/>
          <w:szCs w:val="17"/>
          <w:shd w:val="clear" w:color="auto" w:fill="FFFFFF"/>
        </w:rPr>
        <w:t xml:space="preserve">The claimed "bi-level" formulation is not clearly a bilevel optimization problem. The manuscript states that the upper level determines siting, sizing, and staged investment decisions while the lower level evaluates coordinated operation, and then says </w:t>
      </w:r>
      <w:proofErr w:type="gramStart"/>
      <w:r w:rsidR="00C003C6" w:rsidRPr="00C003C6">
        <w:rPr>
          <w:rFonts w:ascii="Verdana" w:hAnsi="Verdana"/>
          <w:color w:val="000033"/>
          <w:sz w:val="17"/>
          <w:szCs w:val="17"/>
          <w:shd w:val="clear" w:color="auto" w:fill="FFFFFF"/>
        </w:rPr>
        <w:t>Benders</w:t>
      </w:r>
      <w:proofErr w:type="gramEnd"/>
      <w:r w:rsidR="00C003C6" w:rsidRPr="00C003C6">
        <w:rPr>
          <w:rFonts w:ascii="Verdana" w:hAnsi="Verdana"/>
          <w:color w:val="000033"/>
          <w:sz w:val="17"/>
          <w:szCs w:val="17"/>
          <w:shd w:val="clear" w:color="auto" w:fill="FFFFFF"/>
        </w:rPr>
        <w:t xml:space="preserve"> decomposition is used between the two </w:t>
      </w:r>
      <w:proofErr w:type="gramStart"/>
      <w:r w:rsidR="00C003C6" w:rsidRPr="00C003C6">
        <w:rPr>
          <w:rFonts w:ascii="Verdana" w:hAnsi="Verdana"/>
          <w:color w:val="000033"/>
          <w:sz w:val="17"/>
          <w:szCs w:val="17"/>
          <w:shd w:val="clear" w:color="auto" w:fill="FFFFFF"/>
        </w:rPr>
        <w:t>levels .</w:t>
      </w:r>
      <w:proofErr w:type="gramEnd"/>
      <w:r w:rsidR="00C003C6" w:rsidRPr="00C003C6">
        <w:rPr>
          <w:rFonts w:ascii="Verdana" w:hAnsi="Verdana"/>
          <w:color w:val="000033"/>
          <w:sz w:val="17"/>
          <w:szCs w:val="17"/>
          <w:shd w:val="clear" w:color="auto" w:fill="FFFFFF"/>
        </w:rPr>
        <w:t xml:space="preserve"> However, the formulation does not present a conventional bilevel program with a lower-level objective, lower-level feasible set, and upper-level constraints depending on the lower-level optimizer. It reads more like a two-stage stochastic planning model with operational recourse solved by decomposition. The authors should explicitly clarify whether this is a true Stackelberg/bilevel problem, a two-stage stochastic program, or a decomposition of a single-level planning-operation model.</w:t>
      </w:r>
      <w:bookmarkEnd w:id="11"/>
    </w:p>
    <w:p w14:paraId="7BC7676A" w14:textId="3D9DDA4E" w:rsidR="00BB7E12" w:rsidRDefault="001123BF" w:rsidP="00BB7E12">
      <w:pPr>
        <w:pStyle w:val="pdq2pgselectionanchorcontainer"/>
        <w:rPr>
          <w:rFonts w:ascii="Verdana" w:hAnsi="Verdana"/>
          <w:color w:val="0070C0"/>
          <w:sz w:val="17"/>
          <w:szCs w:val="17"/>
          <w:shd w:val="clear" w:color="auto" w:fill="FFFFFF"/>
        </w:rPr>
      </w:pPr>
      <w:r>
        <w:rPr>
          <w:rFonts w:ascii="Verdana" w:hAnsi="Verdana"/>
          <w:color w:val="0070C0"/>
          <w:sz w:val="17"/>
          <w:szCs w:val="17"/>
          <w:shd w:val="clear" w:color="auto" w:fill="FFFFFF"/>
        </w:rPr>
        <w:t xml:space="preserve">Reply: </w:t>
      </w:r>
      <w:r w:rsidR="00BB7E12" w:rsidRPr="00BB7E12">
        <w:rPr>
          <w:rFonts w:ascii="Verdana" w:hAnsi="Verdana"/>
          <w:color w:val="0070C0"/>
          <w:sz w:val="17"/>
          <w:szCs w:val="17"/>
          <w:shd w:val="clear" w:color="auto" w:fill="FFFFFF"/>
        </w:rPr>
        <w:t>Thank you for this important observation. We agree that the term “bi-level” was used imprecisely in the original manuscript. Our intention was to describe the nested computational architecture connecting long-term planning and coordinated operation, rather than a conventional Stackelberg or leader–follower optimization problem.</w:t>
      </w:r>
    </w:p>
    <w:p w14:paraId="19AD3FA8" w14:textId="77777777" w:rsidR="00BB7E12" w:rsidRDefault="00BB7E12" w:rsidP="00BB7E12">
      <w:pPr>
        <w:pStyle w:val="pdq2pgselectionanchorcontainer"/>
        <w:rPr>
          <w:rFonts w:ascii="Verdana" w:hAnsi="Verdana"/>
          <w:color w:val="0070C0"/>
          <w:sz w:val="17"/>
          <w:szCs w:val="17"/>
          <w:shd w:val="clear" w:color="auto" w:fill="FFFFFF"/>
        </w:rPr>
      </w:pPr>
      <w:r w:rsidRPr="00BB7E12">
        <w:rPr>
          <w:rFonts w:ascii="Verdana" w:hAnsi="Verdana"/>
          <w:color w:val="0070C0"/>
          <w:sz w:val="17"/>
          <w:szCs w:val="17"/>
          <w:shd w:val="clear" w:color="auto" w:fill="FFFFFF"/>
        </w:rPr>
        <w:t>In the proposed formulation, investment and operational decisions contribute to a common system-wide objective. For a fixed investment plan, the operational problem determines the corresponding coordinated operating cost, which defines the operational recourse value used by the planning problem. The lower operational optimization therefore represents a value-function evaluation of the integrated planning–operation model and not an independent follower whose optimal response constrains a distinct upper-level decision maker.</w:t>
      </w:r>
    </w:p>
    <w:p w14:paraId="62368DD8" w14:textId="77777777" w:rsidR="0096740F" w:rsidRDefault="00BB7E12" w:rsidP="00BB7E12">
      <w:pPr>
        <w:pStyle w:val="pdq2pgselectionanchorcontainer"/>
        <w:rPr>
          <w:rFonts w:ascii="Verdana" w:hAnsi="Verdana"/>
          <w:color w:val="0070C0"/>
          <w:sz w:val="17"/>
          <w:szCs w:val="17"/>
          <w:shd w:val="clear" w:color="auto" w:fill="FFFFFF"/>
        </w:rPr>
      </w:pPr>
      <w:r w:rsidRPr="00BB7E12">
        <w:rPr>
          <w:rFonts w:ascii="Verdana" w:hAnsi="Verdana"/>
          <w:color w:val="0070C0"/>
          <w:sz w:val="17"/>
          <w:szCs w:val="17"/>
          <w:shd w:val="clear" w:color="auto" w:fill="FFFFFF"/>
        </w:rPr>
        <w:t>We have consequently reformulated the methodological description as a multi-year stochastic planning problem with operational recourse, solved through a nested planning–operation decomposition. The terms “upper level” and “lower level” have been replaced by “master planning problem” and “operational recourse problem,” respectively. A compact formulation of the integrated planning–operation problem and its operational value function has also been added to clarify the relationship between both components. The ADMM procedure is now explicitly described as the decentralized solution mechanism for the operational recourse problem rather than as a separate optimization level.</w:t>
      </w:r>
    </w:p>
    <w:p w14:paraId="336ACA57" w14:textId="77777777" w:rsidR="0096740F" w:rsidRPr="00D03D5C" w:rsidRDefault="0096740F" w:rsidP="00BB7E12">
      <w:pPr>
        <w:pStyle w:val="pdq2pgselectionanchorcontainer"/>
        <w:rPr>
          <w:rFonts w:ascii="Verdana" w:hAnsi="Verdana"/>
          <w:color w:val="0070C0"/>
          <w:sz w:val="17"/>
          <w:szCs w:val="17"/>
          <w:shd w:val="clear" w:color="auto" w:fill="FFFFFF"/>
        </w:rPr>
      </w:pPr>
      <w:r w:rsidRPr="00D03D5C">
        <w:rPr>
          <w:rFonts w:ascii="Verdana" w:hAnsi="Verdana"/>
          <w:color w:val="0070C0"/>
          <w:sz w:val="17"/>
          <w:szCs w:val="17"/>
          <w:shd w:val="clear" w:color="auto" w:fill="FFFFFF"/>
        </w:rPr>
        <w:t>The formulation has therefore been revised and is now explicitly presented as a two-stage stochastic planning model with operational recourse. The first stage determines a single, scenario-independent multi-year shared-ESS investment plan, including siting, sizing, and installation-timing decisions. The second stage determines scenario-dependent coordinated TSO–DSO operating decisions under load, RES-generation, and market-price uncertainty.</w:t>
      </w:r>
    </w:p>
    <w:p w14:paraId="36C1DD21" w14:textId="75C6017B" w:rsidR="0096740F" w:rsidRPr="00D03D5C" w:rsidRDefault="00D03D5C" w:rsidP="00BB7E12">
      <w:pPr>
        <w:pStyle w:val="pdq2pgselectionanchorcontainer"/>
        <w:rPr>
          <w:rFonts w:ascii="Verdana" w:hAnsi="Verdana"/>
          <w:color w:val="0070C0"/>
          <w:sz w:val="17"/>
          <w:szCs w:val="17"/>
          <w:shd w:val="clear" w:color="auto" w:fill="FFFFFF"/>
        </w:rPr>
      </w:pPr>
      <w:r w:rsidRPr="00D03D5C">
        <w:rPr>
          <w:rFonts w:ascii="Verdana" w:hAnsi="Verdana"/>
          <w:color w:val="0070C0"/>
          <w:sz w:val="17"/>
          <w:szCs w:val="17"/>
          <w:shd w:val="clear" w:color="auto" w:fill="FFFFFF"/>
        </w:rPr>
        <w:t>To ensure that the resulting investment plan is physically implementable, the scenario index has been removed from the investment variables, and the probability-weighted averaging of mutually exclusive scenario-specific ESS capacities has been eliminated. The same first-stage plan is now passed directly to all operational recourse evaluations. The generic integrated formulation, the master problem, the nomenclature, the architecture diagram, and the terminology used throughout the Abstract, Introduction, highlights, keywords, and Conclusions have been revised accordingly.</w:t>
      </w:r>
    </w:p>
    <w:p w14:paraId="785D2284" w14:textId="4196A0F3" w:rsidR="00126592" w:rsidRDefault="00D03D5C" w:rsidP="00BB7E12">
      <w:pPr>
        <w:pStyle w:val="pdq2pgselectionanchorcontainer"/>
        <w:rPr>
          <w:rFonts w:ascii="Verdana" w:hAnsi="Verdana"/>
          <w:color w:val="000033"/>
          <w:sz w:val="17"/>
          <w:szCs w:val="17"/>
          <w:shd w:val="clear" w:color="auto" w:fill="FFFFFF"/>
        </w:rPr>
      </w:pPr>
      <w:r w:rsidRPr="00D03D5C">
        <w:rPr>
          <w:rFonts w:ascii="Verdana" w:hAnsi="Verdana"/>
          <w:color w:val="0070C0"/>
          <w:sz w:val="17"/>
          <w:szCs w:val="17"/>
          <w:shd w:val="clear" w:color="auto" w:fill="FFFFFF"/>
        </w:rPr>
        <w:t>We further clarify that the master-problem/operational-subproblem structure is a computational planning–operation decomposition and does not represent a hierarchical interaction between distinct upper- and lower-level decision makers. All numerical results have been recomputed using the revised scenario-independent investment formulation.</w:t>
      </w:r>
      <w:r w:rsidR="00C003C6" w:rsidRPr="00C003C6">
        <w:rPr>
          <w:rFonts w:ascii="Verdana" w:hAnsi="Verdana"/>
          <w:color w:val="000033"/>
          <w:sz w:val="17"/>
          <w:szCs w:val="17"/>
        </w:rPr>
        <w:br/>
      </w:r>
      <w:r w:rsidR="00C003C6" w:rsidRPr="00C003C6">
        <w:rPr>
          <w:rFonts w:ascii="Verdana" w:hAnsi="Verdana"/>
          <w:color w:val="000033"/>
          <w:sz w:val="17"/>
          <w:szCs w:val="17"/>
        </w:rPr>
        <w:br/>
      </w:r>
      <w:r w:rsidR="00C003C6" w:rsidRPr="00C003C6">
        <w:rPr>
          <w:rFonts w:ascii="Verdana" w:hAnsi="Verdana"/>
          <w:color w:val="000033"/>
          <w:sz w:val="17"/>
          <w:szCs w:val="17"/>
          <w:shd w:val="clear" w:color="auto" w:fill="FFFFFF"/>
        </w:rPr>
        <w:t xml:space="preserve">2. The interaction between ADMM, </w:t>
      </w:r>
      <w:proofErr w:type="gramStart"/>
      <w:r w:rsidR="00C003C6" w:rsidRPr="00C003C6">
        <w:rPr>
          <w:rFonts w:ascii="Verdana" w:hAnsi="Verdana"/>
          <w:color w:val="000033"/>
          <w:sz w:val="17"/>
          <w:szCs w:val="17"/>
          <w:shd w:val="clear" w:color="auto" w:fill="FFFFFF"/>
        </w:rPr>
        <w:t>Benders</w:t>
      </w:r>
      <w:proofErr w:type="gramEnd"/>
      <w:r w:rsidR="00C003C6" w:rsidRPr="00C003C6">
        <w:rPr>
          <w:rFonts w:ascii="Verdana" w:hAnsi="Verdana"/>
          <w:color w:val="000033"/>
          <w:sz w:val="17"/>
          <w:szCs w:val="17"/>
          <w:shd w:val="clear" w:color="auto" w:fill="FFFFFF"/>
        </w:rPr>
        <w:t xml:space="preserve"> decomposition, and the "bilevel" structure is not sufficiently explained. The paper says the master problem passes expected investment decisions to the operational subproblem, and the subproblem returns operational costs and sensitivities for Benders </w:t>
      </w:r>
      <w:proofErr w:type="gramStart"/>
      <w:r w:rsidR="00C003C6" w:rsidRPr="00C003C6">
        <w:rPr>
          <w:rFonts w:ascii="Verdana" w:hAnsi="Verdana"/>
          <w:color w:val="000033"/>
          <w:sz w:val="17"/>
          <w:szCs w:val="17"/>
          <w:shd w:val="clear" w:color="auto" w:fill="FFFFFF"/>
        </w:rPr>
        <w:t>cuts .</w:t>
      </w:r>
      <w:proofErr w:type="gramEnd"/>
      <w:r w:rsidR="00C003C6" w:rsidRPr="00C003C6">
        <w:rPr>
          <w:rFonts w:ascii="Verdana" w:hAnsi="Verdana"/>
          <w:color w:val="000033"/>
          <w:sz w:val="17"/>
          <w:szCs w:val="17"/>
          <w:shd w:val="clear" w:color="auto" w:fill="FFFFFF"/>
        </w:rPr>
        <w:t xml:space="preserve"> But the manuscript does not give a complete outer-loop algorithm showing exactly when ADMM is called, how many operational subproblems are solved per </w:t>
      </w:r>
      <w:proofErr w:type="gramStart"/>
      <w:r w:rsidR="00C003C6" w:rsidRPr="00C003C6">
        <w:rPr>
          <w:rFonts w:ascii="Verdana" w:hAnsi="Verdana"/>
          <w:color w:val="000033"/>
          <w:sz w:val="17"/>
          <w:szCs w:val="17"/>
          <w:shd w:val="clear" w:color="auto" w:fill="FFFFFF"/>
        </w:rPr>
        <w:t>Benders</w:t>
      </w:r>
      <w:proofErr w:type="gramEnd"/>
      <w:r w:rsidR="00C003C6" w:rsidRPr="00C003C6">
        <w:rPr>
          <w:rFonts w:ascii="Verdana" w:hAnsi="Verdana"/>
          <w:color w:val="000033"/>
          <w:sz w:val="17"/>
          <w:szCs w:val="17"/>
          <w:shd w:val="clear" w:color="auto" w:fill="FFFFFF"/>
        </w:rPr>
        <w:t xml:space="preserve"> iteration, how operational scenarios are aggregated, and how the resulting sensitivities are converted into Benders cuts. This is a central methodological gap.</w:t>
      </w:r>
      <w:r w:rsidR="00C003C6" w:rsidRPr="00C003C6">
        <w:rPr>
          <w:rFonts w:ascii="Verdana" w:hAnsi="Verdana"/>
          <w:color w:val="000033"/>
          <w:sz w:val="17"/>
          <w:szCs w:val="17"/>
        </w:rPr>
        <w:br/>
      </w:r>
      <w:r w:rsidR="00C003C6" w:rsidRPr="00C003C6">
        <w:rPr>
          <w:rFonts w:ascii="Verdana" w:hAnsi="Verdana"/>
          <w:color w:val="000033"/>
          <w:sz w:val="17"/>
          <w:szCs w:val="17"/>
        </w:rPr>
        <w:br/>
      </w:r>
      <w:r w:rsidR="00C003C6" w:rsidRPr="00C003C6">
        <w:rPr>
          <w:rFonts w:ascii="Verdana" w:hAnsi="Verdana"/>
          <w:color w:val="000033"/>
          <w:sz w:val="17"/>
          <w:szCs w:val="17"/>
          <w:shd w:val="clear" w:color="auto" w:fill="FFFFFF"/>
        </w:rPr>
        <w:t xml:space="preserve">3. The Benders cuts are not mathematically justified. The paper presents an optimality cut using sensitivities </w:t>
      </w:r>
      <w:r w:rsidR="00C003C6" w:rsidRPr="00C003C6">
        <w:rPr>
          <w:rFonts w:ascii="Verdana" w:hAnsi="Verdana"/>
          <w:color w:val="000033"/>
          <w:sz w:val="17"/>
          <w:szCs w:val="17"/>
          <w:shd w:val="clear" w:color="auto" w:fill="FFFFFF"/>
        </w:rPr>
        <w:lastRenderedPageBreak/>
        <w:t xml:space="preserve">with respect to the power and energy investment </w:t>
      </w:r>
      <w:proofErr w:type="gramStart"/>
      <w:r w:rsidR="00C003C6" w:rsidRPr="00C003C6">
        <w:rPr>
          <w:rFonts w:ascii="Verdana" w:hAnsi="Verdana"/>
          <w:color w:val="000033"/>
          <w:sz w:val="17"/>
          <w:szCs w:val="17"/>
          <w:shd w:val="clear" w:color="auto" w:fill="FFFFFF"/>
        </w:rPr>
        <w:t>variables .</w:t>
      </w:r>
      <w:proofErr w:type="gramEnd"/>
      <w:r w:rsidR="00C003C6" w:rsidRPr="00C003C6">
        <w:rPr>
          <w:rFonts w:ascii="Verdana" w:hAnsi="Verdana"/>
          <w:color w:val="000033"/>
          <w:sz w:val="17"/>
          <w:szCs w:val="17"/>
          <w:shd w:val="clear" w:color="auto" w:fill="FFFFFF"/>
        </w:rPr>
        <w:t xml:space="preserve"> Classical Benders decomposition requires strong duality or a valid </w:t>
      </w:r>
      <w:proofErr w:type="spellStart"/>
      <w:r w:rsidR="00C003C6" w:rsidRPr="00C003C6">
        <w:rPr>
          <w:rFonts w:ascii="Verdana" w:hAnsi="Verdana"/>
          <w:color w:val="000033"/>
          <w:sz w:val="17"/>
          <w:szCs w:val="17"/>
          <w:shd w:val="clear" w:color="auto" w:fill="FFFFFF"/>
        </w:rPr>
        <w:t>subgradient</w:t>
      </w:r>
      <w:proofErr w:type="spellEnd"/>
      <w:r w:rsidR="00C003C6" w:rsidRPr="00C003C6">
        <w:rPr>
          <w:rFonts w:ascii="Verdana" w:hAnsi="Verdana"/>
          <w:color w:val="000033"/>
          <w:sz w:val="17"/>
          <w:szCs w:val="17"/>
          <w:shd w:val="clear" w:color="auto" w:fill="FFFFFF"/>
        </w:rPr>
        <w:t xml:space="preserve"> of the recourse function. Here, the lower-level problem includes nonlinear AC power flow, ADMM coordination, degradation equations, and complementarity/relaxed complementarity constraints. These are nonconvex. The authors do not prove that the reported "sensitivities" are valid </w:t>
      </w:r>
      <w:proofErr w:type="spellStart"/>
      <w:r w:rsidR="00C003C6" w:rsidRPr="00C003C6">
        <w:rPr>
          <w:rFonts w:ascii="Verdana" w:hAnsi="Verdana"/>
          <w:color w:val="000033"/>
          <w:sz w:val="17"/>
          <w:szCs w:val="17"/>
          <w:shd w:val="clear" w:color="auto" w:fill="FFFFFF"/>
        </w:rPr>
        <w:t>subgradients</w:t>
      </w:r>
      <w:proofErr w:type="spellEnd"/>
      <w:r w:rsidR="00C003C6" w:rsidRPr="00C003C6">
        <w:rPr>
          <w:rFonts w:ascii="Verdana" w:hAnsi="Verdana"/>
          <w:color w:val="000033"/>
          <w:sz w:val="17"/>
          <w:szCs w:val="17"/>
          <w:shd w:val="clear" w:color="auto" w:fill="FFFFFF"/>
        </w:rPr>
        <w:t xml:space="preserve"> of the true operational recourse function. Without this, the Benders cuts may be heuristic rather than valid.</w:t>
      </w:r>
      <w:r w:rsidR="00C003C6" w:rsidRPr="00C003C6">
        <w:rPr>
          <w:rFonts w:ascii="Verdana" w:hAnsi="Verdana"/>
          <w:color w:val="000033"/>
          <w:sz w:val="17"/>
          <w:szCs w:val="17"/>
        </w:rPr>
        <w:br/>
      </w:r>
      <w:r w:rsidR="00C003C6" w:rsidRPr="00C003C6">
        <w:rPr>
          <w:rFonts w:ascii="Verdana" w:hAnsi="Verdana"/>
          <w:color w:val="000033"/>
          <w:sz w:val="17"/>
          <w:szCs w:val="17"/>
        </w:rPr>
        <w:br/>
      </w:r>
      <w:r w:rsidR="00C003C6" w:rsidRPr="00C003C6">
        <w:rPr>
          <w:rFonts w:ascii="Verdana" w:hAnsi="Verdana"/>
          <w:color w:val="000033"/>
          <w:sz w:val="17"/>
          <w:szCs w:val="17"/>
          <w:shd w:val="clear" w:color="auto" w:fill="FFFFFF"/>
        </w:rPr>
        <w:t xml:space="preserve">4. The source of the sensitivity coefficients is unclear. The cuts use coefficients denoted as sensitivities, but the paper does not explain whether they are obtained from NLP dual variables, ADMM multipliers, finite differences, solver sensitivities, or an adjoint </w:t>
      </w:r>
      <w:proofErr w:type="gramStart"/>
      <w:r w:rsidR="00C003C6" w:rsidRPr="00C003C6">
        <w:rPr>
          <w:rFonts w:ascii="Verdana" w:hAnsi="Verdana"/>
          <w:color w:val="000033"/>
          <w:sz w:val="17"/>
          <w:szCs w:val="17"/>
          <w:shd w:val="clear" w:color="auto" w:fill="FFFFFF"/>
        </w:rPr>
        <w:t>calculation .</w:t>
      </w:r>
      <w:proofErr w:type="gramEnd"/>
      <w:r w:rsidR="00C003C6" w:rsidRPr="00C003C6">
        <w:rPr>
          <w:rFonts w:ascii="Verdana" w:hAnsi="Verdana"/>
          <w:color w:val="000033"/>
          <w:sz w:val="17"/>
          <w:szCs w:val="17"/>
          <w:shd w:val="clear" w:color="auto" w:fill="FFFFFF"/>
        </w:rPr>
        <w:t xml:space="preserve"> This is not a minor omission. If the lower problem is solved by ADMM and nonlinear programming, local dual multipliers are not automatically valid </w:t>
      </w:r>
      <w:proofErr w:type="gramStart"/>
      <w:r w:rsidR="00C003C6" w:rsidRPr="00C003C6">
        <w:rPr>
          <w:rFonts w:ascii="Verdana" w:hAnsi="Verdana"/>
          <w:color w:val="000033"/>
          <w:sz w:val="17"/>
          <w:szCs w:val="17"/>
          <w:shd w:val="clear" w:color="auto" w:fill="FFFFFF"/>
        </w:rPr>
        <w:t>Benders</w:t>
      </w:r>
      <w:proofErr w:type="gramEnd"/>
      <w:r w:rsidR="00C003C6" w:rsidRPr="00C003C6">
        <w:rPr>
          <w:rFonts w:ascii="Verdana" w:hAnsi="Verdana"/>
          <w:color w:val="000033"/>
          <w:sz w:val="17"/>
          <w:szCs w:val="17"/>
          <w:shd w:val="clear" w:color="auto" w:fill="FFFFFF"/>
        </w:rPr>
        <w:t xml:space="preserve"> multipliers. The paper should define the sensitivity calculation rigorously.</w:t>
      </w:r>
      <w:r w:rsidR="00C003C6" w:rsidRPr="00C003C6">
        <w:rPr>
          <w:rFonts w:ascii="Verdana" w:hAnsi="Verdana"/>
          <w:color w:val="000033"/>
          <w:sz w:val="17"/>
          <w:szCs w:val="17"/>
        </w:rPr>
        <w:br/>
      </w:r>
      <w:r w:rsidR="00C003C6" w:rsidRPr="00C003C6">
        <w:rPr>
          <w:rFonts w:ascii="Verdana" w:hAnsi="Verdana"/>
          <w:color w:val="000033"/>
          <w:sz w:val="17"/>
          <w:szCs w:val="17"/>
        </w:rPr>
        <w:br/>
      </w:r>
      <w:r w:rsidR="00C003C6" w:rsidRPr="00C003C6">
        <w:rPr>
          <w:rFonts w:ascii="Verdana" w:hAnsi="Verdana"/>
          <w:color w:val="000033"/>
          <w:sz w:val="17"/>
          <w:szCs w:val="17"/>
          <w:shd w:val="clear" w:color="auto" w:fill="FFFFFF"/>
        </w:rPr>
        <w:t xml:space="preserve">5. The ADMM convergence claim is weak for the stated problem class. The operational layer is based on consensus ADMM, with TSO, DSO, and shared ESS </w:t>
      </w:r>
      <w:proofErr w:type="gramStart"/>
      <w:r w:rsidR="00C003C6" w:rsidRPr="00C003C6">
        <w:rPr>
          <w:rFonts w:ascii="Verdana" w:hAnsi="Verdana"/>
          <w:color w:val="000033"/>
          <w:sz w:val="17"/>
          <w:szCs w:val="17"/>
          <w:shd w:val="clear" w:color="auto" w:fill="FFFFFF"/>
        </w:rPr>
        <w:t>updates .</w:t>
      </w:r>
      <w:proofErr w:type="gramEnd"/>
      <w:r w:rsidR="00C003C6" w:rsidRPr="00C003C6">
        <w:rPr>
          <w:rFonts w:ascii="Verdana" w:hAnsi="Verdana"/>
          <w:color w:val="000033"/>
          <w:sz w:val="17"/>
          <w:szCs w:val="17"/>
          <w:shd w:val="clear" w:color="auto" w:fill="FFFFFF"/>
        </w:rPr>
        <w:t xml:space="preserve"> However, ADMM has standard convergence guarantees mainly under convexity and appropriate regularity assumptions. The paper's operational model includes AC-feasible network constraints and nonconvex ESS constraints. The authors provide pseudocode, but not a convergence theorem, residual definitions, stopping tolerances, penalty initialization, failure handling, or evidence that ADMM converges reliably across all Benders iterations and scenarios.</w:t>
      </w:r>
      <w:r w:rsidR="00C003C6" w:rsidRPr="00C003C6">
        <w:rPr>
          <w:rFonts w:ascii="Verdana" w:hAnsi="Verdana"/>
          <w:color w:val="000033"/>
          <w:sz w:val="17"/>
          <w:szCs w:val="17"/>
        </w:rPr>
        <w:br/>
      </w:r>
      <w:r w:rsidR="00C003C6" w:rsidRPr="00C003C6">
        <w:rPr>
          <w:rFonts w:ascii="Verdana" w:hAnsi="Verdana"/>
          <w:color w:val="000033"/>
          <w:sz w:val="17"/>
          <w:szCs w:val="17"/>
        </w:rPr>
        <w:br/>
      </w:r>
      <w:r w:rsidR="00C003C6" w:rsidRPr="00C003C6">
        <w:rPr>
          <w:rFonts w:ascii="Verdana" w:hAnsi="Verdana"/>
          <w:color w:val="000033"/>
          <w:sz w:val="17"/>
          <w:szCs w:val="17"/>
          <w:shd w:val="clear" w:color="auto" w:fill="FFFFFF"/>
        </w:rPr>
        <w:t xml:space="preserve">6. The adaptive ADMM penalty update is not justified. The appendix states that ADMM penalty coefficients are updated adaptively to improve </w:t>
      </w:r>
      <w:proofErr w:type="gramStart"/>
      <w:r w:rsidR="00C003C6" w:rsidRPr="00C003C6">
        <w:rPr>
          <w:rFonts w:ascii="Verdana" w:hAnsi="Verdana"/>
          <w:color w:val="000033"/>
          <w:sz w:val="17"/>
          <w:szCs w:val="17"/>
          <w:shd w:val="clear" w:color="auto" w:fill="FFFFFF"/>
        </w:rPr>
        <w:t>convergence .</w:t>
      </w:r>
      <w:proofErr w:type="gramEnd"/>
      <w:r w:rsidR="00C003C6" w:rsidRPr="00C003C6">
        <w:rPr>
          <w:rFonts w:ascii="Verdana" w:hAnsi="Verdana"/>
          <w:color w:val="000033"/>
          <w:sz w:val="17"/>
          <w:szCs w:val="17"/>
          <w:shd w:val="clear" w:color="auto" w:fill="FFFFFF"/>
        </w:rPr>
        <w:t xml:space="preserve"> But the update rule appears user-defined and multiplicative. The manuscript does not report the selected update rates, the residual-balancing logic, or sensitivity of results to those parameters. In a nonconvex ADMM setting, arbitrary penalty growth can materially change convergence behavior and even the solution obtained.</w:t>
      </w:r>
      <w:r w:rsidR="00C003C6" w:rsidRPr="00C003C6">
        <w:rPr>
          <w:rFonts w:ascii="Verdana" w:hAnsi="Verdana"/>
          <w:color w:val="000033"/>
          <w:sz w:val="17"/>
          <w:szCs w:val="17"/>
        </w:rPr>
        <w:br/>
      </w:r>
      <w:r w:rsidR="00C003C6" w:rsidRPr="00C003C6">
        <w:rPr>
          <w:rFonts w:ascii="Verdana" w:hAnsi="Verdana"/>
          <w:color w:val="000033"/>
          <w:sz w:val="17"/>
          <w:szCs w:val="17"/>
        </w:rPr>
        <w:br/>
      </w:r>
      <w:r w:rsidR="00C003C6" w:rsidRPr="00C003C6">
        <w:rPr>
          <w:rFonts w:ascii="Verdana" w:hAnsi="Verdana"/>
          <w:color w:val="000033"/>
          <w:sz w:val="17"/>
          <w:szCs w:val="17"/>
          <w:shd w:val="clear" w:color="auto" w:fill="FFFFFF"/>
        </w:rPr>
        <w:t xml:space="preserve">7. The feasibility cuts are not valid as written. The authors introduce penalized slack variables to preserve subproblem feasibility and then use their activation to generate cuts that discourage similar investment </w:t>
      </w:r>
      <w:proofErr w:type="gramStart"/>
      <w:r w:rsidR="00C003C6" w:rsidRPr="00C003C6">
        <w:rPr>
          <w:rFonts w:ascii="Verdana" w:hAnsi="Verdana"/>
          <w:color w:val="000033"/>
          <w:sz w:val="17"/>
          <w:szCs w:val="17"/>
          <w:shd w:val="clear" w:color="auto" w:fill="FFFFFF"/>
        </w:rPr>
        <w:t>solutions .</w:t>
      </w:r>
      <w:proofErr w:type="gramEnd"/>
      <w:r w:rsidR="00C003C6" w:rsidRPr="00C003C6">
        <w:rPr>
          <w:rFonts w:ascii="Verdana" w:hAnsi="Verdana"/>
          <w:color w:val="000033"/>
          <w:sz w:val="17"/>
          <w:szCs w:val="17"/>
          <w:shd w:val="clear" w:color="auto" w:fill="FFFFFF"/>
        </w:rPr>
        <w:t xml:space="preserve"> This is not equivalent to a standard Benders feasibility cut unless derived from a proper infeasibility certificate, such as a Farkas dual ray in a convex setting. Penalized slacks can identify that a trial solution is problematic, but they do not by themselves generate a mathematically valid feasibility cut.</w:t>
      </w:r>
      <w:r w:rsidR="00C003C6" w:rsidRPr="00C003C6">
        <w:rPr>
          <w:rFonts w:ascii="Verdana" w:hAnsi="Verdana"/>
          <w:color w:val="000033"/>
          <w:sz w:val="17"/>
          <w:szCs w:val="17"/>
        </w:rPr>
        <w:br/>
      </w:r>
      <w:r w:rsidR="00C003C6" w:rsidRPr="00C003C6">
        <w:rPr>
          <w:rFonts w:ascii="Verdana" w:hAnsi="Verdana"/>
          <w:color w:val="000033"/>
          <w:sz w:val="17"/>
          <w:szCs w:val="17"/>
        </w:rPr>
        <w:br/>
      </w:r>
      <w:r w:rsidR="00C003C6" w:rsidRPr="00C003C6">
        <w:rPr>
          <w:rFonts w:ascii="Verdana" w:hAnsi="Verdana"/>
          <w:color w:val="000033"/>
          <w:sz w:val="17"/>
          <w:szCs w:val="17"/>
          <w:shd w:val="clear" w:color="auto" w:fill="FFFFFF"/>
        </w:rPr>
        <w:t>8. The literature review must include foundational references supporting the proposed Benders-ADMM-bilevel solution methodology. e.g. 10.1016/j.est.2024.114911; 10.1109/ISGTEUROPE62998.2024.10863557; 10.1016/j.apenergy.2022.120569</w:t>
      </w:r>
      <w:r w:rsidR="00C003C6" w:rsidRPr="00C003C6">
        <w:rPr>
          <w:rFonts w:ascii="Verdana" w:hAnsi="Verdana"/>
          <w:color w:val="000033"/>
          <w:sz w:val="17"/>
          <w:szCs w:val="17"/>
        </w:rPr>
        <w:br/>
      </w:r>
      <w:r w:rsidR="00C003C6" w:rsidRPr="00C003C6">
        <w:rPr>
          <w:rFonts w:ascii="Verdana" w:hAnsi="Verdana"/>
          <w:color w:val="000033"/>
          <w:sz w:val="17"/>
          <w:szCs w:val="17"/>
        </w:rPr>
        <w:br/>
      </w:r>
      <w:r w:rsidR="00C003C6" w:rsidRPr="00C003C6">
        <w:rPr>
          <w:rFonts w:ascii="Verdana" w:hAnsi="Verdana"/>
          <w:color w:val="000033"/>
          <w:sz w:val="17"/>
          <w:szCs w:val="17"/>
          <w:shd w:val="clear" w:color="auto" w:fill="FFFFFF"/>
        </w:rPr>
        <w:t xml:space="preserve">9. The scenario treatment is conceptually problematic. The master problem defines scenario-dependent investments, then computes probability-weighted expected investment variables and passes those expected values to the </w:t>
      </w:r>
      <w:proofErr w:type="gramStart"/>
      <w:r w:rsidR="00C003C6" w:rsidRPr="00C003C6">
        <w:rPr>
          <w:rFonts w:ascii="Verdana" w:hAnsi="Verdana"/>
          <w:color w:val="000033"/>
          <w:sz w:val="17"/>
          <w:szCs w:val="17"/>
          <w:shd w:val="clear" w:color="auto" w:fill="FFFFFF"/>
        </w:rPr>
        <w:t>subproblem .</w:t>
      </w:r>
      <w:proofErr w:type="gramEnd"/>
      <w:r w:rsidR="00C003C6" w:rsidRPr="00C003C6">
        <w:rPr>
          <w:rFonts w:ascii="Verdana" w:hAnsi="Verdana"/>
          <w:color w:val="000033"/>
          <w:sz w:val="17"/>
          <w:szCs w:val="17"/>
          <w:shd w:val="clear" w:color="auto" w:fill="FFFFFF"/>
        </w:rPr>
        <w:t xml:space="preserve"> This creates a physical ambiguity: an expected battery size is not necessarily an implementable investment policy. If investment-cost uncertainty is resolved before investment, the timing of uncertainty resolution must be specified. If not, </w:t>
      </w:r>
      <w:proofErr w:type="spellStart"/>
      <w:r w:rsidR="00C003C6" w:rsidRPr="00C003C6">
        <w:rPr>
          <w:rFonts w:ascii="Verdana" w:hAnsi="Verdana"/>
          <w:color w:val="000033"/>
          <w:sz w:val="17"/>
          <w:szCs w:val="17"/>
          <w:shd w:val="clear" w:color="auto" w:fill="FFFFFF"/>
        </w:rPr>
        <w:t>nonanticipativity</w:t>
      </w:r>
      <w:proofErr w:type="spellEnd"/>
      <w:r w:rsidR="00C003C6" w:rsidRPr="00C003C6">
        <w:rPr>
          <w:rFonts w:ascii="Verdana" w:hAnsi="Verdana"/>
          <w:color w:val="000033"/>
          <w:sz w:val="17"/>
          <w:szCs w:val="17"/>
          <w:shd w:val="clear" w:color="auto" w:fill="FFFFFF"/>
        </w:rPr>
        <w:t xml:space="preserve"> constraints are required. The current averaging procedure may mix mutually exclusive scenario-specific decisions into one artificial operational plan.</w:t>
      </w:r>
      <w:r w:rsidR="00C003C6" w:rsidRPr="00C003C6">
        <w:rPr>
          <w:rFonts w:ascii="Verdana" w:hAnsi="Verdana"/>
          <w:color w:val="000033"/>
          <w:sz w:val="17"/>
          <w:szCs w:val="17"/>
        </w:rPr>
        <w:br/>
      </w:r>
      <w:r w:rsidR="00C003C6" w:rsidRPr="00C003C6">
        <w:rPr>
          <w:rFonts w:ascii="Verdana" w:hAnsi="Verdana"/>
          <w:color w:val="000033"/>
          <w:sz w:val="17"/>
          <w:szCs w:val="17"/>
        </w:rPr>
        <w:br/>
      </w:r>
      <w:r w:rsidR="00C003C6" w:rsidRPr="00C003C6">
        <w:rPr>
          <w:rFonts w:ascii="Verdana" w:hAnsi="Verdana"/>
          <w:color w:val="000033"/>
          <w:sz w:val="17"/>
          <w:szCs w:val="17"/>
          <w:shd w:val="clear" w:color="auto" w:fill="FFFFFF"/>
        </w:rPr>
        <w:t xml:space="preserve">10. The degradation model is too simplified for the strength of the claims. The paper models cycling-induced degradation as proportional to apparent-energy throughput and inversely proportional to nominal cycle </w:t>
      </w:r>
      <w:proofErr w:type="gramStart"/>
      <w:r w:rsidR="00C003C6" w:rsidRPr="00C003C6">
        <w:rPr>
          <w:rFonts w:ascii="Verdana" w:hAnsi="Verdana"/>
          <w:color w:val="000033"/>
          <w:sz w:val="17"/>
          <w:szCs w:val="17"/>
          <w:shd w:val="clear" w:color="auto" w:fill="FFFFFF"/>
        </w:rPr>
        <w:t>life .</w:t>
      </w:r>
      <w:proofErr w:type="gramEnd"/>
      <w:r w:rsidR="00C003C6" w:rsidRPr="00C003C6">
        <w:rPr>
          <w:rFonts w:ascii="Verdana" w:hAnsi="Verdana"/>
          <w:color w:val="000033"/>
          <w:sz w:val="17"/>
          <w:szCs w:val="17"/>
          <w:shd w:val="clear" w:color="auto" w:fill="FFFFFF"/>
        </w:rPr>
        <w:t xml:space="preserve"> This assumes that active and reactive power utilization can be combined into apparent-power throughput and mapped directly to battery capacity loss. That is physically questionable: reactive-power provision stresses the converter and may create losses, but it is not equivalent to electrochemical charge/discharge throughput in the same way as active energy cycling. The authors need to justify this model or separate cell degradation from converter thermal utilization.</w:t>
      </w:r>
      <w:r w:rsidR="00C003C6" w:rsidRPr="00C003C6">
        <w:rPr>
          <w:rFonts w:ascii="Verdana" w:hAnsi="Verdana"/>
          <w:color w:val="000033"/>
          <w:sz w:val="17"/>
          <w:szCs w:val="17"/>
        </w:rPr>
        <w:br/>
      </w:r>
      <w:r w:rsidR="00C003C6" w:rsidRPr="00C003C6">
        <w:rPr>
          <w:rFonts w:ascii="Verdana" w:hAnsi="Verdana"/>
          <w:color w:val="000033"/>
          <w:sz w:val="17"/>
          <w:szCs w:val="17"/>
        </w:rPr>
        <w:br/>
      </w:r>
      <w:r w:rsidR="00C003C6" w:rsidRPr="00C003C6">
        <w:rPr>
          <w:rFonts w:ascii="Verdana" w:hAnsi="Verdana"/>
          <w:color w:val="000033"/>
          <w:sz w:val="17"/>
          <w:szCs w:val="17"/>
          <w:shd w:val="clear" w:color="auto" w:fill="FFFFFF"/>
        </w:rPr>
        <w:t xml:space="preserve">11. The ESS active/reactive/apparent power relationship is unclear and potentially physically inconsistent. The manuscript defines net apparent power from charge/discharge apparent powers and then relates it to active and reactive requests through a squared </w:t>
      </w:r>
      <w:proofErr w:type="gramStart"/>
      <w:r w:rsidR="00C003C6" w:rsidRPr="00C003C6">
        <w:rPr>
          <w:rFonts w:ascii="Verdana" w:hAnsi="Verdana"/>
          <w:color w:val="000033"/>
          <w:sz w:val="17"/>
          <w:szCs w:val="17"/>
          <w:shd w:val="clear" w:color="auto" w:fill="FFFFFF"/>
        </w:rPr>
        <w:t>relation .</w:t>
      </w:r>
      <w:proofErr w:type="gramEnd"/>
      <w:r w:rsidR="00C003C6" w:rsidRPr="00C003C6">
        <w:rPr>
          <w:rFonts w:ascii="Verdana" w:hAnsi="Verdana"/>
          <w:color w:val="000033"/>
          <w:sz w:val="17"/>
          <w:szCs w:val="17"/>
          <w:shd w:val="clear" w:color="auto" w:fill="FFFFFF"/>
        </w:rPr>
        <w:t xml:space="preserve"> This loses sign information and does not explain how charging/discharging direction is determined from active power while reactive power is simultaneously provided. The formulation should explicitly distinguish active energy exchange, reactive power support, converter apparent-power limit, SOC dynamics, and degradation-driving active throughput.</w:t>
      </w:r>
      <w:r w:rsidR="00C003C6" w:rsidRPr="00C003C6">
        <w:rPr>
          <w:rFonts w:ascii="Verdana" w:hAnsi="Verdana"/>
          <w:color w:val="000033"/>
          <w:sz w:val="17"/>
          <w:szCs w:val="17"/>
        </w:rPr>
        <w:br/>
      </w:r>
      <w:r w:rsidR="00C003C6" w:rsidRPr="00C003C6">
        <w:rPr>
          <w:rFonts w:ascii="Verdana" w:hAnsi="Verdana"/>
          <w:color w:val="000033"/>
          <w:sz w:val="17"/>
          <w:szCs w:val="17"/>
        </w:rPr>
        <w:br/>
      </w:r>
      <w:r w:rsidR="00C003C6" w:rsidRPr="00C003C6">
        <w:rPr>
          <w:rFonts w:ascii="Verdana" w:hAnsi="Verdana"/>
          <w:color w:val="000033"/>
          <w:sz w:val="17"/>
          <w:szCs w:val="17"/>
          <w:shd w:val="clear" w:color="auto" w:fill="FFFFFF"/>
        </w:rPr>
        <w:t xml:space="preserve">12. The shared ESS formulation does not visibly contain standard SOC dynamics. In the presented shared ESS formulation, the key equations shown concern investment, rated capacity, available capacity, degradation, complementarity, and apparent-power </w:t>
      </w:r>
      <w:proofErr w:type="gramStart"/>
      <w:r w:rsidR="00C003C6" w:rsidRPr="00C003C6">
        <w:rPr>
          <w:rFonts w:ascii="Verdana" w:hAnsi="Verdana"/>
          <w:color w:val="000033"/>
          <w:sz w:val="17"/>
          <w:szCs w:val="17"/>
          <w:shd w:val="clear" w:color="auto" w:fill="FFFFFF"/>
        </w:rPr>
        <w:t>aggregation .</w:t>
      </w:r>
      <w:proofErr w:type="gramEnd"/>
      <w:r w:rsidR="00C003C6" w:rsidRPr="00C003C6">
        <w:rPr>
          <w:rFonts w:ascii="Verdana" w:hAnsi="Verdana"/>
          <w:color w:val="000033"/>
          <w:sz w:val="17"/>
          <w:szCs w:val="17"/>
          <w:shd w:val="clear" w:color="auto" w:fill="FFFFFF"/>
        </w:rPr>
        <w:t xml:space="preserve"> The paper should explicitly state where </w:t>
      </w:r>
      <w:r w:rsidR="00C003C6" w:rsidRPr="00C003C6">
        <w:rPr>
          <w:rFonts w:ascii="Verdana" w:hAnsi="Verdana"/>
          <w:color w:val="000033"/>
          <w:sz w:val="17"/>
          <w:szCs w:val="17"/>
          <w:shd w:val="clear" w:color="auto" w:fill="FFFFFF"/>
        </w:rPr>
        <w:lastRenderedPageBreak/>
        <w:t>SOC balance, initial/final SOC constraints, charging/discharging efficiencies, energy-capacity constraints, and power limits are enforced. If these are hidden inside the TSO/DSO models, the paper must show the coupling clearly. Otherwise, the ESS operation model is incomplete.</w:t>
      </w:r>
      <w:r w:rsidR="00C003C6" w:rsidRPr="00C003C6">
        <w:rPr>
          <w:rFonts w:ascii="Verdana" w:hAnsi="Verdana"/>
          <w:color w:val="000033"/>
          <w:sz w:val="17"/>
          <w:szCs w:val="17"/>
        </w:rPr>
        <w:br/>
      </w:r>
      <w:r w:rsidR="00C003C6" w:rsidRPr="00C003C6">
        <w:rPr>
          <w:rFonts w:ascii="Verdana" w:hAnsi="Verdana"/>
          <w:color w:val="000033"/>
          <w:sz w:val="17"/>
          <w:szCs w:val="17"/>
        </w:rPr>
        <w:br/>
      </w:r>
      <w:r w:rsidR="00C003C6" w:rsidRPr="00C003C6">
        <w:rPr>
          <w:rFonts w:ascii="Verdana" w:hAnsi="Verdana"/>
          <w:color w:val="000033"/>
          <w:sz w:val="17"/>
          <w:szCs w:val="17"/>
        </w:rPr>
        <w:br/>
      </w:r>
      <w:r w:rsidR="00C003C6" w:rsidRPr="00C003C6">
        <w:rPr>
          <w:rFonts w:ascii="Verdana" w:hAnsi="Verdana"/>
          <w:color w:val="000033"/>
          <w:sz w:val="17"/>
          <w:szCs w:val="17"/>
          <w:shd w:val="clear" w:color="auto" w:fill="FFFFFF"/>
        </w:rPr>
        <w:t xml:space="preserve">Reviewer #3: </w:t>
      </w:r>
    </w:p>
    <w:p w14:paraId="497E298E" w14:textId="080D114B" w:rsidR="00126592" w:rsidRDefault="00C003C6" w:rsidP="00BB7E12">
      <w:pPr>
        <w:pStyle w:val="pdq2pgselectionanchorcontainer"/>
        <w:rPr>
          <w:rFonts w:ascii="Verdana" w:hAnsi="Verdana"/>
          <w:color w:val="000033"/>
          <w:sz w:val="17"/>
          <w:szCs w:val="17"/>
          <w:shd w:val="clear" w:color="auto" w:fill="FFFFFF"/>
        </w:rPr>
      </w:pPr>
      <w:r w:rsidRPr="00C003C6">
        <w:rPr>
          <w:rFonts w:ascii="Verdana" w:hAnsi="Verdana"/>
          <w:color w:val="000033"/>
          <w:sz w:val="17"/>
          <w:szCs w:val="17"/>
          <w:shd w:val="clear" w:color="auto" w:fill="FFFFFF"/>
        </w:rPr>
        <w:t xml:space="preserve">1.Regarding the master-problem objective in Section 2.2.1, </w:t>
      </w:r>
      <w:proofErr w:type="gramStart"/>
      <w:r w:rsidRPr="00C003C6">
        <w:rPr>
          <w:rFonts w:ascii="Verdana" w:hAnsi="Verdana"/>
          <w:color w:val="000033"/>
          <w:sz w:val="17"/>
          <w:szCs w:val="17"/>
          <w:shd w:val="clear" w:color="auto" w:fill="FFFFFF"/>
        </w:rPr>
        <w:t>Eq.(</w:t>
      </w:r>
      <w:proofErr w:type="gramEnd"/>
      <w:r w:rsidRPr="00C003C6">
        <w:rPr>
          <w:rFonts w:ascii="Verdana" w:hAnsi="Verdana"/>
          <w:color w:val="000033"/>
          <w:sz w:val="17"/>
          <w:szCs w:val="17"/>
          <w:shd w:val="clear" w:color="auto" w:fill="FFFFFF"/>
        </w:rPr>
        <w:t>1</w:t>
      </w:r>
      <w:proofErr w:type="gramStart"/>
      <w:r w:rsidRPr="00C003C6">
        <w:rPr>
          <w:rFonts w:ascii="Verdana" w:hAnsi="Verdana"/>
          <w:color w:val="000033"/>
          <w:sz w:val="17"/>
          <w:szCs w:val="17"/>
          <w:shd w:val="clear" w:color="auto" w:fill="FFFFFF"/>
        </w:rPr>
        <w:t>):the</w:t>
      </w:r>
      <w:proofErr w:type="gramEnd"/>
      <w:r w:rsidRPr="00C003C6">
        <w:rPr>
          <w:rFonts w:ascii="Verdana" w:hAnsi="Verdana"/>
          <w:color w:val="000033"/>
          <w:sz w:val="17"/>
          <w:szCs w:val="17"/>
          <w:shd w:val="clear" w:color="auto" w:fill="FFFFFF"/>
        </w:rPr>
        <w:t xml:space="preserve"> full capital cost of each ESS investment is included, whereas no terminal or salvage value is assigned to the remaining asset at the end of the planning horizon. This is particularly problematic because the staged-investment formulation permits capacity additions in 2034 and 2037, while all ESS units are assumed to have a 15-year calendar lifetime. Hence, late-stage investments would retain substantial useful life and usable capacity beyond </w:t>
      </w:r>
      <w:proofErr w:type="gramStart"/>
      <w:r w:rsidRPr="00C003C6">
        <w:rPr>
          <w:rFonts w:ascii="Verdana" w:hAnsi="Verdana"/>
          <w:color w:val="000033"/>
          <w:sz w:val="17"/>
          <w:szCs w:val="17"/>
          <w:shd w:val="clear" w:color="auto" w:fill="FFFFFF"/>
        </w:rPr>
        <w:t>2037, but</w:t>
      </w:r>
      <w:proofErr w:type="gramEnd"/>
      <w:r w:rsidRPr="00C003C6">
        <w:rPr>
          <w:rFonts w:ascii="Verdana" w:hAnsi="Verdana"/>
          <w:color w:val="000033"/>
          <w:sz w:val="17"/>
          <w:szCs w:val="17"/>
          <w:shd w:val="clear" w:color="auto" w:fill="FFFFFF"/>
        </w:rPr>
        <w:t xml:space="preserve"> are treated as having zero terminal value. This formulation systematically penalizes late investments and may artificially drive the reported result that the entire budget is invested in the initial year. The authors should incorporate a discounted salvage-value term based on the remaining lifetime and/or terminal </w:t>
      </w:r>
      <w:proofErr w:type="spellStart"/>
      <w:r w:rsidRPr="00C003C6">
        <w:rPr>
          <w:rFonts w:ascii="Verdana" w:hAnsi="Verdana"/>
          <w:color w:val="000033"/>
          <w:sz w:val="17"/>
          <w:szCs w:val="17"/>
          <w:shd w:val="clear" w:color="auto" w:fill="FFFFFF"/>
        </w:rPr>
        <w:t>SoH</w:t>
      </w:r>
      <w:proofErr w:type="spellEnd"/>
      <w:r w:rsidRPr="00C003C6">
        <w:rPr>
          <w:rFonts w:ascii="Verdana" w:hAnsi="Verdana"/>
          <w:color w:val="000033"/>
          <w:sz w:val="17"/>
          <w:szCs w:val="17"/>
          <w:shd w:val="clear" w:color="auto" w:fill="FFFFFF"/>
        </w:rPr>
        <w:t xml:space="preserve"> and reassess its impact on investment timing and </w:t>
      </w:r>
      <w:proofErr w:type="spellStart"/>
      <w:proofErr w:type="gramStart"/>
      <w:r w:rsidRPr="00C003C6">
        <w:rPr>
          <w:rFonts w:ascii="Verdana" w:hAnsi="Verdana"/>
          <w:color w:val="000033"/>
          <w:sz w:val="17"/>
          <w:szCs w:val="17"/>
          <w:shd w:val="clear" w:color="auto" w:fill="FFFFFF"/>
        </w:rPr>
        <w:t>sizing.The</w:t>
      </w:r>
      <w:proofErr w:type="spellEnd"/>
      <w:proofErr w:type="gramEnd"/>
      <w:r w:rsidRPr="00C003C6">
        <w:rPr>
          <w:rFonts w:ascii="Verdana" w:hAnsi="Verdana"/>
          <w:color w:val="000033"/>
          <w:sz w:val="17"/>
          <w:szCs w:val="17"/>
          <w:shd w:val="clear" w:color="auto" w:fill="FFFFFF"/>
        </w:rPr>
        <w:t xml:space="preserve"> maximum and minimum charging states of the battery SOC constraint proposed in Section 2.4 are inconsistent with the maximum and minimum charging states set in Table 2 in Section 4.1. Please unify.</w:t>
      </w:r>
    </w:p>
    <w:p w14:paraId="47F13CCD" w14:textId="0CB65240" w:rsidR="00126592" w:rsidRDefault="00C003C6" w:rsidP="00BB7E12">
      <w:pPr>
        <w:pStyle w:val="pdq2pgselectionanchorcontainer"/>
        <w:rPr>
          <w:rFonts w:ascii="Verdana" w:hAnsi="Verdana"/>
          <w:color w:val="000033"/>
          <w:sz w:val="17"/>
          <w:szCs w:val="17"/>
          <w:shd w:val="clear" w:color="auto" w:fill="FFFFFF"/>
        </w:rPr>
      </w:pPr>
      <w:r w:rsidRPr="00C003C6">
        <w:rPr>
          <w:rFonts w:ascii="Verdana" w:hAnsi="Verdana"/>
          <w:color w:val="000033"/>
          <w:sz w:val="17"/>
          <w:szCs w:val="17"/>
        </w:rPr>
        <w:br/>
      </w:r>
      <w:r w:rsidRPr="00C003C6">
        <w:rPr>
          <w:rFonts w:ascii="Verdana" w:hAnsi="Verdana"/>
          <w:color w:val="000033"/>
          <w:sz w:val="17"/>
          <w:szCs w:val="17"/>
          <w:shd w:val="clear" w:color="auto" w:fill="FFFFFF"/>
        </w:rPr>
        <w:t xml:space="preserve">2.Regarding the Benders optimality cut in Section 2.2.7, Eq. (11), and the convergence claim in Section </w:t>
      </w:r>
      <w:proofErr w:type="gramStart"/>
      <w:r w:rsidRPr="00C003C6">
        <w:rPr>
          <w:rFonts w:ascii="Verdana" w:hAnsi="Verdana"/>
          <w:color w:val="000033"/>
          <w:sz w:val="17"/>
          <w:szCs w:val="17"/>
          <w:shd w:val="clear" w:color="auto" w:fill="FFFFFF"/>
        </w:rPr>
        <w:t>4.3:the</w:t>
      </w:r>
      <w:proofErr w:type="gramEnd"/>
      <w:r w:rsidRPr="00C003C6">
        <w:rPr>
          <w:rFonts w:ascii="Verdana" w:hAnsi="Verdana"/>
          <w:color w:val="000033"/>
          <w:sz w:val="17"/>
          <w:szCs w:val="17"/>
          <w:shd w:val="clear" w:color="auto" w:fill="FFFFFF"/>
        </w:rPr>
        <w:t xml:space="preserve"> operational subproblem is inherently nonconvex because it includes nonlinear AC power-flow constraints, the nonlinear </w:t>
      </w:r>
      <w:proofErr w:type="spellStart"/>
      <w:r w:rsidRPr="00C003C6">
        <w:rPr>
          <w:rFonts w:ascii="Verdana" w:hAnsi="Verdana"/>
          <w:color w:val="000033"/>
          <w:sz w:val="17"/>
          <w:szCs w:val="17"/>
          <w:shd w:val="clear" w:color="auto" w:fill="FFFFFF"/>
        </w:rPr>
        <w:t>SoH</w:t>
      </w:r>
      <w:proofErr w:type="spellEnd"/>
      <w:r w:rsidRPr="00C003C6">
        <w:rPr>
          <w:rFonts w:ascii="Verdana" w:hAnsi="Verdana"/>
          <w:color w:val="000033"/>
          <w:sz w:val="17"/>
          <w:szCs w:val="17"/>
          <w:shd w:val="clear" w:color="auto" w:fill="FFFFFF"/>
        </w:rPr>
        <w:t xml:space="preserve"> transition, charging-discharging complementarity in </w:t>
      </w:r>
      <w:proofErr w:type="spellStart"/>
      <w:r w:rsidRPr="00C003C6">
        <w:rPr>
          <w:rFonts w:ascii="Verdana" w:hAnsi="Verdana"/>
          <w:color w:val="000033"/>
          <w:sz w:val="17"/>
          <w:szCs w:val="17"/>
          <w:shd w:val="clear" w:color="auto" w:fill="FFFFFF"/>
        </w:rPr>
        <w:t>Eqs</w:t>
      </w:r>
      <w:proofErr w:type="spellEnd"/>
      <w:r w:rsidRPr="00C003C6">
        <w:rPr>
          <w:rFonts w:ascii="Verdana" w:hAnsi="Verdana"/>
          <w:color w:val="000033"/>
          <w:sz w:val="17"/>
          <w:szCs w:val="17"/>
          <w:shd w:val="clear" w:color="auto" w:fill="FFFFFF"/>
        </w:rPr>
        <w:t xml:space="preserve">. (26)-(27), and the apparent-power equality in Eq. (29). However, the manuscript does not establish that the reported sensitivity coefficients constitute valid global </w:t>
      </w:r>
      <w:proofErr w:type="spellStart"/>
      <w:r w:rsidRPr="00C003C6">
        <w:rPr>
          <w:rFonts w:ascii="Verdana" w:hAnsi="Verdana"/>
          <w:color w:val="000033"/>
          <w:sz w:val="17"/>
          <w:szCs w:val="17"/>
          <w:shd w:val="clear" w:color="auto" w:fill="FFFFFF"/>
        </w:rPr>
        <w:t>subgradients</w:t>
      </w:r>
      <w:proofErr w:type="spellEnd"/>
      <w:r w:rsidRPr="00C003C6">
        <w:rPr>
          <w:rFonts w:ascii="Verdana" w:hAnsi="Verdana"/>
          <w:color w:val="000033"/>
          <w:sz w:val="17"/>
          <w:szCs w:val="17"/>
          <w:shd w:val="clear" w:color="auto" w:fill="FFFFFF"/>
        </w:rPr>
        <w:t xml:space="preserve"> of the operational value function, nor that the ADMM-based subproblem is solved to global optimality. Consequently, Eq. (11) is not demonstrated to provide a valid global lower-bounding cut, and the upper/lower bounds and 0.50% optimality gap reported in Fig. 3 cannot presently be interpreted as a rigorous optimality certificate. The authors should provide the required convexity, strong-duality, and cut-validity arguments, or explicitly characterize the proposed scheme as a heuristic decomposition method with only local convergence </w:t>
      </w:r>
      <w:proofErr w:type="spellStart"/>
      <w:proofErr w:type="gramStart"/>
      <w:r w:rsidRPr="00C003C6">
        <w:rPr>
          <w:rFonts w:ascii="Verdana" w:hAnsi="Verdana"/>
          <w:color w:val="000033"/>
          <w:sz w:val="17"/>
          <w:szCs w:val="17"/>
          <w:shd w:val="clear" w:color="auto" w:fill="FFFFFF"/>
        </w:rPr>
        <w:t>guarantees.The</w:t>
      </w:r>
      <w:proofErr w:type="spellEnd"/>
      <w:proofErr w:type="gramEnd"/>
      <w:r w:rsidRPr="00C003C6">
        <w:rPr>
          <w:rFonts w:ascii="Verdana" w:hAnsi="Verdana"/>
          <w:color w:val="000033"/>
          <w:sz w:val="17"/>
          <w:szCs w:val="17"/>
          <w:shd w:val="clear" w:color="auto" w:fill="FFFFFF"/>
        </w:rPr>
        <w:t xml:space="preserve"> explanation of Figure 15 in Section 4.4 is not a direct conclusion. Please explain the differences between each subgraph in conjunction with the modifications made to Figure 15, rather than directly elaborating on the resulting data.</w:t>
      </w:r>
    </w:p>
    <w:p w14:paraId="47983126" w14:textId="37B222E3" w:rsidR="00126592" w:rsidRDefault="00C003C6" w:rsidP="00BB7E12">
      <w:pPr>
        <w:pStyle w:val="pdq2pgselectionanchorcontainer"/>
        <w:rPr>
          <w:rFonts w:ascii="Verdana" w:hAnsi="Verdana"/>
          <w:color w:val="000033"/>
          <w:sz w:val="17"/>
          <w:szCs w:val="17"/>
          <w:shd w:val="clear" w:color="auto" w:fill="FFFFFF"/>
        </w:rPr>
      </w:pPr>
      <w:r w:rsidRPr="00C003C6">
        <w:rPr>
          <w:rFonts w:ascii="Verdana" w:hAnsi="Verdana"/>
          <w:color w:val="000033"/>
          <w:sz w:val="17"/>
          <w:szCs w:val="17"/>
        </w:rPr>
        <w:br/>
      </w:r>
      <w:r w:rsidRPr="00C003C6">
        <w:rPr>
          <w:rFonts w:ascii="Verdana" w:hAnsi="Verdana"/>
          <w:color w:val="000033"/>
          <w:sz w:val="17"/>
          <w:szCs w:val="17"/>
          <w:shd w:val="clear" w:color="auto" w:fill="FFFFFF"/>
        </w:rPr>
        <w:t xml:space="preserve">3.Regarding </w:t>
      </w:r>
      <w:proofErr w:type="spellStart"/>
      <w:r w:rsidRPr="00C003C6">
        <w:rPr>
          <w:rFonts w:ascii="Verdana" w:hAnsi="Verdana"/>
          <w:color w:val="000033"/>
          <w:sz w:val="17"/>
          <w:szCs w:val="17"/>
          <w:shd w:val="clear" w:color="auto" w:fill="FFFFFF"/>
        </w:rPr>
        <w:t>Eqs</w:t>
      </w:r>
      <w:proofErr w:type="spellEnd"/>
      <w:r w:rsidRPr="00C003C6">
        <w:rPr>
          <w:rFonts w:ascii="Verdana" w:hAnsi="Verdana"/>
          <w:color w:val="000033"/>
          <w:sz w:val="17"/>
          <w:szCs w:val="17"/>
          <w:shd w:val="clear" w:color="auto" w:fill="FFFFFF"/>
        </w:rPr>
        <w:t xml:space="preserve">. (21)-(31) in Section 2.3.2 and Appendix A.2: the manuscript describes the evolution of </w:t>
      </w:r>
      <w:proofErr w:type="spellStart"/>
      <w:r w:rsidRPr="00C003C6">
        <w:rPr>
          <w:rFonts w:ascii="Verdana" w:hAnsi="Verdana"/>
          <w:color w:val="000033"/>
          <w:sz w:val="17"/>
          <w:szCs w:val="17"/>
          <w:shd w:val="clear" w:color="auto" w:fill="FFFFFF"/>
        </w:rPr>
        <w:t>SoH</w:t>
      </w:r>
      <w:proofErr w:type="spellEnd"/>
      <w:r w:rsidRPr="00C003C6">
        <w:rPr>
          <w:rFonts w:ascii="Verdana" w:hAnsi="Verdana"/>
          <w:color w:val="000033"/>
          <w:sz w:val="17"/>
          <w:szCs w:val="17"/>
          <w:shd w:val="clear" w:color="auto" w:fill="FFFFFF"/>
        </w:rPr>
        <w:t xml:space="preserve"> and degradation-adjusted available energy </w:t>
      </w:r>
      <w:proofErr w:type="gramStart"/>
      <w:r w:rsidRPr="00C003C6">
        <w:rPr>
          <w:rFonts w:ascii="Verdana" w:hAnsi="Verdana"/>
          <w:color w:val="000033"/>
          <w:sz w:val="17"/>
          <w:szCs w:val="17"/>
          <w:shd w:val="clear" w:color="auto" w:fill="FFFFFF"/>
        </w:rPr>
        <w:t>capacity, but</w:t>
      </w:r>
      <w:proofErr w:type="gramEnd"/>
      <w:r w:rsidRPr="00C003C6">
        <w:rPr>
          <w:rFonts w:ascii="Verdana" w:hAnsi="Verdana"/>
          <w:color w:val="000033"/>
          <w:sz w:val="17"/>
          <w:szCs w:val="17"/>
          <w:shd w:val="clear" w:color="auto" w:fill="FFFFFF"/>
        </w:rPr>
        <w:t xml:space="preserve"> does not explicitly formulate the state-of-charge variable, inter-temporal energy balance, charging/discharging efficiencies, SOC limits, or initial and terminal SOC conditions. Appendix A.2 represents the ESS physical constraints only through the generic function </w:t>
      </w:r>
      <w:proofErr w:type="gramStart"/>
      <w:r w:rsidRPr="00C003C6">
        <w:rPr>
          <w:rFonts w:ascii="Verdana" w:hAnsi="Verdana"/>
          <w:color w:val="000033"/>
          <w:sz w:val="17"/>
          <w:szCs w:val="17"/>
          <w:shd w:val="clear" w:color="auto" w:fill="FFFFFF"/>
        </w:rPr>
        <w:t>h(</w:t>
      </w:r>
      <w:proofErr w:type="gramEnd"/>
      <w:r w:rsidRPr="00C003C6">
        <w:rPr>
          <w:rFonts w:ascii="Cambria Math" w:hAnsi="Cambria Math" w:cs="Cambria Math"/>
          <w:color w:val="000033"/>
          <w:sz w:val="17"/>
          <w:szCs w:val="17"/>
          <w:shd w:val="clear" w:color="auto" w:fill="FFFFFF"/>
        </w:rPr>
        <w:t>⋅</w:t>
      </w:r>
      <w:r w:rsidRPr="00C003C6">
        <w:rPr>
          <w:rFonts w:ascii="Verdana" w:hAnsi="Verdana"/>
          <w:color w:val="000033"/>
          <w:sz w:val="17"/>
          <w:szCs w:val="17"/>
          <w:shd w:val="clear" w:color="auto" w:fill="FFFFFF"/>
        </w:rPr>
        <w:t xml:space="preserve">), which is insufficient to verify whether these essential constraints are </w:t>
      </w:r>
      <w:proofErr w:type="gramStart"/>
      <w:r w:rsidRPr="00C003C6">
        <w:rPr>
          <w:rFonts w:ascii="Verdana" w:hAnsi="Verdana"/>
          <w:color w:val="000033"/>
          <w:sz w:val="17"/>
          <w:szCs w:val="17"/>
          <w:shd w:val="clear" w:color="auto" w:fill="FFFFFF"/>
        </w:rPr>
        <w:t>actually enforced</w:t>
      </w:r>
      <w:proofErr w:type="gramEnd"/>
      <w:r w:rsidRPr="00C003C6">
        <w:rPr>
          <w:rFonts w:ascii="Verdana" w:hAnsi="Verdana"/>
          <w:color w:val="000033"/>
          <w:sz w:val="17"/>
          <w:szCs w:val="17"/>
          <w:shd w:val="clear" w:color="auto" w:fill="FFFFFF"/>
        </w:rPr>
        <w:t>. Consequently, the inter-temporal energy feasibility of the reported charging and discharging schedules cannot be established, and the formulation may permit cumulative discharge beyond the physically available stored energy. The authors should provide the complete SOC formulation and clarify how energy-state continuity is treated across time intervals, representative days, and operating scenarios.</w:t>
      </w:r>
    </w:p>
    <w:p w14:paraId="52B3E92C" w14:textId="77777777" w:rsidR="00126592" w:rsidRDefault="00C003C6" w:rsidP="00BB7E12">
      <w:pPr>
        <w:pStyle w:val="pdq2pgselectionanchorcontainer"/>
        <w:rPr>
          <w:rFonts w:ascii="Verdana" w:hAnsi="Verdana"/>
          <w:color w:val="000033"/>
          <w:sz w:val="17"/>
          <w:szCs w:val="17"/>
          <w:shd w:val="clear" w:color="auto" w:fill="FFFFFF"/>
        </w:rPr>
      </w:pPr>
      <w:r w:rsidRPr="00C003C6">
        <w:rPr>
          <w:rFonts w:ascii="Verdana" w:hAnsi="Verdana"/>
          <w:color w:val="000033"/>
          <w:sz w:val="17"/>
          <w:szCs w:val="17"/>
        </w:rPr>
        <w:br/>
      </w:r>
      <w:r w:rsidRPr="00C003C6">
        <w:rPr>
          <w:rFonts w:ascii="Verdana" w:hAnsi="Verdana"/>
          <w:color w:val="000033"/>
          <w:sz w:val="17"/>
          <w:szCs w:val="17"/>
          <w:shd w:val="clear" w:color="auto" w:fill="FFFFFF"/>
        </w:rPr>
        <w:t xml:space="preserve">4.Regarding the degradation formulation in Section 2.3.2, </w:t>
      </w:r>
      <w:proofErr w:type="spellStart"/>
      <w:r w:rsidRPr="00C003C6">
        <w:rPr>
          <w:rFonts w:ascii="Verdana" w:hAnsi="Verdana"/>
          <w:color w:val="000033"/>
          <w:sz w:val="17"/>
          <w:szCs w:val="17"/>
          <w:shd w:val="clear" w:color="auto" w:fill="FFFFFF"/>
        </w:rPr>
        <w:t>Eqs</w:t>
      </w:r>
      <w:proofErr w:type="spellEnd"/>
      <w:r w:rsidRPr="00C003C6">
        <w:rPr>
          <w:rFonts w:ascii="Verdana" w:hAnsi="Verdana"/>
          <w:color w:val="000033"/>
          <w:sz w:val="17"/>
          <w:szCs w:val="17"/>
          <w:shd w:val="clear" w:color="auto" w:fill="FFFFFF"/>
        </w:rPr>
        <w:t>. (22)-(23</w:t>
      </w:r>
      <w:proofErr w:type="gramStart"/>
      <w:r w:rsidRPr="00C003C6">
        <w:rPr>
          <w:rFonts w:ascii="Verdana" w:hAnsi="Verdana"/>
          <w:color w:val="000033"/>
          <w:sz w:val="17"/>
          <w:szCs w:val="17"/>
          <w:shd w:val="clear" w:color="auto" w:fill="FFFFFF"/>
        </w:rPr>
        <w:t>):the</w:t>
      </w:r>
      <w:proofErr w:type="gramEnd"/>
      <w:r w:rsidRPr="00C003C6">
        <w:rPr>
          <w:rFonts w:ascii="Verdana" w:hAnsi="Verdana"/>
          <w:color w:val="000033"/>
          <w:sz w:val="17"/>
          <w:szCs w:val="17"/>
          <w:shd w:val="clear" w:color="auto" w:fill="FFFFFF"/>
        </w:rPr>
        <w:t xml:space="preserve"> manuscript quantifies battery cycling degradation using apparent-energy throughput, thereby treating reactive-power provision as equivalent battery-cell charge/discharge throughput. However, cell capacity degradation is primarily driven by DC-side active-energy throughput, SOC variation, depth of discharge, and C-rate. Reactive-power provision mainly increases the AC-side current, losses, and thermal stress of the power conversion system (PCS), thereby contributing to the current- and temperature-induced aging of PCS power semiconductor devices, DC-link capacitors, and related components, rather than directly representing electrochemical cycling of the battery cells. This assumption may substantially overestimate cell degradation when the ESS provides significant reactive support and may consequently distort the optimal operating and sizing decisions. The authors should provide experimental or literature-based validation for this apparent-energy degradation proxy, or separately model battery-cell cycling degradation and PCS current/thermal aging.</w:t>
      </w:r>
    </w:p>
    <w:p w14:paraId="70C7661A" w14:textId="77777777" w:rsidR="00126592" w:rsidRDefault="00C003C6" w:rsidP="00BB7E12">
      <w:pPr>
        <w:pStyle w:val="pdq2pgselectionanchorcontainer"/>
        <w:rPr>
          <w:rFonts w:ascii="Verdana" w:hAnsi="Verdana"/>
          <w:color w:val="000033"/>
          <w:sz w:val="17"/>
          <w:szCs w:val="17"/>
          <w:shd w:val="clear" w:color="auto" w:fill="FFFFFF"/>
        </w:rPr>
      </w:pPr>
      <w:r w:rsidRPr="00C003C6">
        <w:rPr>
          <w:rFonts w:ascii="Verdana" w:hAnsi="Verdana"/>
          <w:color w:val="000033"/>
          <w:sz w:val="17"/>
          <w:szCs w:val="17"/>
        </w:rPr>
        <w:br/>
      </w:r>
      <w:r w:rsidRPr="00C003C6">
        <w:rPr>
          <w:rFonts w:ascii="Verdana" w:hAnsi="Verdana"/>
          <w:color w:val="000033"/>
          <w:sz w:val="17"/>
          <w:szCs w:val="17"/>
          <w:shd w:val="clear" w:color="auto" w:fill="FFFFFF"/>
        </w:rPr>
        <w:t xml:space="preserve">5.Regarding the degradation model in Section 2.3.2, </w:t>
      </w:r>
      <w:proofErr w:type="spellStart"/>
      <w:r w:rsidRPr="00C003C6">
        <w:rPr>
          <w:rFonts w:ascii="Verdana" w:hAnsi="Verdana"/>
          <w:color w:val="000033"/>
          <w:sz w:val="17"/>
          <w:szCs w:val="17"/>
          <w:shd w:val="clear" w:color="auto" w:fill="FFFFFF"/>
        </w:rPr>
        <w:t>Eqs</w:t>
      </w:r>
      <w:proofErr w:type="spellEnd"/>
      <w:r w:rsidRPr="00C003C6">
        <w:rPr>
          <w:rFonts w:ascii="Verdana" w:hAnsi="Verdana"/>
          <w:color w:val="000033"/>
          <w:sz w:val="17"/>
          <w:szCs w:val="17"/>
          <w:shd w:val="clear" w:color="auto" w:fill="FFFFFF"/>
        </w:rPr>
        <w:t xml:space="preserve">. (22)-(25), and the 15-year planning horizon defined in Section </w:t>
      </w:r>
      <w:proofErr w:type="gramStart"/>
      <w:r w:rsidRPr="00C003C6">
        <w:rPr>
          <w:rFonts w:ascii="Verdana" w:hAnsi="Verdana"/>
          <w:color w:val="000033"/>
          <w:sz w:val="17"/>
          <w:szCs w:val="17"/>
          <w:shd w:val="clear" w:color="auto" w:fill="FFFFFF"/>
        </w:rPr>
        <w:t>3:the</w:t>
      </w:r>
      <w:proofErr w:type="gramEnd"/>
      <w:r w:rsidRPr="00C003C6">
        <w:rPr>
          <w:rFonts w:ascii="Verdana" w:hAnsi="Verdana"/>
          <w:color w:val="000033"/>
          <w:sz w:val="17"/>
          <w:szCs w:val="17"/>
          <w:shd w:val="clear" w:color="auto" w:fill="FFFFFF"/>
        </w:rPr>
        <w:t xml:space="preserve"> manuscript considers only throughput-induced cycling degradation while completely </w:t>
      </w:r>
      <w:r w:rsidRPr="00C003C6">
        <w:rPr>
          <w:rFonts w:ascii="Verdana" w:hAnsi="Verdana"/>
          <w:color w:val="000033"/>
          <w:sz w:val="17"/>
          <w:szCs w:val="17"/>
          <w:shd w:val="clear" w:color="auto" w:fill="FFFFFF"/>
        </w:rPr>
        <w:lastRenderedPageBreak/>
        <w:t xml:space="preserve">neglecting calendar aging. Cycling degradation and calendar degradation are the two most fundamental and important mechanisms governing long-term battery capacity loss. Even under limited cycling or standby operation, batteries continue to age as a function of elapsed time, temperature, and sustained SOC level. Over a 15-year planning horizon, omitting calendar aging may substantially underestimate capacity loss and lifetime consumption, thereby overstating the long-term availability and economic value of the shared ESS. The </w:t>
      </w:r>
      <w:proofErr w:type="spellStart"/>
      <w:r w:rsidRPr="00C003C6">
        <w:rPr>
          <w:rFonts w:ascii="Verdana" w:hAnsi="Verdana"/>
          <w:color w:val="000033"/>
          <w:sz w:val="17"/>
          <w:szCs w:val="17"/>
          <w:shd w:val="clear" w:color="auto" w:fill="FFFFFF"/>
        </w:rPr>
        <w:t>SoH</w:t>
      </w:r>
      <w:proofErr w:type="spellEnd"/>
      <w:r w:rsidRPr="00C003C6">
        <w:rPr>
          <w:rFonts w:ascii="Verdana" w:hAnsi="Verdana"/>
          <w:color w:val="000033"/>
          <w:sz w:val="17"/>
          <w:szCs w:val="17"/>
          <w:shd w:val="clear" w:color="auto" w:fill="FFFFFF"/>
        </w:rPr>
        <w:t xml:space="preserve"> model should therefore incorporate both calendar and cycling degradation, and their impacts on investment timing, sizing, and degradation trajectories should be assessed through sensitivity analysis.</w:t>
      </w:r>
    </w:p>
    <w:p w14:paraId="4CB9F4C8" w14:textId="77777777" w:rsidR="00126592" w:rsidRDefault="00C003C6" w:rsidP="00BB7E12">
      <w:pPr>
        <w:pStyle w:val="pdq2pgselectionanchorcontainer"/>
        <w:rPr>
          <w:rFonts w:ascii="Verdana" w:hAnsi="Verdana"/>
          <w:color w:val="000033"/>
          <w:sz w:val="17"/>
          <w:szCs w:val="17"/>
          <w:shd w:val="clear" w:color="auto" w:fill="FFFFFF"/>
        </w:rPr>
      </w:pPr>
      <w:r w:rsidRPr="00C003C6">
        <w:rPr>
          <w:rFonts w:ascii="Verdana" w:hAnsi="Verdana"/>
          <w:color w:val="000033"/>
          <w:sz w:val="17"/>
          <w:szCs w:val="17"/>
        </w:rPr>
        <w:br/>
      </w:r>
      <w:r w:rsidRPr="00C003C6">
        <w:rPr>
          <w:rFonts w:ascii="Verdana" w:hAnsi="Verdana"/>
          <w:color w:val="000033"/>
          <w:sz w:val="17"/>
          <w:szCs w:val="17"/>
          <w:shd w:val="clear" w:color="auto" w:fill="FFFFFF"/>
        </w:rPr>
        <w:t xml:space="preserve">6.Regarding insight (iii) in Section 4.6 and the related statements in Section </w:t>
      </w:r>
      <w:proofErr w:type="gramStart"/>
      <w:r w:rsidRPr="00C003C6">
        <w:rPr>
          <w:rFonts w:ascii="Verdana" w:hAnsi="Verdana"/>
          <w:color w:val="000033"/>
          <w:sz w:val="17"/>
          <w:szCs w:val="17"/>
          <w:shd w:val="clear" w:color="auto" w:fill="FFFFFF"/>
        </w:rPr>
        <w:t>5:the</w:t>
      </w:r>
      <w:proofErr w:type="gramEnd"/>
      <w:r w:rsidRPr="00C003C6">
        <w:rPr>
          <w:rFonts w:ascii="Verdana" w:hAnsi="Verdana"/>
          <w:color w:val="000033"/>
          <w:sz w:val="17"/>
          <w:szCs w:val="17"/>
          <w:shd w:val="clear" w:color="auto" w:fill="FFFFFF"/>
        </w:rPr>
        <w:t xml:space="preserve"> manuscript claims that explicitly accounting for degradation prevents the overvaluation of shared ESS capacity and leads to more credible long-term investment decisions. However, no controlled comparison between degradation-aware and degradation-neutral planning cases is provided. The reported </w:t>
      </w:r>
      <w:proofErr w:type="spellStart"/>
      <w:r w:rsidRPr="00C003C6">
        <w:rPr>
          <w:rFonts w:ascii="Verdana" w:hAnsi="Verdana"/>
          <w:color w:val="000033"/>
          <w:sz w:val="17"/>
          <w:szCs w:val="17"/>
          <w:shd w:val="clear" w:color="auto" w:fill="FFFFFF"/>
        </w:rPr>
        <w:t>SoH</w:t>
      </w:r>
      <w:proofErr w:type="spellEnd"/>
      <w:r w:rsidRPr="00C003C6">
        <w:rPr>
          <w:rFonts w:ascii="Verdana" w:hAnsi="Verdana"/>
          <w:color w:val="000033"/>
          <w:sz w:val="17"/>
          <w:szCs w:val="17"/>
          <w:shd w:val="clear" w:color="auto" w:fill="FFFFFF"/>
        </w:rPr>
        <w:t xml:space="preserve"> trajectories and temporal-discretization sensitivity merely demonstrate that degradation is calculated; they do not establish that degradation materially changes ESS siting, sizing, investment timing, or economic valuation. A no-degradation benchmark should therefore be added, with quantitative comparisons of installed capacity, investment timing, life-cycle cost, operating benefits, and terminal available capacity.</w:t>
      </w:r>
    </w:p>
    <w:p w14:paraId="687A523F" w14:textId="77777777" w:rsidR="00126592" w:rsidRDefault="00C003C6" w:rsidP="00BB7E12">
      <w:pPr>
        <w:pStyle w:val="pdq2pgselectionanchorcontainer"/>
        <w:rPr>
          <w:rFonts w:ascii="Verdana" w:hAnsi="Verdana"/>
          <w:color w:val="000033"/>
          <w:sz w:val="17"/>
          <w:szCs w:val="17"/>
          <w:shd w:val="clear" w:color="auto" w:fill="FFFFFF"/>
        </w:rPr>
      </w:pPr>
      <w:r w:rsidRPr="00C003C6">
        <w:rPr>
          <w:rFonts w:ascii="Verdana" w:hAnsi="Verdana"/>
          <w:color w:val="000033"/>
          <w:sz w:val="17"/>
          <w:szCs w:val="17"/>
        </w:rPr>
        <w:br/>
      </w:r>
      <w:r w:rsidRPr="00C003C6">
        <w:rPr>
          <w:rFonts w:ascii="Verdana" w:hAnsi="Verdana"/>
          <w:color w:val="000033"/>
          <w:sz w:val="17"/>
          <w:szCs w:val="17"/>
          <w:shd w:val="clear" w:color="auto" w:fill="FFFFFF"/>
        </w:rPr>
        <w:t xml:space="preserve">7.Fig. 3 reports the Benders objective </w:t>
      </w:r>
      <w:proofErr w:type="gramStart"/>
      <w:r w:rsidRPr="00C003C6">
        <w:rPr>
          <w:rFonts w:ascii="Verdana" w:hAnsi="Verdana"/>
          <w:color w:val="000033"/>
          <w:sz w:val="17"/>
          <w:szCs w:val="17"/>
          <w:shd w:val="clear" w:color="auto" w:fill="FFFFFF"/>
        </w:rPr>
        <w:t>in ,</w:t>
      </w:r>
      <w:proofErr w:type="gramEnd"/>
      <w:r w:rsidRPr="00C003C6">
        <w:rPr>
          <w:rFonts w:ascii="Verdana" w:hAnsi="Verdana"/>
          <w:color w:val="000033"/>
          <w:sz w:val="17"/>
          <w:szCs w:val="17"/>
          <w:shd w:val="clear" w:color="auto" w:fill="FFFFFF"/>
        </w:rPr>
        <w:t xml:space="preserve"> whereas Table 8 provides only average daily operating costs for each representative year and the total investment budget is limited to million. However, the manuscript does not explain how these daily operating costs are converted into a planning-horizon NPV through representative-day weights, operating-scenario probabilities, representative-year expansion factors, and discounting, or how they are incorporated into the Benders </w:t>
      </w:r>
      <w:proofErr w:type="gramStart"/>
      <w:r w:rsidRPr="00C003C6">
        <w:rPr>
          <w:rFonts w:ascii="Verdana" w:hAnsi="Verdana"/>
          <w:color w:val="000033"/>
          <w:sz w:val="17"/>
          <w:szCs w:val="17"/>
          <w:shd w:val="clear" w:color="auto" w:fill="FFFFFF"/>
        </w:rPr>
        <w:t>variable .</w:t>
      </w:r>
      <w:proofErr w:type="gramEnd"/>
      <w:r w:rsidRPr="00C003C6">
        <w:rPr>
          <w:rFonts w:ascii="Verdana" w:hAnsi="Verdana"/>
          <w:color w:val="000033"/>
          <w:sz w:val="17"/>
          <w:szCs w:val="17"/>
          <w:shd w:val="clear" w:color="auto" w:fill="FFFFFF"/>
        </w:rPr>
        <w:t xml:space="preserve"> Consequently, the magnitude of the objective values, the economic consistency of the reported upper and lower bounds, and the claimed 0.50% optimality gap cannot be independently verified. The authors should provide the complete annualization and discounting formulation for operating costs and explicitly define its relationship </w:t>
      </w:r>
      <w:proofErr w:type="gramStart"/>
      <w:r w:rsidRPr="00C003C6">
        <w:rPr>
          <w:rFonts w:ascii="Verdana" w:hAnsi="Verdana"/>
          <w:color w:val="000033"/>
          <w:sz w:val="17"/>
          <w:szCs w:val="17"/>
          <w:shd w:val="clear" w:color="auto" w:fill="FFFFFF"/>
        </w:rPr>
        <w:t>with .</w:t>
      </w:r>
      <w:proofErr w:type="gramEnd"/>
    </w:p>
    <w:p w14:paraId="1BEE10C3" w14:textId="14F079B8" w:rsidR="00C003C6" w:rsidRPr="00C003C6" w:rsidRDefault="00C003C6" w:rsidP="00BB7E12">
      <w:pPr>
        <w:pStyle w:val="pdq2pgselectionanchorcontainer"/>
      </w:pPr>
      <w:r w:rsidRPr="00C003C6">
        <w:rPr>
          <w:rFonts w:ascii="Verdana" w:hAnsi="Verdana"/>
          <w:color w:val="000033"/>
          <w:sz w:val="17"/>
          <w:szCs w:val="17"/>
        </w:rPr>
        <w:br/>
      </w:r>
      <w:r w:rsidRPr="00C003C6">
        <w:rPr>
          <w:rFonts w:ascii="Verdana" w:hAnsi="Verdana"/>
          <w:color w:val="000033"/>
          <w:sz w:val="17"/>
          <w:szCs w:val="17"/>
          <w:shd w:val="clear" w:color="auto" w:fill="FFFFFF"/>
        </w:rPr>
        <w:t xml:space="preserve">8.Regarding the representative-day setting in Section 3 and the results reported in Table 8 of Section </w:t>
      </w:r>
      <w:proofErr w:type="gramStart"/>
      <w:r w:rsidRPr="00C003C6">
        <w:rPr>
          <w:rFonts w:ascii="Verdana" w:hAnsi="Verdana"/>
          <w:color w:val="000033"/>
          <w:sz w:val="17"/>
          <w:szCs w:val="17"/>
          <w:shd w:val="clear" w:color="auto" w:fill="FFFFFF"/>
        </w:rPr>
        <w:t>4.4.1:the</w:t>
      </w:r>
      <w:proofErr w:type="gramEnd"/>
      <w:r w:rsidRPr="00C003C6">
        <w:rPr>
          <w:rFonts w:ascii="Verdana" w:hAnsi="Verdana"/>
          <w:color w:val="000033"/>
          <w:sz w:val="17"/>
          <w:szCs w:val="17"/>
          <w:shd w:val="clear" w:color="auto" w:fill="FFFFFF"/>
        </w:rPr>
        <w:t xml:space="preserve"> manuscript uses only four seasonal representative days for each representative </w:t>
      </w:r>
      <w:proofErr w:type="gramStart"/>
      <w:r w:rsidRPr="00C003C6">
        <w:rPr>
          <w:rFonts w:ascii="Verdana" w:hAnsi="Verdana"/>
          <w:color w:val="000033"/>
          <w:sz w:val="17"/>
          <w:szCs w:val="17"/>
          <w:shd w:val="clear" w:color="auto" w:fill="FFFFFF"/>
        </w:rPr>
        <w:t>year, yet</w:t>
      </w:r>
      <w:proofErr w:type="gramEnd"/>
      <w:r w:rsidRPr="00C003C6">
        <w:rPr>
          <w:rFonts w:ascii="Verdana" w:hAnsi="Verdana"/>
          <w:color w:val="000033"/>
          <w:sz w:val="17"/>
          <w:szCs w:val="17"/>
          <w:shd w:val="clear" w:color="auto" w:fill="FFFFFF"/>
        </w:rPr>
        <w:t xml:space="preserve"> presents the resulting weighted averages as "annual results." This terminology may misleadingly suggest that a full-year chronological simulation has been performed. In fact, these values are annualized estimates derived from a limited set of representative days and their assigned weights, and therefore cannot capture continuous annual operation, extreme events, or inter-day SOC dynamics. The authors should consistently describe these values as "representative-day-based annual weighted estimates," explicitly report the associated weights and annualization procedure, and avoid treating them as equivalent to results from an 8760-hour chronological simulation.</w:t>
      </w:r>
    </w:p>
    <w:p w14:paraId="24BF03ED" w14:textId="77777777" w:rsidR="009C3614" w:rsidRDefault="009C3614"/>
    <w:sectPr w:rsidR="009C3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3C6"/>
    <w:rsid w:val="001123BF"/>
    <w:rsid w:val="00126592"/>
    <w:rsid w:val="001F3F40"/>
    <w:rsid w:val="0024077A"/>
    <w:rsid w:val="0025582C"/>
    <w:rsid w:val="003556EE"/>
    <w:rsid w:val="003E7F11"/>
    <w:rsid w:val="003F7CE3"/>
    <w:rsid w:val="00485BA9"/>
    <w:rsid w:val="004B7165"/>
    <w:rsid w:val="00514A86"/>
    <w:rsid w:val="00544B2C"/>
    <w:rsid w:val="005817D5"/>
    <w:rsid w:val="00596094"/>
    <w:rsid w:val="005B579B"/>
    <w:rsid w:val="005D540A"/>
    <w:rsid w:val="00650631"/>
    <w:rsid w:val="00791218"/>
    <w:rsid w:val="007B5CA2"/>
    <w:rsid w:val="00864011"/>
    <w:rsid w:val="00930711"/>
    <w:rsid w:val="0096740F"/>
    <w:rsid w:val="009C3614"/>
    <w:rsid w:val="009D1012"/>
    <w:rsid w:val="00A273B9"/>
    <w:rsid w:val="00AA4C54"/>
    <w:rsid w:val="00AC1E23"/>
    <w:rsid w:val="00AD2CD6"/>
    <w:rsid w:val="00B01400"/>
    <w:rsid w:val="00B02BDB"/>
    <w:rsid w:val="00B812C2"/>
    <w:rsid w:val="00BB7E12"/>
    <w:rsid w:val="00BF2279"/>
    <w:rsid w:val="00BF2DDC"/>
    <w:rsid w:val="00C003C6"/>
    <w:rsid w:val="00C65062"/>
    <w:rsid w:val="00D001EA"/>
    <w:rsid w:val="00D03D5C"/>
    <w:rsid w:val="00D945DA"/>
    <w:rsid w:val="00E44F2D"/>
    <w:rsid w:val="00ED063E"/>
    <w:rsid w:val="00F802DB"/>
    <w:rsid w:val="00FC7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553337"/>
  <w15:chartTrackingRefBased/>
  <w15:docId w15:val="{3E788BCA-609B-0444-A6D3-4A374D537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E1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003C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003C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003C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003C6"/>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003C6"/>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003C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003C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003C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003C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3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3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3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3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3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3C6"/>
    <w:rPr>
      <w:rFonts w:eastAsiaTheme="majorEastAsia" w:cstheme="majorBidi"/>
      <w:color w:val="272727" w:themeColor="text1" w:themeTint="D8"/>
    </w:rPr>
  </w:style>
  <w:style w:type="paragraph" w:styleId="Title">
    <w:name w:val="Title"/>
    <w:basedOn w:val="Normal"/>
    <w:next w:val="Normal"/>
    <w:link w:val="TitleChar"/>
    <w:uiPriority w:val="10"/>
    <w:qFormat/>
    <w:rsid w:val="00C003C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00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3C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00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3C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003C6"/>
    <w:rPr>
      <w:i/>
      <w:iCs/>
      <w:color w:val="404040" w:themeColor="text1" w:themeTint="BF"/>
    </w:rPr>
  </w:style>
  <w:style w:type="paragraph" w:styleId="ListParagraph">
    <w:name w:val="List Paragraph"/>
    <w:basedOn w:val="Normal"/>
    <w:uiPriority w:val="34"/>
    <w:qFormat/>
    <w:rsid w:val="00C003C6"/>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003C6"/>
    <w:rPr>
      <w:i/>
      <w:iCs/>
      <w:color w:val="0F4761" w:themeColor="accent1" w:themeShade="BF"/>
    </w:rPr>
  </w:style>
  <w:style w:type="paragraph" w:styleId="IntenseQuote">
    <w:name w:val="Intense Quote"/>
    <w:basedOn w:val="Normal"/>
    <w:next w:val="Normal"/>
    <w:link w:val="IntenseQuoteChar"/>
    <w:uiPriority w:val="30"/>
    <w:qFormat/>
    <w:rsid w:val="00C003C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003C6"/>
    <w:rPr>
      <w:i/>
      <w:iCs/>
      <w:color w:val="0F4761" w:themeColor="accent1" w:themeShade="BF"/>
    </w:rPr>
  </w:style>
  <w:style w:type="character" w:styleId="IntenseReference">
    <w:name w:val="Intense Reference"/>
    <w:basedOn w:val="DefaultParagraphFont"/>
    <w:uiPriority w:val="32"/>
    <w:qFormat/>
    <w:rsid w:val="00C003C6"/>
    <w:rPr>
      <w:b/>
      <w:bCs/>
      <w:smallCaps/>
      <w:color w:val="0F4761" w:themeColor="accent1" w:themeShade="BF"/>
      <w:spacing w:val="5"/>
    </w:rPr>
  </w:style>
  <w:style w:type="paragraph" w:customStyle="1" w:styleId="pdq2pgselectionanchorcontainer">
    <w:name w:val="pdq2pg_selectionanchorcontainer"/>
    <w:basedOn w:val="Normal"/>
    <w:rsid w:val="0024077A"/>
    <w:pPr>
      <w:spacing w:before="100" w:beforeAutospacing="1" w:after="100" w:afterAutospacing="1"/>
    </w:pPr>
  </w:style>
  <w:style w:type="paragraph" w:styleId="NormalWeb">
    <w:name w:val="Normal (Web)"/>
    <w:basedOn w:val="Normal"/>
    <w:uiPriority w:val="99"/>
    <w:semiHidden/>
    <w:unhideWhenUsed/>
    <w:rsid w:val="0024077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4141</Words>
  <Characters>23604</Characters>
  <Application>Microsoft Office Word</Application>
  <DocSecurity>0</DocSecurity>
  <Lines>196</Lines>
  <Paragraphs>55</Paragraphs>
  <ScaleCrop>false</ScaleCrop>
  <Company/>
  <LinksUpToDate>false</LinksUpToDate>
  <CharactersWithSpaces>27690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Micael Filipe Simões</dc:creator>
  <cp:keywords/>
  <dc:description/>
  <cp:lastModifiedBy>Micael Filipe Simões</cp:lastModifiedBy>
  <cp:revision>39</cp:revision>
  <dcterms:created xsi:type="dcterms:W3CDTF">2026-07-27T08:28:00Z</dcterms:created>
  <dcterms:modified xsi:type="dcterms:W3CDTF">2026-08-28T10:39:00Z</dcterms:modified>
</cp:coreProperties>
</file>