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i w:val="0"/>
          <w:color w:val="087F8C"/>
          <w:sz w:val="20"/>
        </w:rPr>
        <w:t>DOCUMENTO TÉCNICO v2.0</w:t>
      </w:r>
    </w:p>
    <w:p>
      <w:pPr>
        <w:pStyle w:val="Title"/>
      </w:pPr>
      <w:r>
        <w:rPr>
          <w:rFonts w:ascii="Calibri" w:hAnsi="Calibri"/>
          <w:b/>
          <w:i w:val="0"/>
          <w:color w:val="172126"/>
          <w:sz w:val="50"/>
        </w:rPr>
        <w:t>Sistema híbrido de modelos predictivos y adelantos</w:t>
      </w:r>
    </w:p>
    <w:p>
      <w:pPr>
        <w:pStyle w:val="Subtitle"/>
      </w:pPr>
      <w:r>
        <w:rPr>
          <w:rFonts w:ascii="Calibri" w:hAnsi="Calibri"/>
          <w:b w:val="0"/>
          <w:i w:val="0"/>
          <w:color w:val="64727A"/>
          <w:sz w:val="26"/>
        </w:rPr>
        <w:t>Financiamiento responsable para anfitriones de alquiler temporario</w:t>
      </w:r>
    </w:p>
    <w:tbl>
      <w:tblPr>
        <w:tblStyle w:val="TableGrid"/>
        <w:tblW w:type="dxa" w:w="9360"/>
        <w:tblLayout w:type="fixed"/>
        <w:tblLook w:firstColumn="1" w:firstRow="1" w:lastColumn="0" w:lastRow="0" w:noHBand="0" w:noVBand="1" w:val="04A0"/>
        <w:jc w:val="left"/>
        <w:tblInd w:type="dxa" w:w="120"/>
      </w:tblPr>
      <w:tblGrid>
        <w:gridCol w:w="1944"/>
        <w:gridCol w:w="7416"/>
      </w:tblGrid>
      <w:tr>
        <w:trPr>
          <w:cantSplit/>
          <w:tblHeader w:val="true"/>
          <w:cantSplit/>
          <w:cantSplit/>
          <w:cantSplit/>
          <w:cantSplit/>
        </w:trPr>
        <w:tc>
          <w:tcPr>
            <w:tcW w:type="dxa" w:w="1944"/>
            <w:vAlign w:val="center"/>
            <w:tcMar>
              <w:top w:w="90" w:type="dxa"/>
              <w:start w:w="120" w:type="dxa"/>
              <w:bottom w:w="90" w:type="dxa"/>
              <w:end w:w="120" w:type="dxa"/>
            </w:tcMar>
            <w:shd w:fill="087F8C"/>
          </w:tcPr>
          <w:p>
            <w:pPr>
              <w:jc w:val="left"/>
            </w:pPr>
            <w:r>
              <w:rPr>
                <w:rFonts w:ascii="Calibri" w:hAnsi="Calibri"/>
                <w:b/>
                <w:i w:val="0"/>
                <w:color w:val="FFFFFF"/>
                <w:sz w:val="19"/>
              </w:rPr>
              <w:t>Campo</w:t>
            </w:r>
          </w:p>
        </w:tc>
        <w:tc>
          <w:tcPr>
            <w:tcW w:type="dxa" w:w="7416"/>
            <w:vAlign w:val="center"/>
            <w:tcMar>
              <w:top w:w="90" w:type="dxa"/>
              <w:start w:w="120" w:type="dxa"/>
              <w:bottom w:w="90" w:type="dxa"/>
              <w:end w:w="120" w:type="dxa"/>
            </w:tcMar>
            <w:shd w:fill="087F8C"/>
          </w:tcPr>
          <w:p>
            <w:pPr>
              <w:jc w:val="left"/>
            </w:pPr>
            <w:r>
              <w:rPr>
                <w:rFonts w:ascii="Calibri" w:hAnsi="Calibri"/>
                <w:b/>
                <w:i w:val="0"/>
                <w:color w:val="FFFFFF"/>
                <w:sz w:val="19"/>
              </w:rPr>
              <w:t>Definición</w:t>
            </w:r>
          </w:p>
        </w:tc>
      </w:tr>
      <w:tr>
        <w:trPr>
          <w:cantSplit/>
          <w:cantSplit/>
          <w:cantSplit/>
          <w:cantSplit/>
        </w:trPr>
        <w:tc>
          <w:tcPr>
            <w:tcW w:type="dxa" w:w="1944"/>
            <w:shd w:fill="FFFFFF"/>
            <w:vAlign w:val="center"/>
            <w:tcMar>
              <w:top w:w="90" w:type="dxa"/>
              <w:start w:w="120" w:type="dxa"/>
              <w:bottom w:w="90" w:type="dxa"/>
              <w:end w:w="120" w:type="dxa"/>
            </w:tcMar>
          </w:tcPr>
          <w:p>
            <w:pPr>
              <w:spacing w:after="0"/>
            </w:pPr>
            <w:r>
              <w:rPr>
                <w:rFonts w:ascii="Calibri" w:hAnsi="Calibri"/>
                <w:b w:val="0"/>
                <w:i w:val="0"/>
                <w:color w:val="172126"/>
                <w:sz w:val="19"/>
              </w:rPr>
              <w:t>Producto</w:t>
            </w:r>
          </w:p>
        </w:tc>
        <w:tc>
          <w:tcPr>
            <w:tcW w:type="dxa" w:w="7416"/>
            <w:shd w:fill="FFFFFF"/>
            <w:vAlign w:val="center"/>
            <w:tcMar>
              <w:top w:w="90" w:type="dxa"/>
              <w:start w:w="120" w:type="dxa"/>
              <w:bottom w:w="90" w:type="dxa"/>
              <w:end w:w="120" w:type="dxa"/>
            </w:tcMar>
          </w:tcPr>
          <w:p>
            <w:pPr>
              <w:spacing w:after="0"/>
            </w:pPr>
            <w:r>
              <w:rPr>
                <w:rFonts w:ascii="Calibri" w:hAnsi="Calibri"/>
                <w:b w:val="0"/>
                <w:i w:val="0"/>
                <w:color w:val="172126"/>
                <w:sz w:val="19"/>
              </w:rPr>
              <w:t>FlowRent: adelanto opt-in de cobros futuros</w:t>
            </w:r>
          </w:p>
        </w:tc>
      </w:tr>
      <w:tr>
        <w:trPr>
          <w:cantSplit/>
          <w:cantSplit/>
          <w:cantSplit/>
        </w:trPr>
        <w:tc>
          <w:tcPr>
            <w:tcW w:type="dxa" w:w="1944"/>
            <w:shd w:fill="F2F6F7"/>
            <w:vAlign w:val="center"/>
            <w:tcMar>
              <w:top w:w="90" w:type="dxa"/>
              <w:start w:w="120" w:type="dxa"/>
              <w:bottom w:w="90" w:type="dxa"/>
              <w:end w:w="120" w:type="dxa"/>
            </w:tcMar>
          </w:tcPr>
          <w:p>
            <w:pPr>
              <w:spacing w:after="0"/>
            </w:pPr>
            <w:r>
              <w:rPr>
                <w:rFonts w:ascii="Calibri" w:hAnsi="Calibri"/>
                <w:b w:val="0"/>
                <w:i w:val="0"/>
                <w:color w:val="172126"/>
                <w:sz w:val="19"/>
              </w:rPr>
              <w:t>Versión</w:t>
            </w:r>
          </w:p>
        </w:tc>
        <w:tc>
          <w:tcPr>
            <w:tcW w:type="dxa" w:w="7416"/>
            <w:shd w:fill="F2F6F7"/>
            <w:vAlign w:val="center"/>
            <w:tcMar>
              <w:top w:w="90" w:type="dxa"/>
              <w:start w:w="120" w:type="dxa"/>
              <w:bottom w:w="90" w:type="dxa"/>
              <w:end w:w="120" w:type="dxa"/>
            </w:tcMar>
          </w:tcPr>
          <w:p>
            <w:pPr>
              <w:spacing w:after="0"/>
            </w:pPr>
            <w:r>
              <w:rPr>
                <w:rFonts w:ascii="Calibri" w:hAnsi="Calibri"/>
                <w:b w:val="0"/>
                <w:i w:val="0"/>
                <w:color w:val="172126"/>
                <w:sz w:val="19"/>
              </w:rPr>
              <w:t>2.0 — arquitectura híbrida</w:t>
            </w:r>
          </w:p>
        </w:tc>
      </w:tr>
      <w:tr>
        <w:trPr>
          <w:cantSplit/>
          <w:cantSplit/>
        </w:trPr>
        <w:tc>
          <w:tcPr>
            <w:tcW w:type="dxa" w:w="1944"/>
            <w:shd w:fill="FFFFFF"/>
            <w:vAlign w:val="center"/>
            <w:tcMar>
              <w:top w:w="90" w:type="dxa"/>
              <w:start w:w="120" w:type="dxa"/>
              <w:bottom w:w="90" w:type="dxa"/>
              <w:end w:w="120" w:type="dxa"/>
            </w:tcMar>
          </w:tcPr>
          <w:p>
            <w:pPr>
              <w:spacing w:after="0"/>
            </w:pPr>
            <w:r>
              <w:rPr>
                <w:rFonts w:ascii="Calibri" w:hAnsi="Calibri"/>
                <w:b w:val="0"/>
                <w:i w:val="0"/>
                <w:color w:val="172126"/>
                <w:sz w:val="19"/>
              </w:rPr>
              <w:t>Fecha</w:t>
            </w:r>
          </w:p>
        </w:tc>
        <w:tc>
          <w:tcPr>
            <w:tcW w:type="dxa" w:w="7416"/>
            <w:shd w:fill="FFFFFF"/>
            <w:vAlign w:val="center"/>
            <w:tcMar>
              <w:top w:w="90" w:type="dxa"/>
              <w:start w:w="120" w:type="dxa"/>
              <w:bottom w:w="90" w:type="dxa"/>
              <w:end w:w="120" w:type="dxa"/>
            </w:tcMar>
          </w:tcPr>
          <w:p>
            <w:pPr>
              <w:spacing w:after="0"/>
            </w:pPr>
            <w:r>
              <w:rPr>
                <w:rFonts w:ascii="Calibri" w:hAnsi="Calibri"/>
                <w:b w:val="0"/>
                <w:i w:val="0"/>
                <w:color w:val="172126"/>
                <w:sz w:val="19"/>
              </w:rPr>
              <w:t>6 de junio de 2026</w:t>
            </w:r>
          </w:p>
        </w:tc>
      </w:tr>
      <w:tr>
        <w:trPr>
          <w:cantSplit/>
        </w:trPr>
        <w:tc>
          <w:tcPr>
            <w:tcW w:type="dxa" w:w="1944"/>
            <w:shd w:fill="F2F6F7"/>
            <w:vAlign w:val="center"/>
            <w:tcMar>
              <w:top w:w="90" w:type="dxa"/>
              <w:start w:w="120" w:type="dxa"/>
              <w:bottom w:w="90" w:type="dxa"/>
              <w:end w:w="120" w:type="dxa"/>
            </w:tcMar>
          </w:tcPr>
          <w:p>
            <w:pPr>
              <w:spacing w:after="0"/>
            </w:pPr>
            <w:r>
              <w:rPr>
                <w:rFonts w:ascii="Calibri" w:hAnsi="Calibri"/>
                <w:b w:val="0"/>
                <w:i w:val="0"/>
                <w:color w:val="172126"/>
                <w:sz w:val="19"/>
              </w:rPr>
              <w:t>Estado</w:t>
            </w:r>
          </w:p>
        </w:tc>
        <w:tc>
          <w:tcPr>
            <w:tcW w:type="dxa" w:w="7416"/>
            <w:shd w:fill="F2F6F7"/>
            <w:vAlign w:val="center"/>
            <w:tcMar>
              <w:top w:w="90" w:type="dxa"/>
              <w:start w:w="120" w:type="dxa"/>
              <w:bottom w:w="90" w:type="dxa"/>
              <w:end w:w="120" w:type="dxa"/>
            </w:tcMar>
          </w:tcPr>
          <w:p>
            <w:pPr>
              <w:spacing w:after="0"/>
            </w:pPr>
            <w:r>
              <w:rPr>
                <w:rFonts w:ascii="Calibri" w:hAnsi="Calibri"/>
                <w:b w:val="0"/>
                <w:i w:val="0"/>
                <w:color w:val="172126"/>
                <w:sz w:val="19"/>
              </w:rPr>
              <w:t>MVP explicable con ruta de calibración</w:t>
            </w:r>
          </w:p>
        </w:tc>
      </w:tr>
    </w:tbl>
    <w:p>
      <w:pPr>
        <w:spacing w:after="20"/>
      </w:pPr>
    </w:p>
    <w:p>
      <w:pPr>
        <w:spacing w:before="80" w:after="200"/>
        <w:ind w:left="259" w:right="259"/>
        <w:shd w:fill="EAF0FF"/>
      </w:pPr>
      <w:r>
        <w:rPr>
          <w:rFonts w:ascii="Calibri" w:hAnsi="Calibri"/>
          <w:b/>
          <w:i w:val="0"/>
          <w:color w:val="075965"/>
          <w:sz w:val="22"/>
        </w:rPr>
        <w:t xml:space="preserve">Decisión principal: </w:t>
      </w:r>
      <w:r>
        <w:rPr>
          <w:rFonts w:ascii="Calibri" w:hAnsi="Calibri"/>
          <w:b w:val="0"/>
          <w:i w:val="0"/>
          <w:color w:val="172126"/>
          <w:sz w:val="22"/>
        </w:rPr>
        <w:t>No reemplazar el score experto por modelos no entrenados. El MVP conserva reglas, P10 y retención; agrega una PD proxy claramente etiquetada, pricing explicable y un plan de calibración con resultados reales.</w:t>
      </w:r>
    </w:p>
    <w:p>
      <w:pPr>
        <w:pStyle w:val="Heading1"/>
      </w:pPr>
      <w:r>
        <w:t>Resumen ejecutivo</w:t>
      </w:r>
    </w:p>
    <w:p>
      <w:pPr>
        <w:spacing w:after="120" w:line="264" w:lineRule="auto"/>
      </w:pPr>
      <w:r>
        <w:rPr>
          <w:rFonts w:ascii="Calibri" w:hAnsi="Calibri"/>
          <w:b w:val="0"/>
          <w:i w:val="0"/>
          <w:color w:val="172126"/>
          <w:sz w:val="22"/>
        </w:rPr>
        <w:t>El sistema ejecuta capas complementarias. Primero excluye riesgos que no deben compensarse con un promedio. Luego resume la solidez del host con un score explicable, lo convierte temporalmente en una PD proxy, calcula cuánto flujo futuro puede recuperarse y finalmente compara el fee contractual con un precio sugerido.</w:t>
      </w:r>
    </w:p>
    <w:p>
      <w:pPr>
        <w:spacing w:before="80" w:after="160"/>
        <w:ind w:left="259" w:right="259"/>
        <w:shd w:fill="EAF0FF"/>
      </w:pPr>
      <w:r>
        <w:rPr>
          <w:rFonts w:ascii="Consolas" w:hAnsi="Consolas"/>
          <w:b/>
          <w:i w:val="0"/>
          <w:color w:val="075965"/>
          <w:sz w:val="20"/>
        </w:rPr>
        <w:t>Reglas duras → Score experto → PD → P10 + retención → Monto → Pricing → Monitoreo</w:t>
      </w:r>
    </w:p>
    <w:p>
      <w:pPr>
        <w:spacing w:after="120" w:line="264" w:lineRule="auto"/>
      </w:pPr>
      <w:r>
        <w:rPr>
          <w:rFonts w:ascii="Calibri" w:hAnsi="Calibri"/>
          <w:b w:val="0"/>
          <w:i w:val="0"/>
          <w:color w:val="172126"/>
          <w:sz w:val="22"/>
        </w:rPr>
        <w:t>El diferencial no es solamente predecir quién pagará. La plataforma observa reservas, fechas de payout y reputación, y puede recuperar el adelanto dentro del mismo flujo de pagos.</w:t>
      </w:r>
    </w:p>
    <w:p>
      <w:r>
        <w:br w:type="page"/>
      </w:r>
    </w:p>
    <w:p>
      <w:pPr>
        <w:pStyle w:val="Heading1"/>
      </w:pPr>
      <w:r>
        <w:t>1. Arquitectura completa</w:t>
      </w:r>
    </w:p>
    <w:tbl>
      <w:tblPr>
        <w:tblStyle w:val="TableGrid"/>
        <w:tblW w:type="dxa" w:w="9360"/>
        <w:tblLayout w:type="fixed"/>
        <w:tblLook w:firstColumn="1" w:firstRow="1" w:lastColumn="0" w:lastRow="0" w:noHBand="0" w:noVBand="1" w:val="04A0"/>
        <w:jc w:val="left"/>
        <w:tblInd w:type="dxa" w:w="120"/>
      </w:tblPr>
      <w:tblGrid>
        <w:gridCol w:w="1800"/>
        <w:gridCol w:w="4608"/>
        <w:gridCol w:w="2952"/>
      </w:tblGrid>
      <w:tr>
        <w:trPr>
          <w:cantSplit/>
          <w:tblHeader w:val="true"/>
          <w:cantSplit/>
          <w:cantSplit/>
          <w:cantSplit/>
          <w:cantSplit/>
          <w:cantSplit/>
        </w:trPr>
        <w:tc>
          <w:tcPr>
            <w:tcW w:type="dxa" w:w="1800"/>
            <w:vAlign w:val="center"/>
            <w:tcMar>
              <w:top w:w="90" w:type="dxa"/>
              <w:start w:w="120" w:type="dxa"/>
              <w:bottom w:w="90" w:type="dxa"/>
              <w:end w:w="120" w:type="dxa"/>
            </w:tcMar>
            <w:shd w:fill="087F8C"/>
          </w:tcPr>
          <w:p>
            <w:pPr>
              <w:jc w:val="left"/>
            </w:pPr>
            <w:r>
              <w:rPr>
                <w:rFonts w:ascii="Calibri" w:hAnsi="Calibri"/>
                <w:b/>
                <w:i w:val="0"/>
                <w:color w:val="FFFFFF"/>
                <w:sz w:val="19"/>
              </w:rPr>
              <w:t>Capa</w:t>
            </w:r>
          </w:p>
        </w:tc>
        <w:tc>
          <w:tcPr>
            <w:tcW w:type="dxa" w:w="4608"/>
            <w:vAlign w:val="center"/>
            <w:tcMar>
              <w:top w:w="90" w:type="dxa"/>
              <w:start w:w="120" w:type="dxa"/>
              <w:bottom w:w="90" w:type="dxa"/>
              <w:end w:w="120" w:type="dxa"/>
            </w:tcMar>
            <w:shd w:fill="087F8C"/>
          </w:tcPr>
          <w:p>
            <w:pPr>
              <w:jc w:val="left"/>
            </w:pPr>
            <w:r>
              <w:rPr>
                <w:rFonts w:ascii="Calibri" w:hAnsi="Calibri"/>
                <w:b/>
                <w:i w:val="0"/>
                <w:color w:val="FFFFFF"/>
                <w:sz w:val="19"/>
              </w:rPr>
              <w:t>Pregunta</w:t>
            </w:r>
          </w:p>
        </w:tc>
        <w:tc>
          <w:tcPr>
            <w:tcW w:type="dxa" w:w="2952"/>
            <w:vAlign w:val="center"/>
            <w:tcMar>
              <w:top w:w="90" w:type="dxa"/>
              <w:start w:w="120" w:type="dxa"/>
              <w:bottom w:w="90" w:type="dxa"/>
              <w:end w:w="120" w:type="dxa"/>
            </w:tcMar>
            <w:shd w:fill="087F8C"/>
          </w:tcPr>
          <w:p>
            <w:pPr>
              <w:jc w:val="left"/>
            </w:pPr>
            <w:r>
              <w:rPr>
                <w:rFonts w:ascii="Calibri" w:hAnsi="Calibri"/>
                <w:b/>
                <w:i w:val="0"/>
                <w:color w:val="FFFFFF"/>
                <w:sz w:val="19"/>
              </w:rPr>
              <w:t>Salida</w:t>
            </w:r>
          </w:p>
        </w:tc>
      </w:tr>
      <w:tr>
        <w:trPr>
          <w:cantSplit/>
          <w:cantSplit/>
          <w:cantSplit/>
          <w:cantSplit/>
          <w:cantSplit/>
        </w:trPr>
        <w:tc>
          <w:tcPr>
            <w:tcW w:type="dxa" w:w="1800"/>
            <w:shd w:fill="FFFFFF"/>
            <w:vAlign w:val="center"/>
            <w:tcMar>
              <w:top w:w="90" w:type="dxa"/>
              <w:start w:w="120" w:type="dxa"/>
              <w:bottom w:w="90" w:type="dxa"/>
              <w:end w:w="120" w:type="dxa"/>
            </w:tcMar>
          </w:tcPr>
          <w:p>
            <w:pPr>
              <w:spacing w:after="0"/>
            </w:pPr>
            <w:r>
              <w:rPr>
                <w:rFonts w:ascii="Calibri" w:hAnsi="Calibri"/>
                <w:b w:val="0"/>
                <w:i w:val="0"/>
                <w:color w:val="172126"/>
                <w:sz w:val="19"/>
              </w:rPr>
              <w:t>0. Reglas duras</w:t>
            </w:r>
          </w:p>
        </w:tc>
        <w:tc>
          <w:tcPr>
            <w:tcW w:type="dxa" w:w="4608"/>
            <w:shd w:fill="FFFFFF"/>
            <w:vAlign w:val="center"/>
            <w:tcMar>
              <w:top w:w="90" w:type="dxa"/>
              <w:start w:w="120" w:type="dxa"/>
              <w:bottom w:w="90" w:type="dxa"/>
              <w:end w:w="120" w:type="dxa"/>
            </w:tcMar>
          </w:tcPr>
          <w:p>
            <w:pPr>
              <w:spacing w:after="0"/>
            </w:pPr>
            <w:r>
              <w:rPr>
                <w:rFonts w:ascii="Calibri" w:hAnsi="Calibri"/>
                <w:b w:val="0"/>
                <w:i w:val="0"/>
                <w:color w:val="172126"/>
                <w:sz w:val="19"/>
              </w:rPr>
              <w:t>¿Existe una condición excluyente?</w:t>
            </w:r>
          </w:p>
        </w:tc>
        <w:tc>
          <w:tcPr>
            <w:tcW w:type="dxa" w:w="2952"/>
            <w:shd w:fill="FFFFFF"/>
            <w:vAlign w:val="center"/>
            <w:tcMar>
              <w:top w:w="90" w:type="dxa"/>
              <w:start w:w="120" w:type="dxa"/>
              <w:bottom w:w="90" w:type="dxa"/>
              <w:end w:w="120" w:type="dxa"/>
            </w:tcMar>
          </w:tcPr>
          <w:p>
            <w:pPr>
              <w:spacing w:after="0"/>
            </w:pPr>
            <w:r>
              <w:rPr>
                <w:rFonts w:ascii="Calibri" w:hAnsi="Calibri"/>
                <w:b w:val="0"/>
                <w:i w:val="0"/>
                <w:color w:val="172126"/>
                <w:sz w:val="19"/>
              </w:rPr>
              <w:t>Rechazo o revisión</w:t>
            </w:r>
          </w:p>
        </w:tc>
      </w:tr>
      <w:tr>
        <w:trPr>
          <w:cantSplit/>
          <w:cantSplit/>
          <w:cantSplit/>
          <w:cantSplit/>
        </w:trPr>
        <w:tc>
          <w:tcPr>
            <w:tcW w:type="dxa" w:w="1800"/>
            <w:shd w:fill="F2F6F7"/>
            <w:vAlign w:val="center"/>
            <w:tcMar>
              <w:top w:w="90" w:type="dxa"/>
              <w:start w:w="120" w:type="dxa"/>
              <w:bottom w:w="90" w:type="dxa"/>
              <w:end w:w="120" w:type="dxa"/>
            </w:tcMar>
          </w:tcPr>
          <w:p>
            <w:pPr>
              <w:spacing w:after="0"/>
            </w:pPr>
            <w:r>
              <w:rPr>
                <w:rFonts w:ascii="Calibri" w:hAnsi="Calibri"/>
                <w:b w:val="0"/>
                <w:i w:val="0"/>
                <w:color w:val="172126"/>
                <w:sz w:val="19"/>
              </w:rPr>
              <w:t>1. Riesgo</w:t>
            </w:r>
          </w:p>
        </w:tc>
        <w:tc>
          <w:tcPr>
            <w:tcW w:type="dxa" w:w="4608"/>
            <w:shd w:fill="F2F6F7"/>
            <w:vAlign w:val="center"/>
            <w:tcMar>
              <w:top w:w="90" w:type="dxa"/>
              <w:start w:w="120" w:type="dxa"/>
              <w:bottom w:w="90" w:type="dxa"/>
              <w:end w:w="120" w:type="dxa"/>
            </w:tcMar>
          </w:tcPr>
          <w:p>
            <w:pPr>
              <w:spacing w:after="0"/>
            </w:pPr>
            <w:r>
              <w:rPr>
                <w:rFonts w:ascii="Calibri" w:hAnsi="Calibri"/>
                <w:b w:val="0"/>
                <w:i w:val="0"/>
                <w:color w:val="172126"/>
                <w:sz w:val="19"/>
              </w:rPr>
              <w:t>¿Qué tan probable es un incumplimiento?</w:t>
            </w:r>
          </w:p>
        </w:tc>
        <w:tc>
          <w:tcPr>
            <w:tcW w:type="dxa" w:w="2952"/>
            <w:shd w:fill="F2F6F7"/>
            <w:vAlign w:val="center"/>
            <w:tcMar>
              <w:top w:w="90" w:type="dxa"/>
              <w:start w:w="120" w:type="dxa"/>
              <w:bottom w:w="90" w:type="dxa"/>
              <w:end w:w="120" w:type="dxa"/>
            </w:tcMar>
          </w:tcPr>
          <w:p>
            <w:pPr>
              <w:spacing w:after="0"/>
            </w:pPr>
            <w:r>
              <w:rPr>
                <w:rFonts w:ascii="Calibri" w:hAnsi="Calibri"/>
                <w:b w:val="0"/>
                <w:i w:val="0"/>
                <w:color w:val="172126"/>
                <w:sz w:val="19"/>
              </w:rPr>
              <w:t>Score + PD 12m</w:t>
            </w:r>
          </w:p>
        </w:tc>
      </w:tr>
      <w:tr>
        <w:trPr>
          <w:cantSplit/>
          <w:cantSplit/>
          <w:cantSplit/>
        </w:trPr>
        <w:tc>
          <w:tcPr>
            <w:tcW w:type="dxa" w:w="1800"/>
            <w:shd w:fill="FFFFFF"/>
            <w:vAlign w:val="center"/>
            <w:tcMar>
              <w:top w:w="90" w:type="dxa"/>
              <w:start w:w="120" w:type="dxa"/>
              <w:bottom w:w="90" w:type="dxa"/>
              <w:end w:w="120" w:type="dxa"/>
            </w:tcMar>
          </w:tcPr>
          <w:p>
            <w:pPr>
              <w:spacing w:after="0"/>
            </w:pPr>
            <w:r>
              <w:rPr>
                <w:rFonts w:ascii="Calibri" w:hAnsi="Calibri"/>
                <w:b w:val="0"/>
                <w:i w:val="0"/>
                <w:color w:val="172126"/>
                <w:sz w:val="19"/>
              </w:rPr>
              <w:t>2. Recuperabilidad</w:t>
            </w:r>
          </w:p>
        </w:tc>
        <w:tc>
          <w:tcPr>
            <w:tcW w:type="dxa" w:w="4608"/>
            <w:shd w:fill="FFFFFF"/>
            <w:vAlign w:val="center"/>
            <w:tcMar>
              <w:top w:w="90" w:type="dxa"/>
              <w:start w:w="120" w:type="dxa"/>
              <w:bottom w:w="90" w:type="dxa"/>
              <w:end w:w="120" w:type="dxa"/>
            </w:tcMar>
          </w:tcPr>
          <w:p>
            <w:pPr>
              <w:spacing w:after="0"/>
            </w:pPr>
            <w:r>
              <w:rPr>
                <w:rFonts w:ascii="Calibri" w:hAnsi="Calibri"/>
                <w:b w:val="0"/>
                <w:i w:val="0"/>
                <w:color w:val="172126"/>
                <w:sz w:val="19"/>
              </w:rPr>
              <w:t>¿Cuánto puede retenerse sin sobreexponer?</w:t>
            </w:r>
          </w:p>
        </w:tc>
        <w:tc>
          <w:tcPr>
            <w:tcW w:type="dxa" w:w="2952"/>
            <w:shd w:fill="FFFFFF"/>
            <w:vAlign w:val="center"/>
            <w:tcMar>
              <w:top w:w="90" w:type="dxa"/>
              <w:start w:w="120" w:type="dxa"/>
              <w:bottom w:w="90" w:type="dxa"/>
              <w:end w:w="120" w:type="dxa"/>
            </w:tcMar>
          </w:tcPr>
          <w:p>
            <w:pPr>
              <w:spacing w:after="0"/>
            </w:pPr>
            <w:r>
              <w:rPr>
                <w:rFonts w:ascii="Calibri" w:hAnsi="Calibri"/>
                <w:b w:val="0"/>
                <w:i w:val="0"/>
                <w:color w:val="172126"/>
                <w:sz w:val="19"/>
              </w:rPr>
              <w:t>Tope P10 y cobertura visible</w:t>
            </w:r>
          </w:p>
        </w:tc>
      </w:tr>
      <w:tr>
        <w:trPr>
          <w:cantSplit/>
          <w:cantSplit/>
        </w:trPr>
        <w:tc>
          <w:tcPr>
            <w:tcW w:type="dxa" w:w="1800"/>
            <w:shd w:fill="F2F6F7"/>
            <w:vAlign w:val="center"/>
            <w:tcMar>
              <w:top w:w="90" w:type="dxa"/>
              <w:start w:w="120" w:type="dxa"/>
              <w:bottom w:w="90" w:type="dxa"/>
              <w:end w:w="120" w:type="dxa"/>
            </w:tcMar>
          </w:tcPr>
          <w:p>
            <w:pPr>
              <w:spacing w:after="0"/>
            </w:pPr>
            <w:r>
              <w:rPr>
                <w:rFonts w:ascii="Calibri" w:hAnsi="Calibri"/>
                <w:b w:val="0"/>
                <w:i w:val="0"/>
                <w:color w:val="172126"/>
                <w:sz w:val="19"/>
              </w:rPr>
              <w:t>3. Pricing</w:t>
            </w:r>
          </w:p>
        </w:tc>
        <w:tc>
          <w:tcPr>
            <w:tcW w:type="dxa" w:w="4608"/>
            <w:shd w:fill="F2F6F7"/>
            <w:vAlign w:val="center"/>
            <w:tcMar>
              <w:top w:w="90" w:type="dxa"/>
              <w:start w:w="120" w:type="dxa"/>
              <w:bottom w:w="90" w:type="dxa"/>
              <w:end w:w="120" w:type="dxa"/>
            </w:tcMar>
          </w:tcPr>
          <w:p>
            <w:pPr>
              <w:spacing w:after="0"/>
            </w:pPr>
            <w:r>
              <w:rPr>
                <w:rFonts w:ascii="Calibri" w:hAnsi="Calibri"/>
                <w:b w:val="0"/>
                <w:i w:val="0"/>
                <w:color w:val="172126"/>
                <w:sz w:val="19"/>
              </w:rPr>
              <w:t>¿Qué precio cubre costo, riesgo y margen?</w:t>
            </w:r>
          </w:p>
        </w:tc>
        <w:tc>
          <w:tcPr>
            <w:tcW w:type="dxa" w:w="2952"/>
            <w:shd w:fill="F2F6F7"/>
            <w:vAlign w:val="center"/>
            <w:tcMar>
              <w:top w:w="90" w:type="dxa"/>
              <w:start w:w="120" w:type="dxa"/>
              <w:bottom w:w="90" w:type="dxa"/>
              <w:end w:w="120" w:type="dxa"/>
            </w:tcMar>
          </w:tcPr>
          <w:p>
            <w:pPr>
              <w:spacing w:after="0"/>
            </w:pPr>
            <w:r>
              <w:rPr>
                <w:rFonts w:ascii="Calibri" w:hAnsi="Calibri"/>
                <w:b w:val="0"/>
                <w:i w:val="0"/>
                <w:color w:val="172126"/>
                <w:sz w:val="19"/>
              </w:rPr>
              <w:t>Fee sugerido</w:t>
            </w:r>
          </w:p>
        </w:tc>
      </w:tr>
      <w:tr>
        <w:trPr>
          <w:cantSplit/>
        </w:trPr>
        <w:tc>
          <w:tcPr>
            <w:tcW w:type="dxa" w:w="1800"/>
            <w:shd w:fill="FFFFFF"/>
            <w:vAlign w:val="center"/>
            <w:tcMar>
              <w:top w:w="90" w:type="dxa"/>
              <w:start w:w="120" w:type="dxa"/>
              <w:bottom w:w="90" w:type="dxa"/>
              <w:end w:w="120" w:type="dxa"/>
            </w:tcMar>
          </w:tcPr>
          <w:p>
            <w:pPr>
              <w:spacing w:after="0"/>
            </w:pPr>
            <w:r>
              <w:rPr>
                <w:rFonts w:ascii="Calibri" w:hAnsi="Calibri"/>
                <w:b w:val="0"/>
                <w:i w:val="0"/>
                <w:color w:val="172126"/>
                <w:sz w:val="19"/>
              </w:rPr>
              <w:t>4. Monitoreo</w:t>
            </w:r>
          </w:p>
        </w:tc>
        <w:tc>
          <w:tcPr>
            <w:tcW w:type="dxa" w:w="4608"/>
            <w:shd w:fill="FFFFFF"/>
            <w:vAlign w:val="center"/>
            <w:tcMar>
              <w:top w:w="90" w:type="dxa"/>
              <w:start w:w="120" w:type="dxa"/>
              <w:bottom w:w="90" w:type="dxa"/>
              <w:end w:w="120" w:type="dxa"/>
            </w:tcMar>
          </w:tcPr>
          <w:p>
            <w:pPr>
              <w:spacing w:after="0"/>
            </w:pPr>
            <w:r>
              <w:rPr>
                <w:rFonts w:ascii="Calibri" w:hAnsi="Calibri"/>
                <w:b w:val="0"/>
                <w:i w:val="0"/>
                <w:color w:val="172126"/>
                <w:sz w:val="19"/>
              </w:rPr>
              <w:t>¿Qué ocurrió realmente?</w:t>
            </w:r>
          </w:p>
        </w:tc>
        <w:tc>
          <w:tcPr>
            <w:tcW w:type="dxa" w:w="2952"/>
            <w:shd w:fill="FFFFFF"/>
            <w:vAlign w:val="center"/>
            <w:tcMar>
              <w:top w:w="90" w:type="dxa"/>
              <w:start w:w="120" w:type="dxa"/>
              <w:bottom w:w="90" w:type="dxa"/>
              <w:end w:w="120" w:type="dxa"/>
            </w:tcMar>
          </w:tcPr>
          <w:p>
            <w:pPr>
              <w:spacing w:after="0"/>
            </w:pPr>
            <w:r>
              <w:rPr>
                <w:rFonts w:ascii="Calibri" w:hAnsi="Calibri"/>
                <w:b w:val="0"/>
                <w:i w:val="0"/>
                <w:color w:val="172126"/>
                <w:sz w:val="19"/>
              </w:rPr>
              <w:t>Resultado, recupero y recalibración</w:t>
            </w:r>
          </w:p>
        </w:tc>
      </w:tr>
    </w:tbl>
    <w:p>
      <w:pPr>
        <w:spacing w:after="20"/>
      </w:pPr>
    </w:p>
    <w:p>
      <w:pPr>
        <w:spacing w:after="120" w:line="264" w:lineRule="auto"/>
      </w:pPr>
      <w:r>
        <w:rPr>
          <w:rFonts w:ascii="Calibri" w:hAnsi="Calibri"/>
          <w:b w:val="0"/>
          <w:i w:val="0"/>
          <w:color w:val="172126"/>
          <w:sz w:val="22"/>
        </w:rPr>
        <w:t>La separación evita tres errores frecuentes: usar el score como monto, llamar predictivo a un score manual y fijar un precio sin conectar PD, LGD, plazo y costo de fondeo.</w:t>
      </w:r>
    </w:p>
    <w:p>
      <w:pPr>
        <w:pStyle w:val="Heading2"/>
      </w:pPr>
      <w:r>
        <w:t>0. Reglas duras</w:t>
      </w:r>
    </w:p>
    <w:p>
      <w:pPr>
        <w:pStyle w:val="ListBullet"/>
        <w:spacing w:after="80" w:line="264" w:lineRule="auto"/>
      </w:pPr>
      <w:r>
        <w:rPr>
          <w:rFonts w:ascii="Calibri" w:hAnsi="Calibri"/>
          <w:b w:val="0"/>
          <w:i w:val="0"/>
          <w:color w:val="172126"/>
          <w:sz w:val="22"/>
        </w:rPr>
        <w:t>Fraude o suspensión de cuenta.</w:t>
      </w:r>
    </w:p>
    <w:p>
      <w:pPr>
        <w:pStyle w:val="ListBullet"/>
        <w:spacing w:after="80" w:line="264" w:lineRule="auto"/>
      </w:pPr>
      <w:r>
        <w:rPr>
          <w:rFonts w:ascii="Calibri" w:hAnsi="Calibri"/>
          <w:b w:val="0"/>
          <w:i w:val="0"/>
          <w:color w:val="172126"/>
          <w:sz w:val="22"/>
        </w:rPr>
        <w:t>Identidad o cuenta bancaria no verificadas.</w:t>
      </w:r>
    </w:p>
    <w:p>
      <w:pPr>
        <w:pStyle w:val="ListBullet"/>
        <w:spacing w:after="80" w:line="264" w:lineRule="auto"/>
      </w:pPr>
      <w:r>
        <w:rPr>
          <w:rFonts w:ascii="Calibri" w:hAnsi="Calibri"/>
          <w:b w:val="0"/>
          <w:i w:val="0"/>
          <w:color w:val="172126"/>
          <w:sz w:val="22"/>
        </w:rPr>
        <w:t>Habilitación legal pendiente cuando sea exigible.</w:t>
      </w:r>
    </w:p>
    <w:p>
      <w:pPr>
        <w:pStyle w:val="ListBullet"/>
        <w:spacing w:after="80" w:line="264" w:lineRule="auto"/>
      </w:pPr>
      <w:r>
        <w:rPr>
          <w:rFonts w:ascii="Calibri" w:hAnsi="Calibri"/>
          <w:b w:val="0"/>
          <w:i w:val="0"/>
          <w:color w:val="172126"/>
          <w:sz w:val="22"/>
        </w:rPr>
        <w:t>Ausencia de control contractual y operativo sobre payouts.</w:t>
      </w:r>
    </w:p>
    <w:p>
      <w:pPr>
        <w:pStyle w:val="ListBullet"/>
        <w:spacing w:after="80" w:line="264" w:lineRule="auto"/>
      </w:pPr>
      <w:r>
        <w:rPr>
          <w:rFonts w:ascii="Calibri" w:hAnsi="Calibri"/>
          <w:b w:val="0"/>
          <w:i w:val="0"/>
          <w:color w:val="172126"/>
          <w:sz w:val="22"/>
        </w:rPr>
        <w:t>Consentimiento, KYC o condiciones regulatorias incompletas.</w:t>
      </w:r>
    </w:p>
    <w:p>
      <w:pPr>
        <w:spacing w:before="80" w:after="200"/>
        <w:ind w:left="259" w:right="259"/>
        <w:shd w:fill="FFF7E8"/>
      </w:pPr>
      <w:r>
        <w:rPr>
          <w:rFonts w:ascii="Calibri" w:hAnsi="Calibri"/>
          <w:b/>
          <w:i w:val="0"/>
          <w:color w:val="075965"/>
          <w:sz w:val="22"/>
        </w:rPr>
        <w:t xml:space="preserve">Principio: </w:t>
      </w:r>
      <w:r>
        <w:rPr>
          <w:rFonts w:ascii="Calibri" w:hAnsi="Calibri"/>
          <w:b w:val="0"/>
          <w:i w:val="0"/>
          <w:color w:val="172126"/>
          <w:sz w:val="22"/>
        </w:rPr>
        <w:t>Una regla excluyente no puede arreglarse subiendo manualmente el score. El sistema debe conservar el rechazo y explicar la razón.</w:t>
      </w:r>
    </w:p>
    <w:p>
      <w:pPr>
        <w:pStyle w:val="Heading2"/>
      </w:pPr>
      <w:r>
        <w:t>1. Score experto y PD</w:t>
      </w:r>
    </w:p>
    <w:p>
      <w:pPr>
        <w:spacing w:after="120" w:line="264" w:lineRule="auto"/>
      </w:pPr>
      <w:r>
        <w:rPr>
          <w:rFonts w:ascii="Calibri" w:hAnsi="Calibri"/>
          <w:b w:val="0"/>
          <w:i w:val="0"/>
          <w:color w:val="172126"/>
          <w:sz w:val="22"/>
        </w:rPr>
        <w:t>El scorecard por clusters sigue siendo útil en lanzamiento: ordena señales, permite discusión con riesgo y produce razones entendibles. Sus pesos son hipótesis expertas, no coeficientes estimados.</w:t>
      </w:r>
    </w:p>
    <w:tbl>
      <w:tblPr>
        <w:tblStyle w:val="TableGrid"/>
        <w:tblW w:type="dxa" w:w="9360"/>
        <w:tblLayout w:type="fixed"/>
        <w:tblLook w:firstColumn="1" w:firstRow="1" w:lastColumn="0" w:lastRow="0" w:noHBand="0" w:noVBand="1" w:val="04A0"/>
        <w:jc w:val="left"/>
        <w:tblInd w:type="dxa" w:w="120"/>
      </w:tblPr>
      <w:tblGrid>
        <w:gridCol w:w="2880"/>
        <w:gridCol w:w="1080"/>
        <w:gridCol w:w="5400"/>
      </w:tblGrid>
      <w:tr>
        <w:trPr>
          <w:cantSplit/>
          <w:tblHeader w:val="true"/>
          <w:cantSplit/>
          <w:cantSplit/>
          <w:cantSplit/>
          <w:cantSplit/>
          <w:cantSplit/>
          <w:cantSplit/>
        </w:trPr>
        <w:tc>
          <w:tcPr>
            <w:tcW w:type="dxa" w:w="2880"/>
            <w:vAlign w:val="center"/>
            <w:tcMar>
              <w:top w:w="90" w:type="dxa"/>
              <w:start w:w="120" w:type="dxa"/>
              <w:bottom w:w="90" w:type="dxa"/>
              <w:end w:w="120" w:type="dxa"/>
            </w:tcMar>
            <w:shd w:fill="087F8C"/>
          </w:tcPr>
          <w:p>
            <w:pPr>
              <w:jc w:val="left"/>
            </w:pPr>
            <w:r>
              <w:rPr>
                <w:rFonts w:ascii="Calibri" w:hAnsi="Calibri"/>
                <w:b/>
                <w:i w:val="0"/>
                <w:color w:val="FFFFFF"/>
                <w:sz w:val="19"/>
              </w:rPr>
              <w:t>Cluster</w:t>
            </w:r>
          </w:p>
        </w:tc>
        <w:tc>
          <w:tcPr>
            <w:tcW w:type="dxa" w:w="1080"/>
            <w:vAlign w:val="center"/>
            <w:tcMar>
              <w:top w:w="90" w:type="dxa"/>
              <w:start w:w="120" w:type="dxa"/>
              <w:bottom w:w="90" w:type="dxa"/>
              <w:end w:w="120" w:type="dxa"/>
            </w:tcMar>
            <w:shd w:fill="087F8C"/>
          </w:tcPr>
          <w:p>
            <w:pPr>
              <w:jc w:val="left"/>
            </w:pPr>
            <w:r>
              <w:rPr>
                <w:rFonts w:ascii="Calibri" w:hAnsi="Calibri"/>
                <w:b/>
                <w:i w:val="0"/>
                <w:color w:val="FFFFFF"/>
                <w:sz w:val="19"/>
              </w:rPr>
              <w:t>Peso</w:t>
            </w:r>
          </w:p>
        </w:tc>
        <w:tc>
          <w:tcPr>
            <w:tcW w:type="dxa" w:w="5400"/>
            <w:vAlign w:val="center"/>
            <w:tcMar>
              <w:top w:w="90" w:type="dxa"/>
              <w:start w:w="120" w:type="dxa"/>
              <w:bottom w:w="90" w:type="dxa"/>
              <w:end w:w="120" w:type="dxa"/>
            </w:tcMar>
            <w:shd w:fill="087F8C"/>
          </w:tcPr>
          <w:p>
            <w:pPr>
              <w:jc w:val="left"/>
            </w:pPr>
            <w:r>
              <w:rPr>
                <w:rFonts w:ascii="Calibri" w:hAnsi="Calibri"/>
                <w:b/>
                <w:i w:val="0"/>
                <w:color w:val="FFFFFF"/>
                <w:sz w:val="19"/>
              </w:rPr>
              <w:t>Función</w:t>
            </w:r>
          </w:p>
        </w:tc>
      </w:tr>
      <w:tr>
        <w:trPr>
          <w:cantSplit/>
          <w:cantSplit/>
          <w:cantSplit/>
          <w:cantSplit/>
          <w:cantSplit/>
          <w:cantSplit/>
        </w:trPr>
        <w:tc>
          <w:tcPr>
            <w:tcW w:type="dxa" w:w="2880"/>
            <w:shd w:fill="FFFFFF"/>
            <w:vAlign w:val="center"/>
            <w:tcMar>
              <w:top w:w="90" w:type="dxa"/>
              <w:start w:w="120" w:type="dxa"/>
              <w:bottom w:w="90" w:type="dxa"/>
              <w:end w:w="120" w:type="dxa"/>
            </w:tcMar>
          </w:tcPr>
          <w:p>
            <w:pPr>
              <w:spacing w:after="0"/>
            </w:pPr>
            <w:r>
              <w:rPr>
                <w:rFonts w:ascii="Calibri" w:hAnsi="Calibri"/>
                <w:b w:val="0"/>
                <w:i w:val="0"/>
                <w:color w:val="172126"/>
                <w:sz w:val="19"/>
              </w:rPr>
              <w:t>Solidez del host</w:t>
            </w:r>
          </w:p>
        </w:tc>
        <w:tc>
          <w:tcPr>
            <w:tcW w:type="dxa" w:w="1080"/>
            <w:shd w:fill="FFFFFF"/>
            <w:vAlign w:val="center"/>
            <w:tcMar>
              <w:top w:w="90" w:type="dxa"/>
              <w:start w:w="120" w:type="dxa"/>
              <w:bottom w:w="90" w:type="dxa"/>
              <w:end w:w="120" w:type="dxa"/>
            </w:tcMar>
          </w:tcPr>
          <w:p>
            <w:pPr>
              <w:spacing w:after="0"/>
            </w:pPr>
            <w:r>
              <w:rPr>
                <w:rFonts w:ascii="Calibri" w:hAnsi="Calibri"/>
                <w:b w:val="0"/>
                <w:i w:val="0"/>
                <w:color w:val="172126"/>
                <w:sz w:val="19"/>
              </w:rPr>
              <w:t>15%</w:t>
            </w:r>
          </w:p>
        </w:tc>
        <w:tc>
          <w:tcPr>
            <w:tcW w:type="dxa" w:w="5400"/>
            <w:shd w:fill="FFFFFF"/>
            <w:vAlign w:val="center"/>
            <w:tcMar>
              <w:top w:w="90" w:type="dxa"/>
              <w:start w:w="120" w:type="dxa"/>
              <w:bottom w:w="90" w:type="dxa"/>
              <w:end w:w="120" w:type="dxa"/>
            </w:tcMar>
          </w:tcPr>
          <w:p>
            <w:pPr>
              <w:spacing w:after="0"/>
            </w:pPr>
            <w:r>
              <w:rPr>
                <w:rFonts w:ascii="Calibri" w:hAnsi="Calibri"/>
                <w:b w:val="0"/>
                <w:i w:val="0"/>
                <w:color w:val="172126"/>
                <w:sz w:val="19"/>
              </w:rPr>
              <w:t>Historial, verificaciones y conducta</w:t>
            </w:r>
          </w:p>
        </w:tc>
      </w:tr>
      <w:tr>
        <w:trPr>
          <w:cantSplit/>
          <w:cantSplit/>
          <w:cantSplit/>
          <w:cantSplit/>
          <w:cantSplit/>
        </w:trPr>
        <w:tc>
          <w:tcPr>
            <w:tcW w:type="dxa" w:w="2880"/>
            <w:shd w:fill="F2F6F7"/>
            <w:vAlign w:val="center"/>
            <w:tcMar>
              <w:top w:w="90" w:type="dxa"/>
              <w:start w:w="120" w:type="dxa"/>
              <w:bottom w:w="90" w:type="dxa"/>
              <w:end w:w="120" w:type="dxa"/>
            </w:tcMar>
          </w:tcPr>
          <w:p>
            <w:pPr>
              <w:spacing w:after="0"/>
            </w:pPr>
            <w:r>
              <w:rPr>
                <w:rFonts w:ascii="Calibri" w:hAnsi="Calibri"/>
                <w:b w:val="0"/>
                <w:i w:val="0"/>
                <w:color w:val="172126"/>
                <w:sz w:val="19"/>
              </w:rPr>
              <w:t>Calidad de propiedad</w:t>
            </w:r>
          </w:p>
        </w:tc>
        <w:tc>
          <w:tcPr>
            <w:tcW w:type="dxa" w:w="1080"/>
            <w:shd w:fill="F2F6F7"/>
            <w:vAlign w:val="center"/>
            <w:tcMar>
              <w:top w:w="90" w:type="dxa"/>
              <w:start w:w="120" w:type="dxa"/>
              <w:bottom w:w="90" w:type="dxa"/>
              <w:end w:w="120" w:type="dxa"/>
            </w:tcMar>
          </w:tcPr>
          <w:p>
            <w:pPr>
              <w:spacing w:after="0"/>
            </w:pPr>
            <w:r>
              <w:rPr>
                <w:rFonts w:ascii="Calibri" w:hAnsi="Calibri"/>
                <w:b w:val="0"/>
                <w:i w:val="0"/>
                <w:color w:val="172126"/>
                <w:sz w:val="19"/>
              </w:rPr>
              <w:t>15%</w:t>
            </w:r>
          </w:p>
        </w:tc>
        <w:tc>
          <w:tcPr>
            <w:tcW w:type="dxa" w:w="5400"/>
            <w:shd w:fill="F2F6F7"/>
            <w:vAlign w:val="center"/>
            <w:tcMar>
              <w:top w:w="90" w:type="dxa"/>
              <w:start w:w="120" w:type="dxa"/>
              <w:bottom w:w="90" w:type="dxa"/>
              <w:end w:w="120" w:type="dxa"/>
            </w:tcMar>
          </w:tcPr>
          <w:p>
            <w:pPr>
              <w:spacing w:after="0"/>
            </w:pPr>
            <w:r>
              <w:rPr>
                <w:rFonts w:ascii="Calibri" w:hAnsi="Calibri"/>
                <w:b w:val="0"/>
                <w:i w:val="0"/>
                <w:color w:val="172126"/>
                <w:sz w:val="19"/>
              </w:rPr>
              <w:t>Capacidad futura del activo</w:t>
            </w:r>
          </w:p>
        </w:tc>
      </w:tr>
      <w:tr>
        <w:trPr>
          <w:cantSplit/>
          <w:cantSplit/>
          <w:cantSplit/>
          <w:cantSplit/>
        </w:trPr>
        <w:tc>
          <w:tcPr>
            <w:tcW w:type="dxa" w:w="2880"/>
            <w:shd w:fill="FFFFFF"/>
            <w:vAlign w:val="center"/>
            <w:tcMar>
              <w:top w:w="90" w:type="dxa"/>
              <w:start w:w="120" w:type="dxa"/>
              <w:bottom w:w="90" w:type="dxa"/>
              <w:end w:w="120" w:type="dxa"/>
            </w:tcMar>
          </w:tcPr>
          <w:p>
            <w:pPr>
              <w:spacing w:after="0"/>
            </w:pPr>
            <w:r>
              <w:rPr>
                <w:rFonts w:ascii="Calibri" w:hAnsi="Calibri"/>
                <w:b w:val="0"/>
                <w:i w:val="0"/>
                <w:color w:val="172126"/>
                <w:sz w:val="19"/>
              </w:rPr>
              <w:t>Historial de ingresos</w:t>
            </w:r>
          </w:p>
        </w:tc>
        <w:tc>
          <w:tcPr>
            <w:tcW w:type="dxa" w:w="1080"/>
            <w:shd w:fill="FFFFFF"/>
            <w:vAlign w:val="center"/>
            <w:tcMar>
              <w:top w:w="90" w:type="dxa"/>
              <w:start w:w="120" w:type="dxa"/>
              <w:bottom w:w="90" w:type="dxa"/>
              <w:end w:w="120" w:type="dxa"/>
            </w:tcMar>
          </w:tcPr>
          <w:p>
            <w:pPr>
              <w:spacing w:after="0"/>
            </w:pPr>
            <w:r>
              <w:rPr>
                <w:rFonts w:ascii="Calibri" w:hAnsi="Calibri"/>
                <w:b w:val="0"/>
                <w:i w:val="0"/>
                <w:color w:val="172126"/>
                <w:sz w:val="19"/>
              </w:rPr>
              <w:t>25%</w:t>
            </w:r>
          </w:p>
        </w:tc>
        <w:tc>
          <w:tcPr>
            <w:tcW w:type="dxa" w:w="5400"/>
            <w:shd w:fill="FFFFFF"/>
            <w:vAlign w:val="center"/>
            <w:tcMar>
              <w:top w:w="90" w:type="dxa"/>
              <w:start w:w="120" w:type="dxa"/>
              <w:bottom w:w="90" w:type="dxa"/>
              <w:end w:w="120" w:type="dxa"/>
            </w:tcMar>
          </w:tcPr>
          <w:p>
            <w:pPr>
              <w:spacing w:after="0"/>
            </w:pPr>
            <w:r>
              <w:rPr>
                <w:rFonts w:ascii="Calibri" w:hAnsi="Calibri"/>
                <w:b w:val="0"/>
                <w:i w:val="0"/>
                <w:color w:val="172126"/>
                <w:sz w:val="19"/>
              </w:rPr>
              <w:t>Volumen, estabilidad y estacionalidad</w:t>
            </w:r>
          </w:p>
        </w:tc>
      </w:tr>
      <w:tr>
        <w:trPr>
          <w:cantSplit/>
          <w:cantSplit/>
          <w:cantSplit/>
        </w:trPr>
        <w:tc>
          <w:tcPr>
            <w:tcW w:type="dxa" w:w="2880"/>
            <w:shd w:fill="F2F6F7"/>
            <w:vAlign w:val="center"/>
            <w:tcMar>
              <w:top w:w="90" w:type="dxa"/>
              <w:start w:w="120" w:type="dxa"/>
              <w:bottom w:w="90" w:type="dxa"/>
              <w:end w:w="120" w:type="dxa"/>
            </w:tcMar>
          </w:tcPr>
          <w:p>
            <w:pPr>
              <w:spacing w:after="0"/>
            </w:pPr>
            <w:r>
              <w:rPr>
                <w:rFonts w:ascii="Calibri" w:hAnsi="Calibri"/>
                <w:b w:val="0"/>
                <w:i w:val="0"/>
                <w:color w:val="172126"/>
                <w:sz w:val="19"/>
              </w:rPr>
              <w:t>Reputación y operación</w:t>
            </w:r>
          </w:p>
        </w:tc>
        <w:tc>
          <w:tcPr>
            <w:tcW w:type="dxa" w:w="1080"/>
            <w:shd w:fill="F2F6F7"/>
            <w:vAlign w:val="center"/>
            <w:tcMar>
              <w:top w:w="90" w:type="dxa"/>
              <w:start w:w="120" w:type="dxa"/>
              <w:bottom w:w="90" w:type="dxa"/>
              <w:end w:w="120" w:type="dxa"/>
            </w:tcMar>
          </w:tcPr>
          <w:p>
            <w:pPr>
              <w:spacing w:after="0"/>
            </w:pPr>
            <w:r>
              <w:rPr>
                <w:rFonts w:ascii="Calibri" w:hAnsi="Calibri"/>
                <w:b w:val="0"/>
                <w:i w:val="0"/>
                <w:color w:val="172126"/>
                <w:sz w:val="19"/>
              </w:rPr>
              <w:t>15%</w:t>
            </w:r>
          </w:p>
        </w:tc>
        <w:tc>
          <w:tcPr>
            <w:tcW w:type="dxa" w:w="5400"/>
            <w:shd w:fill="F2F6F7"/>
            <w:vAlign w:val="center"/>
            <w:tcMar>
              <w:top w:w="90" w:type="dxa"/>
              <w:start w:w="120" w:type="dxa"/>
              <w:bottom w:w="90" w:type="dxa"/>
              <w:end w:w="120" w:type="dxa"/>
            </w:tcMar>
          </w:tcPr>
          <w:p>
            <w:pPr>
              <w:spacing w:after="0"/>
            </w:pPr>
            <w:r>
              <w:rPr>
                <w:rFonts w:ascii="Calibri" w:hAnsi="Calibri"/>
                <w:b w:val="0"/>
                <w:i w:val="0"/>
                <w:color w:val="172126"/>
                <w:sz w:val="19"/>
              </w:rPr>
              <w:t>Cancelaciones, disputas y respuesta</w:t>
            </w:r>
          </w:p>
        </w:tc>
      </w:tr>
      <w:tr>
        <w:trPr>
          <w:cantSplit/>
          <w:cantSplit/>
        </w:trPr>
        <w:tc>
          <w:tcPr>
            <w:tcW w:type="dxa" w:w="2880"/>
            <w:shd w:fill="FFFFFF"/>
            <w:vAlign w:val="center"/>
            <w:tcMar>
              <w:top w:w="90" w:type="dxa"/>
              <w:start w:w="120" w:type="dxa"/>
              <w:bottom w:w="90" w:type="dxa"/>
              <w:end w:w="120" w:type="dxa"/>
            </w:tcMar>
          </w:tcPr>
          <w:p>
            <w:pPr>
              <w:spacing w:after="0"/>
            </w:pPr>
            <w:r>
              <w:rPr>
                <w:rFonts w:ascii="Calibri" w:hAnsi="Calibri"/>
                <w:b w:val="0"/>
                <w:i w:val="0"/>
                <w:color w:val="172126"/>
                <w:sz w:val="19"/>
              </w:rPr>
              <w:t>Reservas futuras</w:t>
            </w:r>
          </w:p>
        </w:tc>
        <w:tc>
          <w:tcPr>
            <w:tcW w:type="dxa" w:w="1080"/>
            <w:shd w:fill="FFFFFF"/>
            <w:vAlign w:val="center"/>
            <w:tcMar>
              <w:top w:w="90" w:type="dxa"/>
              <w:start w:w="120" w:type="dxa"/>
              <w:bottom w:w="90" w:type="dxa"/>
              <w:end w:w="120" w:type="dxa"/>
            </w:tcMar>
          </w:tcPr>
          <w:p>
            <w:pPr>
              <w:spacing w:after="0"/>
            </w:pPr>
            <w:r>
              <w:rPr>
                <w:rFonts w:ascii="Calibri" w:hAnsi="Calibri"/>
                <w:b w:val="0"/>
                <w:i w:val="0"/>
                <w:color w:val="172126"/>
                <w:sz w:val="19"/>
              </w:rPr>
              <w:t>20%</w:t>
            </w:r>
          </w:p>
        </w:tc>
        <w:tc>
          <w:tcPr>
            <w:tcW w:type="dxa" w:w="5400"/>
            <w:shd w:fill="FFFFFF"/>
            <w:vAlign w:val="center"/>
            <w:tcMar>
              <w:top w:w="90" w:type="dxa"/>
              <w:start w:w="120" w:type="dxa"/>
              <w:bottom w:w="90" w:type="dxa"/>
              <w:end w:w="120" w:type="dxa"/>
            </w:tcMar>
          </w:tcPr>
          <w:p>
            <w:pPr>
              <w:spacing w:after="0"/>
            </w:pPr>
            <w:r>
              <w:rPr>
                <w:rFonts w:ascii="Calibri" w:hAnsi="Calibri"/>
                <w:b w:val="0"/>
                <w:i w:val="0"/>
                <w:color w:val="172126"/>
                <w:sz w:val="19"/>
              </w:rPr>
              <w:t>Flujo ya observable</w:t>
            </w:r>
          </w:p>
        </w:tc>
      </w:tr>
      <w:tr>
        <w:trPr>
          <w:cantSplit/>
        </w:trPr>
        <w:tc>
          <w:tcPr>
            <w:tcW w:type="dxa" w:w="2880"/>
            <w:shd w:fill="F2F6F7"/>
            <w:vAlign w:val="center"/>
            <w:tcMar>
              <w:top w:w="90" w:type="dxa"/>
              <w:start w:w="120" w:type="dxa"/>
              <w:bottom w:w="90" w:type="dxa"/>
              <w:end w:w="120" w:type="dxa"/>
            </w:tcMar>
          </w:tcPr>
          <w:p>
            <w:pPr>
              <w:spacing w:after="0"/>
            </w:pPr>
            <w:r>
              <w:rPr>
                <w:rFonts w:ascii="Calibri" w:hAnsi="Calibri"/>
                <w:b w:val="0"/>
                <w:i w:val="0"/>
                <w:color w:val="172126"/>
                <w:sz w:val="19"/>
              </w:rPr>
              <w:t>Riesgo de mercado</w:t>
            </w:r>
          </w:p>
        </w:tc>
        <w:tc>
          <w:tcPr>
            <w:tcW w:type="dxa" w:w="1080"/>
            <w:shd w:fill="F2F6F7"/>
            <w:vAlign w:val="center"/>
            <w:tcMar>
              <w:top w:w="90" w:type="dxa"/>
              <w:start w:w="120" w:type="dxa"/>
              <w:bottom w:w="90" w:type="dxa"/>
              <w:end w:w="120" w:type="dxa"/>
            </w:tcMar>
          </w:tcPr>
          <w:p>
            <w:pPr>
              <w:spacing w:after="0"/>
            </w:pPr>
            <w:r>
              <w:rPr>
                <w:rFonts w:ascii="Calibri" w:hAnsi="Calibri"/>
                <w:b w:val="0"/>
                <w:i w:val="0"/>
                <w:color w:val="172126"/>
                <w:sz w:val="19"/>
              </w:rPr>
              <w:t>10%</w:t>
            </w:r>
          </w:p>
        </w:tc>
        <w:tc>
          <w:tcPr>
            <w:tcW w:type="dxa" w:w="5400"/>
            <w:shd w:fill="F2F6F7"/>
            <w:vAlign w:val="center"/>
            <w:tcMar>
              <w:top w:w="90" w:type="dxa"/>
              <w:start w:w="120" w:type="dxa"/>
              <w:bottom w:w="90" w:type="dxa"/>
              <w:end w:w="120" w:type="dxa"/>
            </w:tcMar>
          </w:tcPr>
          <w:p>
            <w:pPr>
              <w:spacing w:after="0"/>
            </w:pPr>
            <w:r>
              <w:rPr>
                <w:rFonts w:ascii="Calibri" w:hAnsi="Calibri"/>
                <w:b w:val="0"/>
                <w:i w:val="0"/>
                <w:color w:val="172126"/>
                <w:sz w:val="19"/>
              </w:rPr>
              <w:t>Clima, demanda y regulación</w:t>
            </w:r>
          </w:p>
        </w:tc>
      </w:tr>
    </w:tbl>
    <w:p>
      <w:pPr>
        <w:spacing w:after="20"/>
      </w:pPr>
    </w:p>
    <w:p>
      <w:r>
        <w:br w:type="page"/>
      </w:r>
    </w:p>
    <w:p>
      <w:pPr>
        <w:pStyle w:val="Heading1"/>
      </w:pPr>
      <w:r>
        <w:t>2. Modelo 1 — Probabilidad de default</w:t>
      </w:r>
    </w:p>
    <w:p>
      <w:pPr>
        <w:pStyle w:val="Heading2"/>
      </w:pPr>
      <w:r>
        <w:t>Etapa MVP: PD proxy</w:t>
      </w:r>
    </w:p>
    <w:p>
      <w:pPr>
        <w:spacing w:after="120" w:line="264" w:lineRule="auto"/>
      </w:pPr>
      <w:r>
        <w:rPr>
          <w:rFonts w:ascii="Calibri" w:hAnsi="Calibri"/>
          <w:b w:val="0"/>
          <w:i w:val="0"/>
          <w:color w:val="172126"/>
          <w:sz w:val="22"/>
        </w:rPr>
        <w:t>Sin operaciones maduras y defaults suficientes, no existe una regresión logística entrenable con validez. Para conectar el score con monto y economía, la demo utiliza una transformación monotónica explícitamente denominada PD proxy.</w:t>
      </w:r>
    </w:p>
    <w:p>
      <w:pPr>
        <w:spacing w:before="80" w:after="160"/>
        <w:ind w:left="259" w:right="259"/>
        <w:shd w:fill="EAF0FF"/>
      </w:pPr>
      <w:r>
        <w:rPr>
          <w:rFonts w:ascii="Consolas" w:hAnsi="Consolas"/>
          <w:b/>
          <w:i w:val="0"/>
          <w:color w:val="075965"/>
          <w:sz w:val="20"/>
        </w:rPr>
        <w:t>PD_proxy_pct = clamp(50 × exp(-0,06 × (score - 40)), 1,5%, 45%)</w:t>
      </w:r>
    </w:p>
    <w:p>
      <w:pPr>
        <w:spacing w:before="80" w:after="200"/>
        <w:ind w:left="259" w:right="259"/>
        <w:shd w:fill="FCEEEE"/>
      </w:pPr>
      <w:r>
        <w:rPr>
          <w:rFonts w:ascii="Calibri" w:hAnsi="Calibri"/>
          <w:b/>
          <w:i w:val="0"/>
          <w:color w:val="075965"/>
          <w:sz w:val="22"/>
        </w:rPr>
        <w:t xml:space="preserve">Advertencia: </w:t>
      </w:r>
      <w:r>
        <w:rPr>
          <w:rFonts w:ascii="Calibri" w:hAnsi="Calibri"/>
          <w:b w:val="0"/>
          <w:i w:val="0"/>
          <w:color w:val="172126"/>
          <w:sz w:val="22"/>
        </w:rPr>
        <w:t>La PD proxy no es una probabilidad calibrada. Sirve para demostrar arquitectura, sensibilidad y unit economics; no debe presentarse como performance histórica.</w:t>
      </w:r>
    </w:p>
    <w:p>
      <w:pPr>
        <w:pStyle w:val="Heading2"/>
      </w:pPr>
      <w:r>
        <w:t>Etapa calibrada: regresión logística</w:t>
      </w:r>
    </w:p>
    <w:p>
      <w:pPr>
        <w:spacing w:after="120" w:line="264" w:lineRule="auto"/>
      </w:pPr>
      <w:r>
        <w:rPr>
          <w:rFonts w:ascii="Calibri" w:hAnsi="Calibri"/>
          <w:b w:val="0"/>
          <w:i w:val="0"/>
          <w:color w:val="172126"/>
          <w:sz w:val="22"/>
        </w:rPr>
        <w:t>Cuando exista una cantidad suficiente de operaciones resueltas y eventos de default, la proxy se reemplaza por regresión logística. Las variables monetarias deben ajustarse por inflación y transformarse o normalizarse para evitar que la escala domine el resultado.</w:t>
      </w:r>
    </w:p>
    <w:p>
      <w:pPr>
        <w:spacing w:before="80" w:after="160"/>
        <w:ind w:left="259" w:right="259"/>
        <w:shd w:fill="EAF0FF"/>
      </w:pPr>
      <w:r>
        <w:rPr>
          <w:rFonts w:ascii="Consolas" w:hAnsi="Consolas"/>
          <w:b/>
          <w:i w:val="0"/>
          <w:color w:val="075965"/>
          <w:sz w:val="20"/>
        </w:rPr>
        <w:t>PD = 1 / (1 + exp(-(β₀ + β₁x₁ + ... + βₙxₙ)))</w:t>
      </w:r>
    </w:p>
    <w:p>
      <w:pPr>
        <w:spacing w:after="120" w:line="264" w:lineRule="auto"/>
      </w:pPr>
      <w:r>
        <w:rPr>
          <w:rFonts w:ascii="Calibri" w:hAnsi="Calibri"/>
          <w:b w:val="0"/>
          <w:i w:val="0"/>
          <w:color w:val="172126"/>
          <w:sz w:val="22"/>
        </w:rPr>
        <w:t>Definición propuesta de la etiqueta:</w:t>
      </w:r>
    </w:p>
    <w:p>
      <w:pPr>
        <w:spacing w:before="80" w:after="160"/>
        <w:ind w:left="259" w:right="259"/>
        <w:shd w:fill="FFF7E8"/>
      </w:pPr>
      <w:r>
        <w:rPr>
          <w:rFonts w:ascii="Consolas" w:hAnsi="Consolas"/>
          <w:b/>
          <w:i w:val="0"/>
          <w:color w:val="075965"/>
          <w:sz w:val="20"/>
        </w:rPr>
        <w:t>default_120d = 1 si no se recuperó ≥95% del total contractual 120 días después de la fecha estimada de finalización</w:t>
      </w:r>
    </w:p>
    <w:p>
      <w:pPr>
        <w:pStyle w:val="ListBullet"/>
        <w:spacing w:after="80" w:line="264" w:lineRule="auto"/>
      </w:pPr>
      <w:r>
        <w:rPr>
          <w:rFonts w:ascii="Calibri" w:hAnsi="Calibri"/>
          <w:b w:val="0"/>
          <w:i w:val="0"/>
          <w:color w:val="172126"/>
          <w:sz w:val="22"/>
        </w:rPr>
        <w:t>Los casos todavía no maduros se excluyen del entrenamiento; no se etiquetan como pagados.</w:t>
      </w:r>
    </w:p>
    <w:p>
      <w:pPr>
        <w:pStyle w:val="ListBullet"/>
        <w:spacing w:after="80" w:line="264" w:lineRule="auto"/>
      </w:pPr>
      <w:r>
        <w:rPr>
          <w:rFonts w:ascii="Calibri" w:hAnsi="Calibri"/>
          <w:b w:val="0"/>
          <w:i w:val="0"/>
          <w:color w:val="172126"/>
          <w:sz w:val="22"/>
        </w:rPr>
        <w:t>La aprobación o rechazo anterior no puede usarse como etiqueta, porque sólo replicaría decisiones pasadas.</w:t>
      </w:r>
    </w:p>
    <w:p>
      <w:pPr>
        <w:pStyle w:val="ListBullet"/>
        <w:spacing w:after="80" w:line="264" w:lineRule="auto"/>
      </w:pPr>
      <w:r>
        <w:rPr>
          <w:rFonts w:ascii="Calibri" w:hAnsi="Calibri"/>
          <w:b w:val="0"/>
          <w:i w:val="0"/>
          <w:color w:val="172126"/>
          <w:sz w:val="22"/>
        </w:rPr>
        <w:t>Se documentan coeficientes, variables, datos faltantes, overrides y versión de modelo.</w:t>
      </w:r>
    </w:p>
    <w:p>
      <w:pPr>
        <w:pStyle w:val="Heading2"/>
      </w:pPr>
      <w:r>
        <w:t>Validación de PD</w:t>
      </w:r>
    </w:p>
    <w:tbl>
      <w:tblPr>
        <w:tblStyle w:val="TableGrid"/>
        <w:tblW w:type="dxa" w:w="9360"/>
        <w:tblLayout w:type="fixed"/>
        <w:tblLook w:firstColumn="1" w:firstRow="1" w:lastColumn="0" w:lastRow="0" w:noHBand="0" w:noVBand="1" w:val="04A0"/>
        <w:jc w:val="left"/>
        <w:tblInd w:type="dxa" w:w="120"/>
      </w:tblPr>
      <w:tblGrid>
        <w:gridCol w:w="1944"/>
        <w:gridCol w:w="3024"/>
        <w:gridCol w:w="4392"/>
      </w:tblGrid>
      <w:tr>
        <w:trPr>
          <w:cantSplit/>
          <w:tblHeader w:val="true"/>
          <w:cantSplit/>
          <w:cantSplit/>
          <w:cantSplit/>
          <w:cantSplit/>
        </w:trPr>
        <w:tc>
          <w:tcPr>
            <w:tcW w:type="dxa" w:w="1944"/>
            <w:vAlign w:val="center"/>
            <w:tcMar>
              <w:top w:w="90" w:type="dxa"/>
              <w:start w:w="120" w:type="dxa"/>
              <w:bottom w:w="90" w:type="dxa"/>
              <w:end w:w="120" w:type="dxa"/>
            </w:tcMar>
            <w:shd w:fill="087F8C"/>
          </w:tcPr>
          <w:p>
            <w:pPr>
              <w:jc w:val="left"/>
            </w:pPr>
            <w:r>
              <w:rPr>
                <w:rFonts w:ascii="Calibri" w:hAnsi="Calibri"/>
                <w:b/>
                <w:i w:val="0"/>
                <w:color w:val="FFFFFF"/>
                <w:sz w:val="19"/>
              </w:rPr>
              <w:t>Dimensión</w:t>
            </w:r>
          </w:p>
        </w:tc>
        <w:tc>
          <w:tcPr>
            <w:tcW w:type="dxa" w:w="3024"/>
            <w:vAlign w:val="center"/>
            <w:tcMar>
              <w:top w:w="90" w:type="dxa"/>
              <w:start w:w="120" w:type="dxa"/>
              <w:bottom w:w="90" w:type="dxa"/>
              <w:end w:w="120" w:type="dxa"/>
            </w:tcMar>
            <w:shd w:fill="087F8C"/>
          </w:tcPr>
          <w:p>
            <w:pPr>
              <w:jc w:val="left"/>
            </w:pPr>
            <w:r>
              <w:rPr>
                <w:rFonts w:ascii="Calibri" w:hAnsi="Calibri"/>
                <w:b/>
                <w:i w:val="0"/>
                <w:color w:val="FFFFFF"/>
                <w:sz w:val="19"/>
              </w:rPr>
              <w:t>Métrica mínima</w:t>
            </w:r>
          </w:p>
        </w:tc>
        <w:tc>
          <w:tcPr>
            <w:tcW w:type="dxa" w:w="4392"/>
            <w:vAlign w:val="center"/>
            <w:tcMar>
              <w:top w:w="90" w:type="dxa"/>
              <w:start w:w="120" w:type="dxa"/>
              <w:bottom w:w="90" w:type="dxa"/>
              <w:end w:w="120" w:type="dxa"/>
            </w:tcMar>
            <w:shd w:fill="087F8C"/>
          </w:tcPr>
          <w:p>
            <w:pPr>
              <w:jc w:val="left"/>
            </w:pPr>
            <w:r>
              <w:rPr>
                <w:rFonts w:ascii="Calibri" w:hAnsi="Calibri"/>
                <w:b/>
                <w:i w:val="0"/>
                <w:color w:val="FFFFFF"/>
                <w:sz w:val="19"/>
              </w:rPr>
              <w:t>Pregunta</w:t>
            </w:r>
          </w:p>
        </w:tc>
      </w:tr>
      <w:tr>
        <w:trPr>
          <w:cantSplit/>
          <w:cantSplit/>
          <w:cantSplit/>
          <w:cantSplit/>
        </w:trPr>
        <w:tc>
          <w:tcPr>
            <w:tcW w:type="dxa" w:w="1944"/>
            <w:shd w:fill="FFFFFF"/>
            <w:vAlign w:val="center"/>
            <w:tcMar>
              <w:top w:w="90" w:type="dxa"/>
              <w:start w:w="120" w:type="dxa"/>
              <w:bottom w:w="90" w:type="dxa"/>
              <w:end w:w="120" w:type="dxa"/>
            </w:tcMar>
          </w:tcPr>
          <w:p>
            <w:pPr>
              <w:spacing w:after="0"/>
            </w:pPr>
            <w:r>
              <w:rPr>
                <w:rFonts w:ascii="Calibri" w:hAnsi="Calibri"/>
                <w:b w:val="0"/>
                <w:i w:val="0"/>
                <w:color w:val="172126"/>
                <w:sz w:val="19"/>
              </w:rPr>
              <w:t>Calibración</w:t>
            </w:r>
          </w:p>
        </w:tc>
        <w:tc>
          <w:tcPr>
            <w:tcW w:type="dxa" w:w="3024"/>
            <w:shd w:fill="FFFFFF"/>
            <w:vAlign w:val="center"/>
            <w:tcMar>
              <w:top w:w="90" w:type="dxa"/>
              <w:start w:w="120" w:type="dxa"/>
              <w:bottom w:w="90" w:type="dxa"/>
              <w:end w:w="120" w:type="dxa"/>
            </w:tcMar>
          </w:tcPr>
          <w:p>
            <w:pPr>
              <w:spacing w:after="0"/>
            </w:pPr>
            <w:r>
              <w:rPr>
                <w:rFonts w:ascii="Calibri" w:hAnsi="Calibri"/>
                <w:b w:val="0"/>
                <w:i w:val="0"/>
                <w:color w:val="172126"/>
                <w:sz w:val="19"/>
              </w:rPr>
              <w:t>Curva por bandas, Brier</w:t>
            </w:r>
          </w:p>
        </w:tc>
        <w:tc>
          <w:tcPr>
            <w:tcW w:type="dxa" w:w="4392"/>
            <w:shd w:fill="FFFFFF"/>
            <w:vAlign w:val="center"/>
            <w:tcMar>
              <w:top w:w="90" w:type="dxa"/>
              <w:start w:w="120" w:type="dxa"/>
              <w:bottom w:w="90" w:type="dxa"/>
              <w:end w:w="120" w:type="dxa"/>
            </w:tcMar>
          </w:tcPr>
          <w:p>
            <w:pPr>
              <w:spacing w:after="0"/>
            </w:pPr>
            <w:r>
              <w:rPr>
                <w:rFonts w:ascii="Calibri" w:hAnsi="Calibri"/>
                <w:b w:val="0"/>
                <w:i w:val="0"/>
                <w:color w:val="172126"/>
                <w:sz w:val="19"/>
              </w:rPr>
              <w:t>¿Un 8% observado se parece a 8%?</w:t>
            </w:r>
          </w:p>
        </w:tc>
      </w:tr>
      <w:tr>
        <w:trPr>
          <w:cantSplit/>
          <w:cantSplit/>
          <w:cantSplit/>
        </w:trPr>
        <w:tc>
          <w:tcPr>
            <w:tcW w:type="dxa" w:w="1944"/>
            <w:shd w:fill="F2F6F7"/>
            <w:vAlign w:val="center"/>
            <w:tcMar>
              <w:top w:w="90" w:type="dxa"/>
              <w:start w:w="120" w:type="dxa"/>
              <w:bottom w:w="90" w:type="dxa"/>
              <w:end w:w="120" w:type="dxa"/>
            </w:tcMar>
          </w:tcPr>
          <w:p>
            <w:pPr>
              <w:spacing w:after="0"/>
            </w:pPr>
            <w:r>
              <w:rPr>
                <w:rFonts w:ascii="Calibri" w:hAnsi="Calibri"/>
                <w:b w:val="0"/>
                <w:i w:val="0"/>
                <w:color w:val="172126"/>
                <w:sz w:val="19"/>
              </w:rPr>
              <w:t>Discriminación</w:t>
            </w:r>
          </w:p>
        </w:tc>
        <w:tc>
          <w:tcPr>
            <w:tcW w:type="dxa" w:w="3024"/>
            <w:shd w:fill="F2F6F7"/>
            <w:vAlign w:val="center"/>
            <w:tcMar>
              <w:top w:w="90" w:type="dxa"/>
              <w:start w:w="120" w:type="dxa"/>
              <w:bottom w:w="90" w:type="dxa"/>
              <w:end w:w="120" w:type="dxa"/>
            </w:tcMar>
          </w:tcPr>
          <w:p>
            <w:pPr>
              <w:spacing w:after="0"/>
            </w:pPr>
            <w:r>
              <w:rPr>
                <w:rFonts w:ascii="Calibri" w:hAnsi="Calibri"/>
                <w:b w:val="0"/>
                <w:i w:val="0"/>
                <w:color w:val="172126"/>
                <w:sz w:val="19"/>
              </w:rPr>
              <w:t>AUC/Gini o KS</w:t>
            </w:r>
          </w:p>
        </w:tc>
        <w:tc>
          <w:tcPr>
            <w:tcW w:type="dxa" w:w="4392"/>
            <w:shd w:fill="F2F6F7"/>
            <w:vAlign w:val="center"/>
            <w:tcMar>
              <w:top w:w="90" w:type="dxa"/>
              <w:start w:w="120" w:type="dxa"/>
              <w:bottom w:w="90" w:type="dxa"/>
              <w:end w:w="120" w:type="dxa"/>
            </w:tcMar>
          </w:tcPr>
          <w:p>
            <w:pPr>
              <w:spacing w:after="0"/>
            </w:pPr>
            <w:r>
              <w:rPr>
                <w:rFonts w:ascii="Calibri" w:hAnsi="Calibri"/>
                <w:b w:val="0"/>
                <w:i w:val="0"/>
                <w:color w:val="172126"/>
                <w:sz w:val="19"/>
              </w:rPr>
              <w:t>¿Ordena mejor y peor riesgo?</w:t>
            </w:r>
          </w:p>
        </w:tc>
      </w:tr>
      <w:tr>
        <w:trPr>
          <w:cantSplit/>
          <w:cantSplit/>
        </w:trPr>
        <w:tc>
          <w:tcPr>
            <w:tcW w:type="dxa" w:w="1944"/>
            <w:shd w:fill="FFFFFF"/>
            <w:vAlign w:val="center"/>
            <w:tcMar>
              <w:top w:w="90" w:type="dxa"/>
              <w:start w:w="120" w:type="dxa"/>
              <w:bottom w:w="90" w:type="dxa"/>
              <w:end w:w="120" w:type="dxa"/>
            </w:tcMar>
          </w:tcPr>
          <w:p>
            <w:pPr>
              <w:spacing w:after="0"/>
            </w:pPr>
            <w:r>
              <w:rPr>
                <w:rFonts w:ascii="Calibri" w:hAnsi="Calibri"/>
                <w:b w:val="0"/>
                <w:i w:val="0"/>
                <w:color w:val="172126"/>
                <w:sz w:val="19"/>
              </w:rPr>
              <w:t>Estabilidad</w:t>
            </w:r>
          </w:p>
        </w:tc>
        <w:tc>
          <w:tcPr>
            <w:tcW w:type="dxa" w:w="3024"/>
            <w:shd w:fill="FFFFFF"/>
            <w:vAlign w:val="center"/>
            <w:tcMar>
              <w:top w:w="90" w:type="dxa"/>
              <w:start w:w="120" w:type="dxa"/>
              <w:bottom w:w="90" w:type="dxa"/>
              <w:end w:w="120" w:type="dxa"/>
            </w:tcMar>
          </w:tcPr>
          <w:p>
            <w:pPr>
              <w:spacing w:after="0"/>
            </w:pPr>
            <w:r>
              <w:rPr>
                <w:rFonts w:ascii="Calibri" w:hAnsi="Calibri"/>
                <w:b w:val="0"/>
                <w:i w:val="0"/>
                <w:color w:val="172126"/>
                <w:sz w:val="19"/>
              </w:rPr>
              <w:t>PSI y drift</w:t>
            </w:r>
          </w:p>
        </w:tc>
        <w:tc>
          <w:tcPr>
            <w:tcW w:type="dxa" w:w="4392"/>
            <w:shd w:fill="FFFFFF"/>
            <w:vAlign w:val="center"/>
            <w:tcMar>
              <w:top w:w="90" w:type="dxa"/>
              <w:start w:w="120" w:type="dxa"/>
              <w:bottom w:w="90" w:type="dxa"/>
              <w:end w:w="120" w:type="dxa"/>
            </w:tcMar>
          </w:tcPr>
          <w:p>
            <w:pPr>
              <w:spacing w:after="0"/>
            </w:pPr>
            <w:r>
              <w:rPr>
                <w:rFonts w:ascii="Calibri" w:hAnsi="Calibri"/>
                <w:b w:val="0"/>
                <w:i w:val="0"/>
                <w:color w:val="172126"/>
                <w:sz w:val="19"/>
              </w:rPr>
              <w:t>¿Cambió la población o la señal?</w:t>
            </w:r>
          </w:p>
        </w:tc>
      </w:tr>
      <w:tr>
        <w:trPr>
          <w:cantSplit/>
        </w:trPr>
        <w:tc>
          <w:tcPr>
            <w:tcW w:type="dxa" w:w="1944"/>
            <w:shd w:fill="F2F6F7"/>
            <w:vAlign w:val="center"/>
            <w:tcMar>
              <w:top w:w="90" w:type="dxa"/>
              <w:start w:w="120" w:type="dxa"/>
              <w:bottom w:w="90" w:type="dxa"/>
              <w:end w:w="120" w:type="dxa"/>
            </w:tcMar>
          </w:tcPr>
          <w:p>
            <w:pPr>
              <w:spacing w:after="0"/>
            </w:pPr>
            <w:r>
              <w:rPr>
                <w:rFonts w:ascii="Calibri" w:hAnsi="Calibri"/>
                <w:b w:val="0"/>
                <w:i w:val="0"/>
                <w:color w:val="172126"/>
                <w:sz w:val="19"/>
              </w:rPr>
              <w:t>Negocio</w:t>
            </w:r>
          </w:p>
        </w:tc>
        <w:tc>
          <w:tcPr>
            <w:tcW w:type="dxa" w:w="3024"/>
            <w:shd w:fill="F2F6F7"/>
            <w:vAlign w:val="center"/>
            <w:tcMar>
              <w:top w:w="90" w:type="dxa"/>
              <w:start w:w="120" w:type="dxa"/>
              <w:bottom w:w="90" w:type="dxa"/>
              <w:end w:w="120" w:type="dxa"/>
            </w:tcMar>
          </w:tcPr>
          <w:p>
            <w:pPr>
              <w:spacing w:after="0"/>
            </w:pPr>
            <w:r>
              <w:rPr>
                <w:rFonts w:ascii="Calibri" w:hAnsi="Calibri"/>
                <w:b w:val="0"/>
                <w:i w:val="0"/>
                <w:color w:val="172126"/>
                <w:sz w:val="19"/>
              </w:rPr>
              <w:t>Pérdida real vs esperada</w:t>
            </w:r>
          </w:p>
        </w:tc>
        <w:tc>
          <w:tcPr>
            <w:tcW w:type="dxa" w:w="4392"/>
            <w:shd w:fill="F2F6F7"/>
            <w:vAlign w:val="center"/>
            <w:tcMar>
              <w:top w:w="90" w:type="dxa"/>
              <w:start w:w="120" w:type="dxa"/>
              <w:bottom w:w="90" w:type="dxa"/>
              <w:end w:w="120" w:type="dxa"/>
            </w:tcMar>
          </w:tcPr>
          <w:p>
            <w:pPr>
              <w:spacing w:after="0"/>
            </w:pPr>
            <w:r>
              <w:rPr>
                <w:rFonts w:ascii="Calibri" w:hAnsi="Calibri"/>
                <w:b w:val="0"/>
                <w:i w:val="0"/>
                <w:color w:val="172126"/>
                <w:sz w:val="19"/>
              </w:rPr>
              <w:t>¿La PD sirve para decidir y provisionar?</w:t>
            </w:r>
          </w:p>
        </w:tc>
      </w:tr>
    </w:tbl>
    <w:p>
      <w:pPr>
        <w:spacing w:after="20"/>
      </w:pPr>
    </w:p>
    <w:p>
      <w:r>
        <w:br w:type="page"/>
      </w:r>
    </w:p>
    <w:p>
      <w:pPr>
        <w:pStyle w:val="Heading1"/>
      </w:pPr>
      <w:r>
        <w:t>3. Modelo 2 — Monto y recuperabilidad</w:t>
      </w:r>
    </w:p>
    <w:p>
      <w:pPr>
        <w:spacing w:after="120" w:line="264" w:lineRule="auto"/>
      </w:pPr>
      <w:r>
        <w:rPr>
          <w:rFonts w:ascii="Calibri" w:hAnsi="Calibri"/>
          <w:b w:val="0"/>
          <w:i w:val="0"/>
          <w:color w:val="172126"/>
          <w:sz w:val="22"/>
        </w:rPr>
        <w:t>El monto no debe aprenderse únicamente de operaciones pagadas ni usar como etiqueta el monto repagado. Eso introduce sesgo de supervivencia y reproduce límites anteriores. La arquitectura estima ingresos futuros conservadores y aplica una política de recuperabilidad.</w:t>
      </w:r>
    </w:p>
    <w:p>
      <w:pPr>
        <w:pStyle w:val="Heading2"/>
      </w:pPr>
      <w:r>
        <w:t>Ingreso futuro conservador</w:t>
      </w:r>
    </w:p>
    <w:p>
      <w:pPr>
        <w:spacing w:before="80" w:after="160"/>
        <w:ind w:left="259" w:right="259"/>
        <w:shd w:fill="EAF0FF"/>
      </w:pPr>
      <w:r>
        <w:rPr>
          <w:rFonts w:ascii="Consolas" w:hAnsi="Consolas"/>
          <w:b/>
          <w:i w:val="0"/>
          <w:color w:val="075965"/>
          <w:sz w:val="20"/>
        </w:rPr>
        <w:t>P10_ajustado = P10_ingreso_neto × (1 - caída_temporada)</w:t>
      </w:r>
    </w:p>
    <w:p>
      <w:pPr>
        <w:spacing w:after="120" w:line="264" w:lineRule="auto"/>
      </w:pPr>
      <w:r>
        <w:rPr>
          <w:rFonts w:ascii="Calibri" w:hAnsi="Calibri"/>
          <w:b w:val="0"/>
          <w:i w:val="0"/>
          <w:color w:val="172126"/>
          <w:sz w:val="22"/>
        </w:rPr>
        <w:t>En el MVP el P10 está precargado. Con datos suficientes se estima mediante regresión cuantílica o series temporales y se valida midiendo la frecuencia real de incumplimiento del percentil.</w:t>
      </w:r>
    </w:p>
    <w:p>
      <w:pPr>
        <w:pStyle w:val="Heading2"/>
      </w:pPr>
      <w:r>
        <w:t>Fórmula híbrida de monto</w:t>
      </w:r>
    </w:p>
    <w:p>
      <w:pPr>
        <w:spacing w:before="80" w:after="160"/>
        <w:ind w:left="259" w:right="259"/>
        <w:shd w:fill="EAF0FF"/>
      </w:pPr>
      <w:r>
        <w:rPr>
          <w:rFonts w:ascii="Consolas" w:hAnsi="Consolas"/>
          <w:b/>
          <w:i w:val="0"/>
          <w:color w:val="075965"/>
          <w:sz w:val="20"/>
        </w:rPr>
        <w:t>tope_recuperable = P10_ajustado × retención / (1 + fee_contractual)</w:t>
      </w:r>
    </w:p>
    <w:p>
      <w:pPr>
        <w:spacing w:before="80" w:after="160"/>
        <w:ind w:left="259" w:right="259"/>
        <w:shd w:fill="EAF0FF"/>
      </w:pPr>
      <w:r>
        <w:rPr>
          <w:rFonts w:ascii="Consolas" w:hAnsi="Consolas"/>
          <w:b/>
          <w:i w:val="0"/>
          <w:color w:val="075965"/>
          <w:sz w:val="20"/>
        </w:rPr>
        <w:t>tope_ajustado_PD = tope_recuperable × (1 - PD)</w:t>
      </w:r>
    </w:p>
    <w:p>
      <w:pPr>
        <w:spacing w:before="80" w:after="160"/>
        <w:ind w:left="259" w:right="259"/>
        <w:shd w:fill="EAF0FF"/>
      </w:pPr>
      <w:r>
        <w:rPr>
          <w:rFonts w:ascii="Consolas" w:hAnsi="Consolas"/>
          <w:b/>
          <w:i w:val="0"/>
          <w:color w:val="075965"/>
          <w:sz w:val="20"/>
        </w:rPr>
        <w:t>monto_recomendado = min(monto_solicitado, tope_ajustado_PD, límite_política)</w:t>
      </w:r>
    </w:p>
    <w:p>
      <w:pPr>
        <w:spacing w:after="120" w:line="264" w:lineRule="auto"/>
      </w:pPr>
      <w:r>
        <w:rPr>
          <w:rFonts w:ascii="Calibri" w:hAnsi="Calibri"/>
          <w:b w:val="0"/>
          <w:i w:val="0"/>
          <w:color w:val="172126"/>
          <w:sz w:val="22"/>
        </w:rPr>
        <w:t>Las reservas confirmadas se calculan por separado como cobertura visible. Esta métrica muestra cuánto del total contractual ya puede observarse, sin confundir reservas actuales con todo el flujo futuro esperado.</w:t>
      </w:r>
    </w:p>
    <w:p>
      <w:pPr>
        <w:pStyle w:val="Heading2"/>
      </w:pPr>
      <w:r>
        <w:t>Política de decisión MVP</w:t>
      </w:r>
    </w:p>
    <w:tbl>
      <w:tblPr>
        <w:tblStyle w:val="TableGrid"/>
        <w:tblW w:type="dxa" w:w="9360"/>
        <w:tblLayout w:type="fixed"/>
        <w:tblLook w:firstColumn="1" w:firstRow="1" w:lastColumn="0" w:lastRow="0" w:noHBand="0" w:noVBand="1" w:val="04A0"/>
        <w:jc w:val="left"/>
        <w:tblInd w:type="dxa" w:w="120"/>
      </w:tblPr>
      <w:tblGrid>
        <w:gridCol w:w="6120"/>
        <w:gridCol w:w="3240"/>
      </w:tblGrid>
      <w:tr>
        <w:trPr>
          <w:cantSplit/>
          <w:tblHeader w:val="true"/>
          <w:cantSplit/>
          <w:cantSplit/>
          <w:cantSplit/>
          <w:cantSplit/>
          <w:cantSplit/>
        </w:trPr>
        <w:tc>
          <w:tcPr>
            <w:tcW w:type="dxa" w:w="6120"/>
            <w:vAlign w:val="center"/>
            <w:tcMar>
              <w:top w:w="90" w:type="dxa"/>
              <w:start w:w="120" w:type="dxa"/>
              <w:bottom w:w="90" w:type="dxa"/>
              <w:end w:w="120" w:type="dxa"/>
            </w:tcMar>
            <w:shd w:fill="087F8C"/>
          </w:tcPr>
          <w:p>
            <w:pPr>
              <w:jc w:val="left"/>
            </w:pPr>
            <w:r>
              <w:rPr>
                <w:rFonts w:ascii="Calibri" w:hAnsi="Calibri"/>
                <w:b/>
                <w:i w:val="0"/>
                <w:color w:val="FFFFFF"/>
                <w:sz w:val="19"/>
              </w:rPr>
              <w:t>Condición</w:t>
            </w:r>
          </w:p>
        </w:tc>
        <w:tc>
          <w:tcPr>
            <w:tcW w:type="dxa" w:w="3240"/>
            <w:vAlign w:val="center"/>
            <w:tcMar>
              <w:top w:w="90" w:type="dxa"/>
              <w:start w:w="120" w:type="dxa"/>
              <w:bottom w:w="90" w:type="dxa"/>
              <w:end w:w="120" w:type="dxa"/>
            </w:tcMar>
            <w:shd w:fill="087F8C"/>
          </w:tcPr>
          <w:p>
            <w:pPr>
              <w:jc w:val="left"/>
            </w:pPr>
            <w:r>
              <w:rPr>
                <w:rFonts w:ascii="Calibri" w:hAnsi="Calibri"/>
                <w:b/>
                <w:i w:val="0"/>
                <w:color w:val="FFFFFF"/>
                <w:sz w:val="19"/>
              </w:rPr>
              <w:t>Decisión</w:t>
            </w:r>
          </w:p>
        </w:tc>
      </w:tr>
      <w:tr>
        <w:trPr>
          <w:cantSplit/>
          <w:cantSplit/>
          <w:cantSplit/>
          <w:cantSplit/>
          <w:cantSplit/>
        </w:trPr>
        <w:tc>
          <w:tcPr>
            <w:tcW w:type="dxa" w:w="6120"/>
            <w:shd w:fill="FFFFFF"/>
            <w:vAlign w:val="center"/>
            <w:tcMar>
              <w:top w:w="90" w:type="dxa"/>
              <w:start w:w="120" w:type="dxa"/>
              <w:bottom w:w="90" w:type="dxa"/>
              <w:end w:w="120" w:type="dxa"/>
            </w:tcMar>
          </w:tcPr>
          <w:p>
            <w:pPr>
              <w:spacing w:after="0"/>
            </w:pPr>
            <w:r>
              <w:rPr>
                <w:rFonts w:ascii="Calibri" w:hAnsi="Calibri"/>
                <w:b w:val="0"/>
                <w:i w:val="0"/>
                <w:color w:val="172126"/>
                <w:sz w:val="19"/>
              </w:rPr>
              <w:t>Regla dura, score &lt; 50 o PD ≥ 35%</w:t>
            </w:r>
          </w:p>
        </w:tc>
        <w:tc>
          <w:tcPr>
            <w:tcW w:type="dxa" w:w="3240"/>
            <w:shd w:fill="FFFFFF"/>
            <w:vAlign w:val="center"/>
            <w:tcMar>
              <w:top w:w="90" w:type="dxa"/>
              <w:start w:w="120" w:type="dxa"/>
              <w:bottom w:w="90" w:type="dxa"/>
              <w:end w:w="120" w:type="dxa"/>
            </w:tcMar>
          </w:tcPr>
          <w:p>
            <w:pPr>
              <w:spacing w:after="0"/>
            </w:pPr>
            <w:r>
              <w:rPr>
                <w:rFonts w:ascii="Calibri" w:hAnsi="Calibri"/>
                <w:b w:val="0"/>
                <w:i w:val="0"/>
                <w:color w:val="172126"/>
                <w:sz w:val="19"/>
              </w:rPr>
              <w:t>Rechazado</w:t>
            </w:r>
          </w:p>
        </w:tc>
      </w:tr>
      <w:tr>
        <w:trPr>
          <w:cantSplit/>
          <w:cantSplit/>
          <w:cantSplit/>
          <w:cantSplit/>
        </w:trPr>
        <w:tc>
          <w:tcPr>
            <w:tcW w:type="dxa" w:w="6120"/>
            <w:shd w:fill="F2F6F7"/>
            <w:vAlign w:val="center"/>
            <w:tcMar>
              <w:top w:w="90" w:type="dxa"/>
              <w:start w:w="120" w:type="dxa"/>
              <w:bottom w:w="90" w:type="dxa"/>
              <w:end w:w="120" w:type="dxa"/>
            </w:tcMar>
          </w:tcPr>
          <w:p>
            <w:pPr>
              <w:spacing w:after="0"/>
            </w:pPr>
            <w:r>
              <w:rPr>
                <w:rFonts w:ascii="Calibri" w:hAnsi="Calibri"/>
                <w:b w:val="0"/>
                <w:i w:val="0"/>
                <w:color w:val="172126"/>
                <w:sz w:val="19"/>
              </w:rPr>
              <w:t>Score &lt; 65 o PD ≥ 15%</w:t>
            </w:r>
          </w:p>
        </w:tc>
        <w:tc>
          <w:tcPr>
            <w:tcW w:type="dxa" w:w="3240"/>
            <w:shd w:fill="F2F6F7"/>
            <w:vAlign w:val="center"/>
            <w:tcMar>
              <w:top w:w="90" w:type="dxa"/>
              <w:start w:w="120" w:type="dxa"/>
              <w:bottom w:w="90" w:type="dxa"/>
              <w:end w:w="120" w:type="dxa"/>
            </w:tcMar>
          </w:tcPr>
          <w:p>
            <w:pPr>
              <w:spacing w:after="0"/>
            </w:pPr>
            <w:r>
              <w:rPr>
                <w:rFonts w:ascii="Calibri" w:hAnsi="Calibri"/>
                <w:b w:val="0"/>
                <w:i w:val="0"/>
                <w:color w:val="172126"/>
                <w:sz w:val="19"/>
              </w:rPr>
              <w:t>Línea piloto</w:t>
            </w:r>
          </w:p>
        </w:tc>
      </w:tr>
      <w:tr>
        <w:trPr>
          <w:cantSplit/>
          <w:cantSplit/>
          <w:cantSplit/>
        </w:trPr>
        <w:tc>
          <w:tcPr>
            <w:tcW w:type="dxa" w:w="6120"/>
            <w:shd w:fill="FFFFFF"/>
            <w:vAlign w:val="center"/>
            <w:tcMar>
              <w:top w:w="90" w:type="dxa"/>
              <w:start w:w="120" w:type="dxa"/>
              <w:bottom w:w="90" w:type="dxa"/>
              <w:end w:w="120" w:type="dxa"/>
            </w:tcMar>
          </w:tcPr>
          <w:p>
            <w:pPr>
              <w:spacing w:after="0"/>
            </w:pPr>
            <w:r>
              <w:rPr>
                <w:rFonts w:ascii="Calibri" w:hAnsi="Calibri"/>
                <w:b w:val="0"/>
                <w:i w:val="0"/>
                <w:color w:val="172126"/>
                <w:sz w:val="19"/>
              </w:rPr>
              <w:t>Monto recomendado ≥ 95% del pedido</w:t>
            </w:r>
          </w:p>
        </w:tc>
        <w:tc>
          <w:tcPr>
            <w:tcW w:type="dxa" w:w="3240"/>
            <w:shd w:fill="FFFFFF"/>
            <w:vAlign w:val="center"/>
            <w:tcMar>
              <w:top w:w="90" w:type="dxa"/>
              <w:start w:w="120" w:type="dxa"/>
              <w:bottom w:w="90" w:type="dxa"/>
              <w:end w:w="120" w:type="dxa"/>
            </w:tcMar>
          </w:tcPr>
          <w:p>
            <w:pPr>
              <w:spacing w:after="0"/>
            </w:pPr>
            <w:r>
              <w:rPr>
                <w:rFonts w:ascii="Calibri" w:hAnsi="Calibri"/>
                <w:b w:val="0"/>
                <w:i w:val="0"/>
                <w:color w:val="172126"/>
                <w:sz w:val="19"/>
              </w:rPr>
              <w:t>Aprobado</w:t>
            </w:r>
          </w:p>
        </w:tc>
      </w:tr>
      <w:tr>
        <w:trPr>
          <w:cantSplit/>
          <w:cantSplit/>
        </w:trPr>
        <w:tc>
          <w:tcPr>
            <w:tcW w:type="dxa" w:w="6120"/>
            <w:shd w:fill="F2F6F7"/>
            <w:vAlign w:val="center"/>
            <w:tcMar>
              <w:top w:w="90" w:type="dxa"/>
              <w:start w:w="120" w:type="dxa"/>
              <w:bottom w:w="90" w:type="dxa"/>
              <w:end w:w="120" w:type="dxa"/>
            </w:tcMar>
          </w:tcPr>
          <w:p>
            <w:pPr>
              <w:spacing w:after="0"/>
            </w:pPr>
            <w:r>
              <w:rPr>
                <w:rFonts w:ascii="Calibri" w:hAnsi="Calibri"/>
                <w:b w:val="0"/>
                <w:i w:val="0"/>
                <w:color w:val="172126"/>
                <w:sz w:val="19"/>
              </w:rPr>
              <w:t>Monto recomendado ≥ 45% del pedido</w:t>
            </w:r>
          </w:p>
        </w:tc>
        <w:tc>
          <w:tcPr>
            <w:tcW w:type="dxa" w:w="3240"/>
            <w:shd w:fill="F2F6F7"/>
            <w:vAlign w:val="center"/>
            <w:tcMar>
              <w:top w:w="90" w:type="dxa"/>
              <w:start w:w="120" w:type="dxa"/>
              <w:bottom w:w="90" w:type="dxa"/>
              <w:end w:w="120" w:type="dxa"/>
            </w:tcMar>
          </w:tcPr>
          <w:p>
            <w:pPr>
              <w:spacing w:after="0"/>
            </w:pPr>
            <w:r>
              <w:rPr>
                <w:rFonts w:ascii="Calibri" w:hAnsi="Calibri"/>
                <w:b w:val="0"/>
                <w:i w:val="0"/>
                <w:color w:val="172126"/>
                <w:sz w:val="19"/>
              </w:rPr>
              <w:t>Aprobación parcial</w:t>
            </w:r>
          </w:p>
        </w:tc>
      </w:tr>
      <w:tr>
        <w:trPr>
          <w:cantSplit/>
        </w:trPr>
        <w:tc>
          <w:tcPr>
            <w:tcW w:type="dxa" w:w="6120"/>
            <w:shd w:fill="FFFFFF"/>
            <w:vAlign w:val="center"/>
            <w:tcMar>
              <w:top w:w="90" w:type="dxa"/>
              <w:start w:w="120" w:type="dxa"/>
              <w:bottom w:w="90" w:type="dxa"/>
              <w:end w:w="120" w:type="dxa"/>
            </w:tcMar>
          </w:tcPr>
          <w:p>
            <w:pPr>
              <w:spacing w:after="0"/>
            </w:pPr>
            <w:r>
              <w:rPr>
                <w:rFonts w:ascii="Calibri" w:hAnsi="Calibri"/>
                <w:b w:val="0"/>
                <w:i w:val="0"/>
                <w:color w:val="172126"/>
                <w:sz w:val="19"/>
              </w:rPr>
              <w:t>Monto positivo restante</w:t>
            </w:r>
          </w:p>
        </w:tc>
        <w:tc>
          <w:tcPr>
            <w:tcW w:type="dxa" w:w="3240"/>
            <w:shd w:fill="FFFFFF"/>
            <w:vAlign w:val="center"/>
            <w:tcMar>
              <w:top w:w="90" w:type="dxa"/>
              <w:start w:w="120" w:type="dxa"/>
              <w:bottom w:w="90" w:type="dxa"/>
              <w:end w:w="120" w:type="dxa"/>
            </w:tcMar>
          </w:tcPr>
          <w:p>
            <w:pPr>
              <w:spacing w:after="0"/>
            </w:pPr>
            <w:r>
              <w:rPr>
                <w:rFonts w:ascii="Calibri" w:hAnsi="Calibri"/>
                <w:b w:val="0"/>
                <w:i w:val="0"/>
                <w:color w:val="172126"/>
                <w:sz w:val="19"/>
              </w:rPr>
              <w:t>Línea piloto</w:t>
            </w:r>
          </w:p>
        </w:tc>
      </w:tr>
    </w:tbl>
    <w:p>
      <w:pPr>
        <w:spacing w:after="20"/>
      </w:pPr>
    </w:p>
    <w:p>
      <w:r>
        <w:br w:type="page"/>
      </w:r>
    </w:p>
    <w:p>
      <w:pPr>
        <w:pStyle w:val="Heading1"/>
      </w:pPr>
      <w:r>
        <w:t>4. Modelo 3 — Pricing explicable</w:t>
      </w:r>
    </w:p>
    <w:p>
      <w:pPr>
        <w:spacing w:after="120" w:line="264" w:lineRule="auto"/>
      </w:pPr>
      <w:r>
        <w:rPr>
          <w:rFonts w:ascii="Calibri" w:hAnsi="Calibri"/>
          <w:b w:val="0"/>
          <w:i w:val="0"/>
          <w:color w:val="172126"/>
          <w:sz w:val="22"/>
        </w:rPr>
        <w:t>El producto conserva un fee contractual visible para el host y calcula, en paralelo, un fee sugerido. Esta comparación permite detectar operaciones que no cubren fondeo y riesgo sin cambiar automáticamente el contrato.</w:t>
      </w:r>
    </w:p>
    <w:p>
      <w:pPr>
        <w:spacing w:before="80" w:after="160"/>
        <w:ind w:left="259" w:right="259"/>
        <w:shd w:fill="EAF0FF"/>
      </w:pPr>
      <w:r>
        <w:rPr>
          <w:rFonts w:ascii="Consolas" w:hAnsi="Consolas"/>
          <w:b/>
          <w:i w:val="0"/>
          <w:color w:val="075965"/>
          <w:sz w:val="20"/>
        </w:rPr>
        <w:t>prima_riesgo_anual = (PD × LGD) / (1 - PD)</w:t>
      </w:r>
    </w:p>
    <w:p>
      <w:pPr>
        <w:spacing w:before="80" w:after="160"/>
        <w:ind w:left="259" w:right="259"/>
        <w:shd w:fill="EAF0FF"/>
      </w:pPr>
      <w:r>
        <w:rPr>
          <w:rFonts w:ascii="Consolas" w:hAnsi="Consolas"/>
          <w:b/>
          <w:i w:val="0"/>
          <w:color w:val="075965"/>
          <w:sz w:val="20"/>
        </w:rPr>
        <w:t>tasa_anual_sugerida = fondeo_anual + margen_objetivo_anual + prima_riesgo_anual</w:t>
      </w:r>
    </w:p>
    <w:p>
      <w:pPr>
        <w:spacing w:before="80" w:after="160"/>
        <w:ind w:left="259" w:right="259"/>
        <w:shd w:fill="EAF0FF"/>
      </w:pPr>
      <w:r>
        <w:rPr>
          <w:rFonts w:ascii="Consolas" w:hAnsi="Consolas"/>
          <w:b/>
          <w:i w:val="0"/>
          <w:color w:val="075965"/>
          <w:sz w:val="20"/>
        </w:rPr>
        <w:t>fee_sugerido = tasa_anual_sugerida × meses / 12 + costo_operativo_por_operación</w:t>
      </w:r>
    </w:p>
    <w:p>
      <w:pPr>
        <w:spacing w:before="80" w:after="200"/>
        <w:ind w:left="259" w:right="259"/>
        <w:shd w:fill="EAF0FF"/>
      </w:pPr>
      <w:r>
        <w:rPr>
          <w:rFonts w:ascii="Calibri" w:hAnsi="Calibri"/>
          <w:b/>
          <w:i w:val="0"/>
          <w:color w:val="075965"/>
          <w:sz w:val="22"/>
        </w:rPr>
        <w:t xml:space="preserve">Distinción clave: </w:t>
      </w:r>
      <w:r>
        <w:rPr>
          <w:rFonts w:ascii="Calibri" w:hAnsi="Calibri"/>
          <w:b w:val="0"/>
          <w:i w:val="0"/>
          <w:color w:val="172126"/>
          <w:sz w:val="22"/>
        </w:rPr>
        <w:t>La tasa es anual; el fee es el costo total de una operación de plazo concreto. No deben compararse como si fueran la misma unidad.</w:t>
      </w:r>
    </w:p>
    <w:p>
      <w:pPr>
        <w:pStyle w:val="Heading2"/>
      </w:pPr>
      <w:r>
        <w:t>Unit economics individual</w:t>
      </w:r>
    </w:p>
    <w:p>
      <w:pPr>
        <w:spacing w:before="80" w:after="160"/>
        <w:ind w:left="259" w:right="259"/>
        <w:shd w:fill="EAF0FF"/>
      </w:pPr>
      <w:r>
        <w:rPr>
          <w:rFonts w:ascii="Consolas" w:hAnsi="Consolas"/>
          <w:b/>
          <w:i w:val="0"/>
          <w:color w:val="075965"/>
          <w:sz w:val="20"/>
        </w:rPr>
        <w:t>pérdida_esperada_host = principal × PD_host × LGD</w:t>
      </w:r>
    </w:p>
    <w:p>
      <w:pPr>
        <w:spacing w:before="80" w:after="160"/>
        <w:ind w:left="259" w:right="259"/>
        <w:shd w:fill="EAF0FF"/>
      </w:pPr>
      <w:r>
        <w:rPr>
          <w:rFonts w:ascii="Consolas" w:hAnsi="Consolas"/>
          <w:b/>
          <w:i w:val="0"/>
          <w:color w:val="075965"/>
          <w:sz w:val="20"/>
        </w:rPr>
        <w:t>contribución = fee - costo_fondeo_por_plazo - pérdida_esperada - costo_operativo</w:t>
      </w:r>
    </w:p>
    <w:p>
      <w:pPr>
        <w:spacing w:after="120" w:line="264" w:lineRule="auto"/>
      </w:pPr>
      <w:r>
        <w:rPr>
          <w:rFonts w:ascii="Calibri" w:hAnsi="Calibri"/>
          <w:b w:val="0"/>
          <w:i w:val="0"/>
          <w:color w:val="172126"/>
          <w:sz w:val="22"/>
        </w:rPr>
        <w:t>La cartera deja de usar una única PD global. Cada host aporta su propia pérdida esperada y la sensibilidad aplica stress proporcional a todas las PD individuales.</w:t>
      </w:r>
    </w:p>
    <w:p>
      <w:pPr>
        <w:pStyle w:val="Heading2"/>
      </w:pPr>
      <w:r>
        <w:t>Ejemplo: María, Bariloche</w:t>
      </w:r>
    </w:p>
    <w:tbl>
      <w:tblPr>
        <w:tblStyle w:val="TableGrid"/>
        <w:tblW w:type="dxa" w:w="9360"/>
        <w:tblLayout w:type="fixed"/>
        <w:tblLook w:firstColumn="1" w:firstRow="1" w:lastColumn="0" w:lastRow="0" w:noHBand="0" w:noVBand="1" w:val="04A0"/>
        <w:jc w:val="left"/>
        <w:tblInd w:type="dxa" w:w="120"/>
      </w:tblPr>
      <w:tblGrid>
        <w:gridCol w:w="3816"/>
        <w:gridCol w:w="5544"/>
      </w:tblGrid>
      <w:tr>
        <w:trPr>
          <w:cantSplit/>
          <w:tblHeader w:val="true"/>
          <w:cantSplit/>
          <w:cantSplit/>
          <w:cantSplit/>
          <w:cantSplit/>
          <w:cantSplit/>
          <w:cantSplit/>
          <w:cantSplit/>
          <w:cantSplit/>
        </w:trPr>
        <w:tc>
          <w:tcPr>
            <w:tcW w:type="dxa" w:w="3816"/>
            <w:vAlign w:val="center"/>
            <w:tcMar>
              <w:top w:w="90" w:type="dxa"/>
              <w:start w:w="120" w:type="dxa"/>
              <w:bottom w:w="90" w:type="dxa"/>
              <w:end w:w="120" w:type="dxa"/>
            </w:tcMar>
            <w:shd w:fill="087F8C"/>
          </w:tcPr>
          <w:p>
            <w:pPr>
              <w:jc w:val="left"/>
            </w:pPr>
            <w:r>
              <w:rPr>
                <w:rFonts w:ascii="Calibri" w:hAnsi="Calibri"/>
                <w:b/>
                <w:i w:val="0"/>
                <w:color w:val="FFFFFF"/>
                <w:sz w:val="19"/>
              </w:rPr>
              <w:t>Variable</w:t>
            </w:r>
          </w:p>
        </w:tc>
        <w:tc>
          <w:tcPr>
            <w:tcW w:type="dxa" w:w="5544"/>
            <w:vAlign w:val="center"/>
            <w:tcMar>
              <w:top w:w="90" w:type="dxa"/>
              <w:start w:w="120" w:type="dxa"/>
              <w:bottom w:w="90" w:type="dxa"/>
              <w:end w:w="120" w:type="dxa"/>
            </w:tcMar>
            <w:shd w:fill="087F8C"/>
          </w:tcPr>
          <w:p>
            <w:pPr>
              <w:jc w:val="left"/>
            </w:pPr>
            <w:r>
              <w:rPr>
                <w:rFonts w:ascii="Calibri" w:hAnsi="Calibri"/>
                <w:b/>
                <w:i w:val="0"/>
                <w:color w:val="FFFFFF"/>
                <w:sz w:val="19"/>
              </w:rPr>
              <w:t>Valor base</w:t>
            </w:r>
          </w:p>
        </w:tc>
      </w:tr>
      <w:tr>
        <w:trPr>
          <w:cantSplit/>
          <w:cantSplit/>
          <w:cantSplit/>
          <w:cantSplit/>
          <w:cantSplit/>
          <w:cantSplit/>
          <w:cantSplit/>
          <w:cantSplit/>
        </w:trPr>
        <w:tc>
          <w:tcPr>
            <w:tcW w:type="dxa" w:w="3816"/>
            <w:shd w:fill="FFFFFF"/>
            <w:vAlign w:val="center"/>
            <w:tcMar>
              <w:top w:w="90" w:type="dxa"/>
              <w:start w:w="120" w:type="dxa"/>
              <w:bottom w:w="90" w:type="dxa"/>
              <w:end w:w="120" w:type="dxa"/>
            </w:tcMar>
          </w:tcPr>
          <w:p>
            <w:pPr>
              <w:spacing w:after="0"/>
            </w:pPr>
            <w:r>
              <w:rPr>
                <w:rFonts w:ascii="Calibri" w:hAnsi="Calibri"/>
                <w:b w:val="0"/>
                <w:i w:val="0"/>
                <w:color w:val="172126"/>
                <w:sz w:val="19"/>
              </w:rPr>
              <w:t>Score</w:t>
            </w:r>
          </w:p>
        </w:tc>
        <w:tc>
          <w:tcPr>
            <w:tcW w:type="dxa" w:w="5544"/>
            <w:shd w:fill="FFFFFF"/>
            <w:vAlign w:val="center"/>
            <w:tcMar>
              <w:top w:w="90" w:type="dxa"/>
              <w:start w:w="120" w:type="dxa"/>
              <w:bottom w:w="90" w:type="dxa"/>
              <w:end w:w="120" w:type="dxa"/>
            </w:tcMar>
          </w:tcPr>
          <w:p>
            <w:pPr>
              <w:spacing w:after="0"/>
            </w:pPr>
            <w:r>
              <w:rPr>
                <w:rFonts w:ascii="Calibri" w:hAnsi="Calibri"/>
                <w:b w:val="0"/>
                <w:i w:val="0"/>
                <w:color w:val="172126"/>
                <w:sz w:val="19"/>
              </w:rPr>
              <w:t>89,0</w:t>
            </w:r>
          </w:p>
        </w:tc>
      </w:tr>
      <w:tr>
        <w:trPr>
          <w:cantSplit/>
          <w:cantSplit/>
          <w:cantSplit/>
          <w:cantSplit/>
          <w:cantSplit/>
          <w:cantSplit/>
          <w:cantSplit/>
        </w:trPr>
        <w:tc>
          <w:tcPr>
            <w:tcW w:type="dxa" w:w="3816"/>
            <w:shd w:fill="F2F6F7"/>
            <w:vAlign w:val="center"/>
            <w:tcMar>
              <w:top w:w="90" w:type="dxa"/>
              <w:start w:w="120" w:type="dxa"/>
              <w:bottom w:w="90" w:type="dxa"/>
              <w:end w:w="120" w:type="dxa"/>
            </w:tcMar>
          </w:tcPr>
          <w:p>
            <w:pPr>
              <w:spacing w:after="0"/>
            </w:pPr>
            <w:r>
              <w:rPr>
                <w:rFonts w:ascii="Calibri" w:hAnsi="Calibri"/>
                <w:b w:val="0"/>
                <w:i w:val="0"/>
                <w:color w:val="172126"/>
                <w:sz w:val="19"/>
              </w:rPr>
              <w:t>PD proxy 12m</w:t>
            </w:r>
          </w:p>
        </w:tc>
        <w:tc>
          <w:tcPr>
            <w:tcW w:type="dxa" w:w="5544"/>
            <w:shd w:fill="F2F6F7"/>
            <w:vAlign w:val="center"/>
            <w:tcMar>
              <w:top w:w="90" w:type="dxa"/>
              <w:start w:w="120" w:type="dxa"/>
              <w:bottom w:w="90" w:type="dxa"/>
              <w:end w:w="120" w:type="dxa"/>
            </w:tcMar>
          </w:tcPr>
          <w:p>
            <w:pPr>
              <w:spacing w:after="0"/>
            </w:pPr>
            <w:r>
              <w:rPr>
                <w:rFonts w:ascii="Calibri" w:hAnsi="Calibri"/>
                <w:b w:val="0"/>
                <w:i w:val="0"/>
                <w:color w:val="172126"/>
                <w:sz w:val="19"/>
              </w:rPr>
              <w:t>2,64%</w:t>
            </w:r>
          </w:p>
        </w:tc>
      </w:tr>
      <w:tr>
        <w:trPr>
          <w:cantSplit/>
          <w:cantSplit/>
          <w:cantSplit/>
          <w:cantSplit/>
          <w:cantSplit/>
          <w:cantSplit/>
        </w:trPr>
        <w:tc>
          <w:tcPr>
            <w:tcW w:type="dxa" w:w="3816"/>
            <w:shd w:fill="FFFFFF"/>
            <w:vAlign w:val="center"/>
            <w:tcMar>
              <w:top w:w="90" w:type="dxa"/>
              <w:start w:w="120" w:type="dxa"/>
              <w:bottom w:w="90" w:type="dxa"/>
              <w:end w:w="120" w:type="dxa"/>
            </w:tcMar>
          </w:tcPr>
          <w:p>
            <w:pPr>
              <w:spacing w:after="0"/>
            </w:pPr>
            <w:r>
              <w:rPr>
                <w:rFonts w:ascii="Calibri" w:hAnsi="Calibri"/>
                <w:b w:val="0"/>
                <w:i w:val="0"/>
                <w:color w:val="172126"/>
                <w:sz w:val="19"/>
              </w:rPr>
              <w:t>P10 futuro</w:t>
            </w:r>
          </w:p>
        </w:tc>
        <w:tc>
          <w:tcPr>
            <w:tcW w:type="dxa" w:w="5544"/>
            <w:shd w:fill="FFFFFF"/>
            <w:vAlign w:val="center"/>
            <w:tcMar>
              <w:top w:w="90" w:type="dxa"/>
              <w:start w:w="120" w:type="dxa"/>
              <w:bottom w:w="90" w:type="dxa"/>
              <w:end w:w="120" w:type="dxa"/>
            </w:tcMar>
          </w:tcPr>
          <w:p>
            <w:pPr>
              <w:spacing w:after="0"/>
            </w:pPr>
            <w:r>
              <w:rPr>
                <w:rFonts w:ascii="Calibri" w:hAnsi="Calibri"/>
                <w:b w:val="0"/>
                <w:i w:val="0"/>
                <w:color w:val="172126"/>
                <w:sz w:val="19"/>
              </w:rPr>
              <w:t>ARS 11.800.000</w:t>
            </w:r>
          </w:p>
        </w:tc>
      </w:tr>
      <w:tr>
        <w:trPr>
          <w:cantSplit/>
          <w:cantSplit/>
          <w:cantSplit/>
          <w:cantSplit/>
          <w:cantSplit/>
        </w:trPr>
        <w:tc>
          <w:tcPr>
            <w:tcW w:type="dxa" w:w="3816"/>
            <w:shd w:fill="F2F6F7"/>
            <w:vAlign w:val="center"/>
            <w:tcMar>
              <w:top w:w="90" w:type="dxa"/>
              <w:start w:w="120" w:type="dxa"/>
              <w:bottom w:w="90" w:type="dxa"/>
              <w:end w:w="120" w:type="dxa"/>
            </w:tcMar>
          </w:tcPr>
          <w:p>
            <w:pPr>
              <w:spacing w:after="0"/>
            </w:pPr>
            <w:r>
              <w:rPr>
                <w:rFonts w:ascii="Calibri" w:hAnsi="Calibri"/>
                <w:b w:val="0"/>
                <w:i w:val="0"/>
                <w:color w:val="172126"/>
                <w:sz w:val="19"/>
              </w:rPr>
              <w:t>Retención / fee contractual</w:t>
            </w:r>
          </w:p>
        </w:tc>
        <w:tc>
          <w:tcPr>
            <w:tcW w:type="dxa" w:w="5544"/>
            <w:shd w:fill="F2F6F7"/>
            <w:vAlign w:val="center"/>
            <w:tcMar>
              <w:top w:w="90" w:type="dxa"/>
              <w:start w:w="120" w:type="dxa"/>
              <w:bottom w:w="90" w:type="dxa"/>
              <w:end w:w="120" w:type="dxa"/>
            </w:tcMar>
          </w:tcPr>
          <w:p>
            <w:pPr>
              <w:spacing w:after="0"/>
            </w:pPr>
            <w:r>
              <w:rPr>
                <w:rFonts w:ascii="Calibri" w:hAnsi="Calibri"/>
                <w:b w:val="0"/>
                <w:i w:val="0"/>
                <w:color w:val="172126"/>
                <w:sz w:val="19"/>
              </w:rPr>
              <w:t>28% / 10%</w:t>
            </w:r>
          </w:p>
        </w:tc>
      </w:tr>
      <w:tr>
        <w:trPr>
          <w:cantSplit/>
          <w:cantSplit/>
          <w:cantSplit/>
          <w:cantSplit/>
        </w:trPr>
        <w:tc>
          <w:tcPr>
            <w:tcW w:type="dxa" w:w="3816"/>
            <w:shd w:fill="FFFFFF"/>
            <w:vAlign w:val="center"/>
            <w:tcMar>
              <w:top w:w="90" w:type="dxa"/>
              <w:start w:w="120" w:type="dxa"/>
              <w:bottom w:w="90" w:type="dxa"/>
              <w:end w:w="120" w:type="dxa"/>
            </w:tcMar>
          </w:tcPr>
          <w:p>
            <w:pPr>
              <w:spacing w:after="0"/>
            </w:pPr>
            <w:r>
              <w:rPr>
                <w:rFonts w:ascii="Calibri" w:hAnsi="Calibri"/>
                <w:b w:val="0"/>
                <w:i w:val="0"/>
                <w:color w:val="172126"/>
                <w:sz w:val="19"/>
              </w:rPr>
              <w:t>Tope recuperable</w:t>
            </w:r>
          </w:p>
        </w:tc>
        <w:tc>
          <w:tcPr>
            <w:tcW w:type="dxa" w:w="5544"/>
            <w:shd w:fill="FFFFFF"/>
            <w:vAlign w:val="center"/>
            <w:tcMar>
              <w:top w:w="90" w:type="dxa"/>
              <w:start w:w="120" w:type="dxa"/>
              <w:bottom w:w="90" w:type="dxa"/>
              <w:end w:w="120" w:type="dxa"/>
            </w:tcMar>
          </w:tcPr>
          <w:p>
            <w:pPr>
              <w:spacing w:after="0"/>
            </w:pPr>
            <w:r>
              <w:rPr>
                <w:rFonts w:ascii="Calibri" w:hAnsi="Calibri"/>
                <w:b w:val="0"/>
                <w:i w:val="0"/>
                <w:color w:val="172126"/>
                <w:sz w:val="19"/>
              </w:rPr>
              <w:t>ARS 3.003.636</w:t>
            </w:r>
          </w:p>
        </w:tc>
      </w:tr>
      <w:tr>
        <w:trPr>
          <w:cantSplit/>
          <w:cantSplit/>
          <w:cantSplit/>
        </w:trPr>
        <w:tc>
          <w:tcPr>
            <w:tcW w:type="dxa" w:w="3816"/>
            <w:shd w:fill="F2F6F7"/>
            <w:vAlign w:val="center"/>
            <w:tcMar>
              <w:top w:w="90" w:type="dxa"/>
              <w:start w:w="120" w:type="dxa"/>
              <w:bottom w:w="90" w:type="dxa"/>
              <w:end w:w="120" w:type="dxa"/>
            </w:tcMar>
          </w:tcPr>
          <w:p>
            <w:pPr>
              <w:spacing w:after="0"/>
            </w:pPr>
            <w:r>
              <w:rPr>
                <w:rFonts w:ascii="Calibri" w:hAnsi="Calibri"/>
                <w:b w:val="0"/>
                <w:i w:val="0"/>
                <w:color w:val="172126"/>
                <w:sz w:val="19"/>
              </w:rPr>
              <w:t>Tope ajustado por PD</w:t>
            </w:r>
          </w:p>
        </w:tc>
        <w:tc>
          <w:tcPr>
            <w:tcW w:type="dxa" w:w="5544"/>
            <w:shd w:fill="F2F6F7"/>
            <w:vAlign w:val="center"/>
            <w:tcMar>
              <w:top w:w="90" w:type="dxa"/>
              <w:start w:w="120" w:type="dxa"/>
              <w:bottom w:w="90" w:type="dxa"/>
              <w:end w:w="120" w:type="dxa"/>
            </w:tcMar>
          </w:tcPr>
          <w:p>
            <w:pPr>
              <w:spacing w:after="0"/>
            </w:pPr>
            <w:r>
              <w:rPr>
                <w:rFonts w:ascii="Calibri" w:hAnsi="Calibri"/>
                <w:b w:val="0"/>
                <w:i w:val="0"/>
                <w:color w:val="172126"/>
                <w:sz w:val="19"/>
              </w:rPr>
              <w:t>ARS 2.924.242</w:t>
            </w:r>
          </w:p>
        </w:tc>
      </w:tr>
      <w:tr>
        <w:trPr>
          <w:cantSplit/>
          <w:cantSplit/>
        </w:trPr>
        <w:tc>
          <w:tcPr>
            <w:tcW w:type="dxa" w:w="3816"/>
            <w:shd w:fill="FFFFFF"/>
            <w:vAlign w:val="center"/>
            <w:tcMar>
              <w:top w:w="90" w:type="dxa"/>
              <w:start w:w="120" w:type="dxa"/>
              <w:bottom w:w="90" w:type="dxa"/>
              <w:end w:w="120" w:type="dxa"/>
            </w:tcMar>
          </w:tcPr>
          <w:p>
            <w:pPr>
              <w:spacing w:after="0"/>
            </w:pPr>
            <w:r>
              <w:rPr>
                <w:rFonts w:ascii="Calibri" w:hAnsi="Calibri"/>
                <w:b w:val="0"/>
                <w:i w:val="0"/>
                <w:color w:val="172126"/>
                <w:sz w:val="19"/>
              </w:rPr>
              <w:t>Monto pedido / recomendado</w:t>
            </w:r>
          </w:p>
        </w:tc>
        <w:tc>
          <w:tcPr>
            <w:tcW w:type="dxa" w:w="5544"/>
            <w:shd w:fill="FFFFFF"/>
            <w:vAlign w:val="center"/>
            <w:tcMar>
              <w:top w:w="90" w:type="dxa"/>
              <w:start w:w="120" w:type="dxa"/>
              <w:bottom w:w="90" w:type="dxa"/>
              <w:end w:w="120" w:type="dxa"/>
            </w:tcMar>
          </w:tcPr>
          <w:p>
            <w:pPr>
              <w:spacing w:after="0"/>
            </w:pPr>
            <w:r>
              <w:rPr>
                <w:rFonts w:ascii="Calibri" w:hAnsi="Calibri"/>
                <w:b w:val="0"/>
                <w:i w:val="0"/>
                <w:color w:val="172126"/>
                <w:sz w:val="19"/>
              </w:rPr>
              <w:t>ARS 2.800.000 / ARS 2.800.000</w:t>
            </w:r>
          </w:p>
        </w:tc>
      </w:tr>
      <w:tr>
        <w:trPr>
          <w:cantSplit/>
        </w:trPr>
        <w:tc>
          <w:tcPr>
            <w:tcW w:type="dxa" w:w="3816"/>
            <w:shd w:fill="F2F6F7"/>
            <w:vAlign w:val="center"/>
            <w:tcMar>
              <w:top w:w="90" w:type="dxa"/>
              <w:start w:w="120" w:type="dxa"/>
              <w:bottom w:w="90" w:type="dxa"/>
              <w:end w:w="120" w:type="dxa"/>
            </w:tcMar>
          </w:tcPr>
          <w:p>
            <w:pPr>
              <w:spacing w:after="0"/>
            </w:pPr>
            <w:r>
              <w:rPr>
                <w:rFonts w:ascii="Calibri" w:hAnsi="Calibri"/>
                <w:b w:val="0"/>
                <w:i w:val="0"/>
                <w:color w:val="172126"/>
                <w:sz w:val="19"/>
              </w:rPr>
              <w:t>Fee sugerido</w:t>
            </w:r>
          </w:p>
        </w:tc>
        <w:tc>
          <w:tcPr>
            <w:tcW w:type="dxa" w:w="5544"/>
            <w:shd w:fill="F2F6F7"/>
            <w:vAlign w:val="center"/>
            <w:tcMar>
              <w:top w:w="90" w:type="dxa"/>
              <w:start w:w="120" w:type="dxa"/>
              <w:bottom w:w="90" w:type="dxa"/>
              <w:end w:w="120" w:type="dxa"/>
            </w:tcMar>
          </w:tcPr>
          <w:p>
            <w:pPr>
              <w:spacing w:after="0"/>
            </w:pPr>
            <w:r>
              <w:rPr>
                <w:rFonts w:ascii="Calibri" w:hAnsi="Calibri"/>
                <w:b w:val="0"/>
                <w:i w:val="0"/>
                <w:color w:val="172126"/>
                <w:sz w:val="19"/>
              </w:rPr>
              <w:t>12,49%</w:t>
            </w:r>
          </w:p>
        </w:tc>
      </w:tr>
    </w:tbl>
    <w:p>
      <w:pPr>
        <w:spacing w:after="20"/>
      </w:pPr>
    </w:p>
    <w:p>
      <w:r>
        <w:br w:type="page"/>
      </w:r>
    </w:p>
    <w:p>
      <w:pPr>
        <w:pStyle w:val="Heading1"/>
      </w:pPr>
      <w:r>
        <w:t>5. Datos, monitoreo y gobernanza</w:t>
      </w:r>
    </w:p>
    <w:p>
      <w:pPr>
        <w:spacing w:after="120" w:line="264" w:lineRule="auto"/>
      </w:pPr>
      <w:r>
        <w:rPr>
          <w:rFonts w:ascii="Calibri" w:hAnsi="Calibri"/>
          <w:b w:val="0"/>
          <w:i w:val="0"/>
          <w:color w:val="172126"/>
          <w:sz w:val="22"/>
        </w:rPr>
        <w:t>La mejora del sistema depende de capturar decisiones y resultados con definiciones estables. Guardar sólo la oferta final no alcanza.</w:t>
      </w:r>
    </w:p>
    <w:tbl>
      <w:tblPr>
        <w:tblStyle w:val="TableGrid"/>
        <w:tblW w:type="dxa" w:w="9360"/>
        <w:tblLayout w:type="fixed"/>
        <w:tblLook w:firstColumn="1" w:firstRow="1" w:lastColumn="0" w:lastRow="0" w:noHBand="0" w:noVBand="1" w:val="04A0"/>
        <w:jc w:val="left"/>
        <w:tblInd w:type="dxa" w:w="120"/>
      </w:tblPr>
      <w:tblGrid>
        <w:gridCol w:w="2376"/>
        <w:gridCol w:w="6984"/>
      </w:tblGrid>
      <w:tr>
        <w:trPr>
          <w:cantSplit/>
          <w:tblHeader w:val="true"/>
          <w:cantSplit/>
          <w:cantSplit/>
          <w:cantSplit/>
          <w:cantSplit/>
          <w:cantSplit/>
        </w:trPr>
        <w:tc>
          <w:tcPr>
            <w:tcW w:type="dxa" w:w="2376"/>
            <w:vAlign w:val="center"/>
            <w:tcMar>
              <w:top w:w="90" w:type="dxa"/>
              <w:start w:w="120" w:type="dxa"/>
              <w:bottom w:w="90" w:type="dxa"/>
              <w:end w:w="120" w:type="dxa"/>
            </w:tcMar>
            <w:shd w:fill="087F8C"/>
          </w:tcPr>
          <w:p>
            <w:pPr>
              <w:jc w:val="left"/>
            </w:pPr>
            <w:r>
              <w:rPr>
                <w:rFonts w:ascii="Calibri" w:hAnsi="Calibri"/>
                <w:b/>
                <w:i w:val="0"/>
                <w:color w:val="FFFFFF"/>
                <w:sz w:val="19"/>
              </w:rPr>
              <w:t>Entidad</w:t>
            </w:r>
          </w:p>
        </w:tc>
        <w:tc>
          <w:tcPr>
            <w:tcW w:type="dxa" w:w="6984"/>
            <w:vAlign w:val="center"/>
            <w:tcMar>
              <w:top w:w="90" w:type="dxa"/>
              <w:start w:w="120" w:type="dxa"/>
              <w:bottom w:w="90" w:type="dxa"/>
              <w:end w:w="120" w:type="dxa"/>
            </w:tcMar>
            <w:shd w:fill="087F8C"/>
          </w:tcPr>
          <w:p>
            <w:pPr>
              <w:jc w:val="left"/>
            </w:pPr>
            <w:r>
              <w:rPr>
                <w:rFonts w:ascii="Calibri" w:hAnsi="Calibri"/>
                <w:b/>
                <w:i w:val="0"/>
                <w:color w:val="FFFFFF"/>
                <w:sz w:val="19"/>
              </w:rPr>
              <w:t>Campos críticos</w:t>
            </w:r>
          </w:p>
        </w:tc>
      </w:tr>
      <w:tr>
        <w:trPr>
          <w:cantSplit/>
          <w:cantSplit/>
          <w:cantSplit/>
          <w:cantSplit/>
          <w:cantSplit/>
        </w:trPr>
        <w:tc>
          <w:tcPr>
            <w:tcW w:type="dxa" w:w="2376"/>
            <w:shd w:fill="FFFFFF"/>
            <w:vAlign w:val="center"/>
            <w:tcMar>
              <w:top w:w="90" w:type="dxa"/>
              <w:start w:w="120" w:type="dxa"/>
              <w:bottom w:w="90" w:type="dxa"/>
              <w:end w:w="120" w:type="dxa"/>
            </w:tcMar>
          </w:tcPr>
          <w:p>
            <w:pPr>
              <w:spacing w:after="0"/>
            </w:pPr>
            <w:r>
              <w:rPr>
                <w:rFonts w:ascii="Calibri" w:hAnsi="Calibri"/>
                <w:b w:val="0"/>
                <w:i w:val="0"/>
                <w:color w:val="172126"/>
                <w:sz w:val="19"/>
              </w:rPr>
              <w:t>Snapshot de variables</w:t>
            </w:r>
          </w:p>
        </w:tc>
        <w:tc>
          <w:tcPr>
            <w:tcW w:type="dxa" w:w="6984"/>
            <w:shd w:fill="FFFFFF"/>
            <w:vAlign w:val="center"/>
            <w:tcMar>
              <w:top w:w="90" w:type="dxa"/>
              <w:start w:w="120" w:type="dxa"/>
              <w:bottom w:w="90" w:type="dxa"/>
              <w:end w:w="120" w:type="dxa"/>
            </w:tcMar>
          </w:tcPr>
          <w:p>
            <w:pPr>
              <w:spacing w:after="0"/>
            </w:pPr>
            <w:r>
              <w:rPr>
                <w:rFonts w:ascii="Calibri" w:hAnsi="Calibri"/>
                <w:b w:val="0"/>
                <w:i w:val="0"/>
                <w:color w:val="172126"/>
                <w:sz w:val="19"/>
              </w:rPr>
              <w:t>Valores usados, fecha, fuente y datos faltantes</w:t>
            </w:r>
          </w:p>
        </w:tc>
      </w:tr>
      <w:tr>
        <w:trPr>
          <w:cantSplit/>
          <w:cantSplit/>
          <w:cantSplit/>
          <w:cantSplit/>
        </w:trPr>
        <w:tc>
          <w:tcPr>
            <w:tcW w:type="dxa" w:w="2376"/>
            <w:shd w:fill="F2F6F7"/>
            <w:vAlign w:val="center"/>
            <w:tcMar>
              <w:top w:w="90" w:type="dxa"/>
              <w:start w:w="120" w:type="dxa"/>
              <w:bottom w:w="90" w:type="dxa"/>
              <w:end w:w="120" w:type="dxa"/>
            </w:tcMar>
          </w:tcPr>
          <w:p>
            <w:pPr>
              <w:spacing w:after="0"/>
            </w:pPr>
            <w:r>
              <w:rPr>
                <w:rFonts w:ascii="Calibri" w:hAnsi="Calibri"/>
                <w:b w:val="0"/>
                <w:i w:val="0"/>
                <w:color w:val="172126"/>
                <w:sz w:val="19"/>
              </w:rPr>
              <w:t>Decisión</w:t>
            </w:r>
          </w:p>
        </w:tc>
        <w:tc>
          <w:tcPr>
            <w:tcW w:type="dxa" w:w="6984"/>
            <w:shd w:fill="F2F6F7"/>
            <w:vAlign w:val="center"/>
            <w:tcMar>
              <w:top w:w="90" w:type="dxa"/>
              <w:start w:w="120" w:type="dxa"/>
              <w:bottom w:w="90" w:type="dxa"/>
              <w:end w:w="120" w:type="dxa"/>
            </w:tcMar>
          </w:tcPr>
          <w:p>
            <w:pPr>
              <w:spacing w:after="0"/>
            </w:pPr>
            <w:r>
              <w:rPr>
                <w:rFonts w:ascii="Calibri" w:hAnsi="Calibri"/>
                <w:b w:val="0"/>
                <w:i w:val="0"/>
                <w:color w:val="172126"/>
                <w:sz w:val="19"/>
              </w:rPr>
              <w:t>Score, PD, reglas activadas, thresholds y override</w:t>
            </w:r>
          </w:p>
        </w:tc>
      </w:tr>
      <w:tr>
        <w:trPr>
          <w:cantSplit/>
          <w:cantSplit/>
          <w:cantSplit/>
        </w:trPr>
        <w:tc>
          <w:tcPr>
            <w:tcW w:type="dxa" w:w="2376"/>
            <w:shd w:fill="FFFFFF"/>
            <w:vAlign w:val="center"/>
            <w:tcMar>
              <w:top w:w="90" w:type="dxa"/>
              <w:start w:w="120" w:type="dxa"/>
              <w:bottom w:w="90" w:type="dxa"/>
              <w:end w:w="120" w:type="dxa"/>
            </w:tcMar>
          </w:tcPr>
          <w:p>
            <w:pPr>
              <w:spacing w:after="0"/>
            </w:pPr>
            <w:r>
              <w:rPr>
                <w:rFonts w:ascii="Calibri" w:hAnsi="Calibri"/>
                <w:b w:val="0"/>
                <w:i w:val="0"/>
                <w:color w:val="172126"/>
                <w:sz w:val="19"/>
              </w:rPr>
              <w:t>Oferta</w:t>
            </w:r>
          </w:p>
        </w:tc>
        <w:tc>
          <w:tcPr>
            <w:tcW w:type="dxa" w:w="6984"/>
            <w:shd w:fill="FFFFFF"/>
            <w:vAlign w:val="center"/>
            <w:tcMar>
              <w:top w:w="90" w:type="dxa"/>
              <w:start w:w="120" w:type="dxa"/>
              <w:bottom w:w="90" w:type="dxa"/>
              <w:end w:w="120" w:type="dxa"/>
            </w:tcMar>
          </w:tcPr>
          <w:p>
            <w:pPr>
              <w:spacing w:after="0"/>
            </w:pPr>
            <w:r>
              <w:rPr>
                <w:rFonts w:ascii="Calibri" w:hAnsi="Calibri"/>
                <w:b w:val="0"/>
                <w:i w:val="0"/>
                <w:color w:val="172126"/>
                <w:sz w:val="19"/>
              </w:rPr>
              <w:t>Principal, fee, retención, plazo y total contractual</w:t>
            </w:r>
          </w:p>
        </w:tc>
      </w:tr>
      <w:tr>
        <w:trPr>
          <w:cantSplit/>
          <w:cantSplit/>
        </w:trPr>
        <w:tc>
          <w:tcPr>
            <w:tcW w:type="dxa" w:w="2376"/>
            <w:shd w:fill="F2F6F7"/>
            <w:vAlign w:val="center"/>
            <w:tcMar>
              <w:top w:w="90" w:type="dxa"/>
              <w:start w:w="120" w:type="dxa"/>
              <w:bottom w:w="90" w:type="dxa"/>
              <w:end w:w="120" w:type="dxa"/>
            </w:tcMar>
          </w:tcPr>
          <w:p>
            <w:pPr>
              <w:spacing w:after="0"/>
            </w:pPr>
            <w:r>
              <w:rPr>
                <w:rFonts w:ascii="Calibri" w:hAnsi="Calibri"/>
                <w:b w:val="0"/>
                <w:i w:val="0"/>
                <w:color w:val="172126"/>
                <w:sz w:val="19"/>
              </w:rPr>
              <w:t>Resultado</w:t>
            </w:r>
          </w:p>
        </w:tc>
        <w:tc>
          <w:tcPr>
            <w:tcW w:type="dxa" w:w="6984"/>
            <w:shd w:fill="F2F6F7"/>
            <w:vAlign w:val="center"/>
            <w:tcMar>
              <w:top w:w="90" w:type="dxa"/>
              <w:start w:w="120" w:type="dxa"/>
              <w:bottom w:w="90" w:type="dxa"/>
              <w:end w:w="120" w:type="dxa"/>
            </w:tcMar>
          </w:tcPr>
          <w:p>
            <w:pPr>
              <w:spacing w:after="0"/>
            </w:pPr>
            <w:r>
              <w:rPr>
                <w:rFonts w:ascii="Calibri" w:hAnsi="Calibri"/>
                <w:b w:val="0"/>
                <w:i w:val="0"/>
                <w:color w:val="172126"/>
                <w:sz w:val="19"/>
              </w:rPr>
              <w:t>Payouts retenidos, cancelaciones, recupero y default</w:t>
            </w:r>
          </w:p>
        </w:tc>
      </w:tr>
      <w:tr>
        <w:trPr>
          <w:cantSplit/>
        </w:trPr>
        <w:tc>
          <w:tcPr>
            <w:tcW w:type="dxa" w:w="2376"/>
            <w:shd w:fill="FFFFFF"/>
            <w:vAlign w:val="center"/>
            <w:tcMar>
              <w:top w:w="90" w:type="dxa"/>
              <w:start w:w="120" w:type="dxa"/>
              <w:bottom w:w="90" w:type="dxa"/>
              <w:end w:w="120" w:type="dxa"/>
            </w:tcMar>
          </w:tcPr>
          <w:p>
            <w:pPr>
              <w:spacing w:after="0"/>
            </w:pPr>
            <w:r>
              <w:rPr>
                <w:rFonts w:ascii="Calibri" w:hAnsi="Calibri"/>
                <w:b w:val="0"/>
                <w:i w:val="0"/>
                <w:color w:val="172126"/>
                <w:sz w:val="19"/>
              </w:rPr>
              <w:t>Modelo</w:t>
            </w:r>
          </w:p>
        </w:tc>
        <w:tc>
          <w:tcPr>
            <w:tcW w:type="dxa" w:w="6984"/>
            <w:shd w:fill="FFFFFF"/>
            <w:vAlign w:val="center"/>
            <w:tcMar>
              <w:top w:w="90" w:type="dxa"/>
              <w:start w:w="120" w:type="dxa"/>
              <w:bottom w:w="90" w:type="dxa"/>
              <w:end w:w="120" w:type="dxa"/>
            </w:tcMar>
          </w:tcPr>
          <w:p>
            <w:pPr>
              <w:spacing w:after="0"/>
            </w:pPr>
            <w:r>
              <w:rPr>
                <w:rFonts w:ascii="Calibri" w:hAnsi="Calibri"/>
                <w:b w:val="0"/>
                <w:i w:val="0"/>
                <w:color w:val="172126"/>
                <w:sz w:val="19"/>
              </w:rPr>
              <w:t>Versión, método, fecha de entrenamiento y validación</w:t>
            </w:r>
          </w:p>
        </w:tc>
      </w:tr>
    </w:tbl>
    <w:p>
      <w:pPr>
        <w:spacing w:after="20"/>
      </w:pPr>
    </w:p>
    <w:p>
      <w:pPr>
        <w:spacing w:after="120" w:line="264" w:lineRule="auto"/>
      </w:pPr>
      <w:r>
        <w:rPr>
          <w:rFonts w:ascii="Calibri" w:hAnsi="Calibri"/>
          <w:b w:val="0"/>
          <w:i w:val="0"/>
          <w:color w:val="172126"/>
          <w:sz w:val="22"/>
        </w:rPr>
        <w:t>Controles mínimos:</w:t>
      </w:r>
    </w:p>
    <w:p>
      <w:pPr>
        <w:pStyle w:val="ListBullet"/>
        <w:spacing w:after="80" w:line="264" w:lineRule="auto"/>
      </w:pPr>
      <w:r>
        <w:rPr>
          <w:rFonts w:ascii="Calibri" w:hAnsi="Calibri"/>
          <w:b w:val="0"/>
          <w:i w:val="0"/>
          <w:color w:val="172126"/>
          <w:sz w:val="22"/>
        </w:rPr>
        <w:t>Versionar scorecard, PD, P10, thresholds y fórmulas de pricing.</w:t>
      </w:r>
    </w:p>
    <w:p>
      <w:pPr>
        <w:pStyle w:val="ListBullet"/>
        <w:spacing w:after="80" w:line="264" w:lineRule="auto"/>
      </w:pPr>
      <w:r>
        <w:rPr>
          <w:rFonts w:ascii="Calibri" w:hAnsi="Calibri"/>
          <w:b w:val="0"/>
          <w:i w:val="0"/>
          <w:color w:val="172126"/>
          <w:sz w:val="22"/>
        </w:rPr>
        <w:t>Registrar razones de decisión y toda revisión manual.</w:t>
      </w:r>
    </w:p>
    <w:p>
      <w:pPr>
        <w:pStyle w:val="ListBullet"/>
        <w:spacing w:after="80" w:line="264" w:lineRule="auto"/>
      </w:pPr>
      <w:r>
        <w:rPr>
          <w:rFonts w:ascii="Calibri" w:hAnsi="Calibri"/>
          <w:b w:val="0"/>
          <w:i w:val="0"/>
          <w:color w:val="172126"/>
          <w:sz w:val="22"/>
        </w:rPr>
        <w:t>Monitorear drift, concentración por mercado y performance por cohorte.</w:t>
      </w:r>
    </w:p>
    <w:p>
      <w:pPr>
        <w:pStyle w:val="ListBullet"/>
        <w:spacing w:after="80" w:line="264" w:lineRule="auto"/>
      </w:pPr>
      <w:r>
        <w:rPr>
          <w:rFonts w:ascii="Calibri" w:hAnsi="Calibri"/>
          <w:b w:val="0"/>
          <w:i w:val="0"/>
          <w:color w:val="172126"/>
          <w:sz w:val="22"/>
        </w:rPr>
        <w:t>Permitir corrección de datos y revisión de decisiones adversas.</w:t>
      </w:r>
    </w:p>
    <w:p>
      <w:pPr>
        <w:pStyle w:val="ListBullet"/>
        <w:spacing w:after="80" w:line="264" w:lineRule="auto"/>
      </w:pPr>
      <w:r>
        <w:rPr>
          <w:rFonts w:ascii="Calibri" w:hAnsi="Calibri"/>
          <w:b w:val="0"/>
          <w:i w:val="0"/>
          <w:color w:val="172126"/>
          <w:sz w:val="22"/>
        </w:rPr>
        <w:t>Separar marketplace, pagos y entidad financiadora cuando corresponda.</w:t>
      </w:r>
    </w:p>
    <w:p>
      <w:pPr>
        <w:pStyle w:val="Heading2"/>
      </w:pPr>
      <w:r>
        <w:t>Roadmap por madurez de datos</w:t>
      </w:r>
    </w:p>
    <w:tbl>
      <w:tblPr>
        <w:tblStyle w:val="TableGrid"/>
        <w:tblW w:type="dxa" w:w="9360"/>
        <w:tblLayout w:type="fixed"/>
        <w:tblLook w:firstColumn="1" w:firstRow="1" w:lastColumn="0" w:lastRow="0" w:noHBand="0" w:noVBand="1" w:val="04A0"/>
        <w:jc w:val="left"/>
        <w:tblInd w:type="dxa" w:w="120"/>
      </w:tblPr>
      <w:tblGrid>
        <w:gridCol w:w="1584"/>
        <w:gridCol w:w="3960"/>
        <w:gridCol w:w="3816"/>
      </w:tblGrid>
      <w:tr>
        <w:trPr>
          <w:cantSplit/>
          <w:tblHeader w:val="true"/>
          <w:cantSplit/>
          <w:cantSplit/>
          <w:cantSplit/>
          <w:cantSplit/>
        </w:trPr>
        <w:tc>
          <w:tcPr>
            <w:tcW w:type="dxa" w:w="1584"/>
            <w:vAlign w:val="center"/>
            <w:tcMar>
              <w:top w:w="90" w:type="dxa"/>
              <w:start w:w="120" w:type="dxa"/>
              <w:bottom w:w="90" w:type="dxa"/>
              <w:end w:w="120" w:type="dxa"/>
            </w:tcMar>
            <w:shd w:fill="087F8C"/>
          </w:tcPr>
          <w:p>
            <w:pPr>
              <w:jc w:val="left"/>
            </w:pPr>
            <w:r>
              <w:rPr>
                <w:rFonts w:ascii="Calibri" w:hAnsi="Calibri"/>
                <w:b/>
                <w:i w:val="0"/>
                <w:color w:val="FFFFFF"/>
                <w:sz w:val="19"/>
              </w:rPr>
              <w:t>Etapa</w:t>
            </w:r>
          </w:p>
        </w:tc>
        <w:tc>
          <w:tcPr>
            <w:tcW w:type="dxa" w:w="3960"/>
            <w:vAlign w:val="center"/>
            <w:tcMar>
              <w:top w:w="90" w:type="dxa"/>
              <w:start w:w="120" w:type="dxa"/>
              <w:bottom w:w="90" w:type="dxa"/>
              <w:end w:w="120" w:type="dxa"/>
            </w:tcMar>
            <w:shd w:fill="087F8C"/>
          </w:tcPr>
          <w:p>
            <w:pPr>
              <w:jc w:val="left"/>
            </w:pPr>
            <w:r>
              <w:rPr>
                <w:rFonts w:ascii="Calibri" w:hAnsi="Calibri"/>
                <w:b/>
                <w:i w:val="0"/>
                <w:color w:val="FFFFFF"/>
                <w:sz w:val="19"/>
              </w:rPr>
              <w:t>Condición de entrada</w:t>
            </w:r>
          </w:p>
        </w:tc>
        <w:tc>
          <w:tcPr>
            <w:tcW w:type="dxa" w:w="3816"/>
            <w:vAlign w:val="center"/>
            <w:tcMar>
              <w:top w:w="90" w:type="dxa"/>
              <w:start w:w="120" w:type="dxa"/>
              <w:bottom w:w="90" w:type="dxa"/>
              <w:end w:w="120" w:type="dxa"/>
            </w:tcMar>
            <w:shd w:fill="087F8C"/>
          </w:tcPr>
          <w:p>
            <w:pPr>
              <w:jc w:val="left"/>
            </w:pPr>
            <w:r>
              <w:rPr>
                <w:rFonts w:ascii="Calibri" w:hAnsi="Calibri"/>
                <w:b/>
                <w:i w:val="0"/>
                <w:color w:val="FFFFFF"/>
                <w:sz w:val="19"/>
              </w:rPr>
              <w:t>Modelo</w:t>
            </w:r>
          </w:p>
        </w:tc>
      </w:tr>
      <w:tr>
        <w:trPr>
          <w:cantSplit/>
          <w:cantSplit/>
          <w:cantSplit/>
          <w:cantSplit/>
        </w:trPr>
        <w:tc>
          <w:tcPr>
            <w:tcW w:type="dxa" w:w="1584"/>
            <w:shd w:fill="FFFFFF"/>
            <w:vAlign w:val="center"/>
            <w:tcMar>
              <w:top w:w="90" w:type="dxa"/>
              <w:start w:w="120" w:type="dxa"/>
              <w:bottom w:w="90" w:type="dxa"/>
              <w:end w:w="120" w:type="dxa"/>
            </w:tcMar>
          </w:tcPr>
          <w:p>
            <w:pPr>
              <w:spacing w:after="0"/>
            </w:pPr>
            <w:r>
              <w:rPr>
                <w:rFonts w:ascii="Calibri" w:hAnsi="Calibri"/>
                <w:b w:val="0"/>
                <w:i w:val="0"/>
                <w:color w:val="172126"/>
                <w:sz w:val="19"/>
              </w:rPr>
              <w:t>MVP</w:t>
            </w:r>
          </w:p>
        </w:tc>
        <w:tc>
          <w:tcPr>
            <w:tcW w:type="dxa" w:w="3960"/>
            <w:shd w:fill="FFFFFF"/>
            <w:vAlign w:val="center"/>
            <w:tcMar>
              <w:top w:w="90" w:type="dxa"/>
              <w:start w:w="120" w:type="dxa"/>
              <w:bottom w:w="90" w:type="dxa"/>
              <w:end w:w="120" w:type="dxa"/>
            </w:tcMar>
          </w:tcPr>
          <w:p>
            <w:pPr>
              <w:spacing w:after="0"/>
            </w:pPr>
            <w:r>
              <w:rPr>
                <w:rFonts w:ascii="Calibri" w:hAnsi="Calibri"/>
                <w:b w:val="0"/>
                <w:i w:val="0"/>
                <w:color w:val="172126"/>
                <w:sz w:val="19"/>
              </w:rPr>
              <w:t>Sin eventos suficientes</w:t>
            </w:r>
          </w:p>
        </w:tc>
        <w:tc>
          <w:tcPr>
            <w:tcW w:type="dxa" w:w="3816"/>
            <w:shd w:fill="FFFFFF"/>
            <w:vAlign w:val="center"/>
            <w:tcMar>
              <w:top w:w="90" w:type="dxa"/>
              <w:start w:w="120" w:type="dxa"/>
              <w:bottom w:w="90" w:type="dxa"/>
              <w:end w:w="120" w:type="dxa"/>
            </w:tcMar>
          </w:tcPr>
          <w:p>
            <w:pPr>
              <w:spacing w:after="0"/>
            </w:pPr>
            <w:r>
              <w:rPr>
                <w:rFonts w:ascii="Calibri" w:hAnsi="Calibri"/>
                <w:b w:val="0"/>
                <w:i w:val="0"/>
                <w:color w:val="172126"/>
                <w:sz w:val="19"/>
              </w:rPr>
              <w:t>Scorecard + PD proxy + P10 precargado</w:t>
            </w:r>
          </w:p>
        </w:tc>
      </w:tr>
      <w:tr>
        <w:trPr>
          <w:cantSplit/>
          <w:cantSplit/>
          <w:cantSplit/>
        </w:trPr>
        <w:tc>
          <w:tcPr>
            <w:tcW w:type="dxa" w:w="1584"/>
            <w:shd w:fill="F2F6F7"/>
            <w:vAlign w:val="center"/>
            <w:tcMar>
              <w:top w:w="90" w:type="dxa"/>
              <w:start w:w="120" w:type="dxa"/>
              <w:bottom w:w="90" w:type="dxa"/>
              <w:end w:w="120" w:type="dxa"/>
            </w:tcMar>
          </w:tcPr>
          <w:p>
            <w:pPr>
              <w:spacing w:after="0"/>
            </w:pPr>
            <w:r>
              <w:rPr>
                <w:rFonts w:ascii="Calibri" w:hAnsi="Calibri"/>
                <w:b w:val="0"/>
                <w:i w:val="0"/>
                <w:color w:val="172126"/>
                <w:sz w:val="19"/>
              </w:rPr>
              <w:t>Calibración</w:t>
            </w:r>
          </w:p>
        </w:tc>
        <w:tc>
          <w:tcPr>
            <w:tcW w:type="dxa" w:w="3960"/>
            <w:shd w:fill="F2F6F7"/>
            <w:vAlign w:val="center"/>
            <w:tcMar>
              <w:top w:w="90" w:type="dxa"/>
              <w:start w:w="120" w:type="dxa"/>
              <w:bottom w:w="90" w:type="dxa"/>
              <w:end w:w="120" w:type="dxa"/>
            </w:tcMar>
          </w:tcPr>
          <w:p>
            <w:pPr>
              <w:spacing w:after="0"/>
            </w:pPr>
            <w:r>
              <w:rPr>
                <w:rFonts w:ascii="Calibri" w:hAnsi="Calibri"/>
                <w:b w:val="0"/>
                <w:i w:val="0"/>
                <w:color w:val="172126"/>
                <w:sz w:val="19"/>
              </w:rPr>
              <w:t>Operaciones maduras y defaults suficientes</w:t>
            </w:r>
          </w:p>
        </w:tc>
        <w:tc>
          <w:tcPr>
            <w:tcW w:type="dxa" w:w="3816"/>
            <w:shd w:fill="F2F6F7"/>
            <w:vAlign w:val="center"/>
            <w:tcMar>
              <w:top w:w="90" w:type="dxa"/>
              <w:start w:w="120" w:type="dxa"/>
              <w:bottom w:w="90" w:type="dxa"/>
              <w:end w:w="120" w:type="dxa"/>
            </w:tcMar>
          </w:tcPr>
          <w:p>
            <w:pPr>
              <w:spacing w:after="0"/>
            </w:pPr>
            <w:r>
              <w:rPr>
                <w:rFonts w:ascii="Calibri" w:hAnsi="Calibri"/>
                <w:b w:val="0"/>
                <w:i w:val="0"/>
                <w:color w:val="172126"/>
                <w:sz w:val="19"/>
              </w:rPr>
              <w:t>Logística calibrada y backtesting</w:t>
            </w:r>
          </w:p>
        </w:tc>
      </w:tr>
      <w:tr>
        <w:trPr>
          <w:cantSplit/>
          <w:cantSplit/>
        </w:trPr>
        <w:tc>
          <w:tcPr>
            <w:tcW w:type="dxa" w:w="1584"/>
            <w:shd w:fill="FFFFFF"/>
            <w:vAlign w:val="center"/>
            <w:tcMar>
              <w:top w:w="90" w:type="dxa"/>
              <w:start w:w="120" w:type="dxa"/>
              <w:bottom w:w="90" w:type="dxa"/>
              <w:end w:w="120" w:type="dxa"/>
            </w:tcMar>
          </w:tcPr>
          <w:p>
            <w:pPr>
              <w:spacing w:after="0"/>
            </w:pPr>
            <w:r>
              <w:rPr>
                <w:rFonts w:ascii="Calibri" w:hAnsi="Calibri"/>
                <w:b w:val="0"/>
                <w:i w:val="0"/>
                <w:color w:val="172126"/>
                <w:sz w:val="19"/>
              </w:rPr>
              <w:t>Forecast</w:t>
            </w:r>
          </w:p>
        </w:tc>
        <w:tc>
          <w:tcPr>
            <w:tcW w:type="dxa" w:w="3960"/>
            <w:shd w:fill="FFFFFF"/>
            <w:vAlign w:val="center"/>
            <w:tcMar>
              <w:top w:w="90" w:type="dxa"/>
              <w:start w:w="120" w:type="dxa"/>
              <w:bottom w:w="90" w:type="dxa"/>
              <w:end w:w="120" w:type="dxa"/>
            </w:tcMar>
          </w:tcPr>
          <w:p>
            <w:pPr>
              <w:spacing w:after="0"/>
            </w:pPr>
            <w:r>
              <w:rPr>
                <w:rFonts w:ascii="Calibri" w:hAnsi="Calibri"/>
                <w:b w:val="0"/>
                <w:i w:val="0"/>
                <w:color w:val="172126"/>
                <w:sz w:val="19"/>
              </w:rPr>
              <w:t>Series históricas suficientes</w:t>
            </w:r>
          </w:p>
        </w:tc>
        <w:tc>
          <w:tcPr>
            <w:tcW w:type="dxa" w:w="3816"/>
            <w:shd w:fill="FFFFFF"/>
            <w:vAlign w:val="center"/>
            <w:tcMar>
              <w:top w:w="90" w:type="dxa"/>
              <w:start w:w="120" w:type="dxa"/>
              <w:bottom w:w="90" w:type="dxa"/>
              <w:end w:w="120" w:type="dxa"/>
            </w:tcMar>
          </w:tcPr>
          <w:p>
            <w:pPr>
              <w:spacing w:after="0"/>
            </w:pPr>
            <w:r>
              <w:rPr>
                <w:rFonts w:ascii="Calibri" w:hAnsi="Calibri"/>
                <w:b w:val="0"/>
                <w:i w:val="0"/>
                <w:color w:val="172126"/>
                <w:sz w:val="19"/>
              </w:rPr>
              <w:t>P10/P50/P90 por cuantiles</w:t>
            </w:r>
          </w:p>
        </w:tc>
      </w:tr>
      <w:tr>
        <w:trPr>
          <w:cantSplit/>
        </w:trPr>
        <w:tc>
          <w:tcPr>
            <w:tcW w:type="dxa" w:w="1584"/>
            <w:shd w:fill="F2F6F7"/>
            <w:vAlign w:val="center"/>
            <w:tcMar>
              <w:top w:w="90" w:type="dxa"/>
              <w:start w:w="120" w:type="dxa"/>
              <w:bottom w:w="90" w:type="dxa"/>
              <w:end w:w="120" w:type="dxa"/>
            </w:tcMar>
          </w:tcPr>
          <w:p>
            <w:pPr>
              <w:spacing w:after="0"/>
            </w:pPr>
            <w:r>
              <w:rPr>
                <w:rFonts w:ascii="Calibri" w:hAnsi="Calibri"/>
                <w:b w:val="0"/>
                <w:i w:val="0"/>
                <w:color w:val="172126"/>
                <w:sz w:val="19"/>
              </w:rPr>
              <w:t>Optimización</w:t>
            </w:r>
          </w:p>
        </w:tc>
        <w:tc>
          <w:tcPr>
            <w:tcW w:type="dxa" w:w="3960"/>
            <w:shd w:fill="F2F6F7"/>
            <w:vAlign w:val="center"/>
            <w:tcMar>
              <w:top w:w="90" w:type="dxa"/>
              <w:start w:w="120" w:type="dxa"/>
              <w:bottom w:w="90" w:type="dxa"/>
              <w:end w:w="120" w:type="dxa"/>
            </w:tcMar>
          </w:tcPr>
          <w:p>
            <w:pPr>
              <w:spacing w:after="0"/>
            </w:pPr>
            <w:r>
              <w:rPr>
                <w:rFonts w:ascii="Calibri" w:hAnsi="Calibri"/>
                <w:b w:val="0"/>
                <w:i w:val="0"/>
                <w:color w:val="172126"/>
                <w:sz w:val="19"/>
              </w:rPr>
              <w:t>Volumen y variación de ofertas</w:t>
            </w:r>
          </w:p>
        </w:tc>
        <w:tc>
          <w:tcPr>
            <w:tcW w:type="dxa" w:w="3816"/>
            <w:shd w:fill="F2F6F7"/>
            <w:vAlign w:val="center"/>
            <w:tcMar>
              <w:top w:w="90" w:type="dxa"/>
              <w:start w:w="120" w:type="dxa"/>
              <w:bottom w:w="90" w:type="dxa"/>
              <w:end w:w="120" w:type="dxa"/>
            </w:tcMar>
          </w:tcPr>
          <w:p>
            <w:pPr>
              <w:spacing w:after="0"/>
            </w:pPr>
            <w:r>
              <w:rPr>
                <w:rFonts w:ascii="Calibri" w:hAnsi="Calibri"/>
                <w:b w:val="0"/>
                <w:i w:val="0"/>
                <w:color w:val="172126"/>
                <w:sz w:val="19"/>
              </w:rPr>
              <w:t>Límites y pricing optimizados</w:t>
            </w:r>
          </w:p>
        </w:tc>
      </w:tr>
    </w:tbl>
    <w:p>
      <w:pPr>
        <w:spacing w:after="20"/>
      </w:pPr>
    </w:p>
    <w:p>
      <w:pPr>
        <w:spacing w:before="80" w:after="200"/>
        <w:ind w:left="259" w:right="259"/>
        <w:shd w:fill="FFF7E8"/>
      </w:pPr>
      <w:r>
        <w:rPr>
          <w:rFonts w:ascii="Calibri" w:hAnsi="Calibri"/>
          <w:b/>
          <w:i w:val="0"/>
          <w:color w:val="075965"/>
          <w:sz w:val="22"/>
        </w:rPr>
        <w:t xml:space="preserve">Criterio de avance: </w:t>
      </w:r>
      <w:r>
        <w:rPr>
          <w:rFonts w:ascii="Calibri" w:hAnsi="Calibri"/>
          <w:b w:val="0"/>
          <w:i w:val="0"/>
          <w:color w:val="172126"/>
          <w:sz w:val="22"/>
        </w:rPr>
        <w:t>Los meses transcurridos no garantizan validez. Cada etapa comienza cuando existen suficientes observaciones maduras, eventos y estabilidad para validarla fuera de muestra.</w:t>
      </w:r>
    </w:p>
    <w:p>
      <w:r>
        <w:br w:type="page"/>
      </w:r>
    </w:p>
    <w:p>
      <w:pPr>
        <w:pStyle w:val="Heading1"/>
      </w:pPr>
      <w:r>
        <w:t>6. Implementación actual en la demo</w:t>
      </w:r>
    </w:p>
    <w:p>
      <w:pPr>
        <w:spacing w:after="120" w:line="264" w:lineRule="auto"/>
      </w:pPr>
      <w:r>
        <w:rPr>
          <w:rFonts w:ascii="Calibri" w:hAnsi="Calibri"/>
          <w:b w:val="0"/>
          <w:i w:val="0"/>
          <w:color w:val="172126"/>
          <w:sz w:val="22"/>
        </w:rPr>
        <w:t>La versión híbrida ya está reflejada en el simulador y en el esquema de datos del repositorio.</w:t>
      </w:r>
    </w:p>
    <w:tbl>
      <w:tblPr>
        <w:tblStyle w:val="TableGrid"/>
        <w:tblW w:type="dxa" w:w="9360"/>
        <w:tblLayout w:type="fixed"/>
        <w:tblLook w:firstColumn="1" w:firstRow="1" w:lastColumn="0" w:lastRow="0" w:noHBand="0" w:noVBand="1" w:val="04A0"/>
        <w:jc w:val="left"/>
        <w:tblInd w:type="dxa" w:w="120"/>
      </w:tblPr>
      <w:tblGrid>
        <w:gridCol w:w="2088"/>
        <w:gridCol w:w="7272"/>
      </w:tblGrid>
      <w:tr>
        <w:trPr>
          <w:cantSplit/>
          <w:tblHeader w:val="true"/>
          <w:cantSplit/>
          <w:cantSplit/>
          <w:cantSplit/>
          <w:cantSplit/>
          <w:cantSplit/>
          <w:cantSplit/>
        </w:trPr>
        <w:tc>
          <w:tcPr>
            <w:tcW w:type="dxa" w:w="2088"/>
            <w:vAlign w:val="center"/>
            <w:tcMar>
              <w:top w:w="90" w:type="dxa"/>
              <w:start w:w="120" w:type="dxa"/>
              <w:bottom w:w="90" w:type="dxa"/>
              <w:end w:w="120" w:type="dxa"/>
            </w:tcMar>
            <w:shd w:fill="087F8C"/>
          </w:tcPr>
          <w:p>
            <w:pPr>
              <w:jc w:val="left"/>
            </w:pPr>
            <w:r>
              <w:rPr>
                <w:rFonts w:ascii="Calibri" w:hAnsi="Calibri"/>
                <w:b/>
                <w:i w:val="0"/>
                <w:color w:val="FFFFFF"/>
                <w:sz w:val="19"/>
              </w:rPr>
              <w:t>Componente</w:t>
            </w:r>
          </w:p>
        </w:tc>
        <w:tc>
          <w:tcPr>
            <w:tcW w:type="dxa" w:w="7272"/>
            <w:vAlign w:val="center"/>
            <w:tcMar>
              <w:top w:w="90" w:type="dxa"/>
              <w:start w:w="120" w:type="dxa"/>
              <w:bottom w:w="90" w:type="dxa"/>
              <w:end w:w="120" w:type="dxa"/>
            </w:tcMar>
            <w:shd w:fill="087F8C"/>
          </w:tcPr>
          <w:p>
            <w:pPr>
              <w:jc w:val="left"/>
            </w:pPr>
            <w:r>
              <w:rPr>
                <w:rFonts w:ascii="Calibri" w:hAnsi="Calibri"/>
                <w:b/>
                <w:i w:val="0"/>
                <w:color w:val="FFFFFF"/>
                <w:sz w:val="19"/>
              </w:rPr>
              <w:t>Implementación actual</w:t>
            </w:r>
          </w:p>
        </w:tc>
      </w:tr>
      <w:tr>
        <w:trPr>
          <w:cantSplit/>
          <w:cantSplit/>
          <w:cantSplit/>
          <w:cantSplit/>
          <w:cantSplit/>
          <w:cantSplit/>
        </w:trPr>
        <w:tc>
          <w:tcPr>
            <w:tcW w:type="dxa" w:w="2088"/>
            <w:shd w:fill="FFFFFF"/>
            <w:vAlign w:val="center"/>
            <w:tcMar>
              <w:top w:w="90" w:type="dxa"/>
              <w:start w:w="120" w:type="dxa"/>
              <w:bottom w:w="90" w:type="dxa"/>
              <w:end w:w="120" w:type="dxa"/>
            </w:tcMar>
          </w:tcPr>
          <w:p>
            <w:pPr>
              <w:spacing w:after="0"/>
            </w:pPr>
            <w:r>
              <w:rPr>
                <w:rFonts w:ascii="Calibri" w:hAnsi="Calibri"/>
                <w:b w:val="0"/>
                <w:i w:val="0"/>
                <w:color w:val="172126"/>
                <w:sz w:val="19"/>
              </w:rPr>
              <w:t>UI</w:t>
            </w:r>
          </w:p>
        </w:tc>
        <w:tc>
          <w:tcPr>
            <w:tcW w:type="dxa" w:w="7272"/>
            <w:shd w:fill="FFFFFF"/>
            <w:vAlign w:val="center"/>
            <w:tcMar>
              <w:top w:w="90" w:type="dxa"/>
              <w:start w:w="120" w:type="dxa"/>
              <w:bottom w:w="90" w:type="dxa"/>
              <w:end w:w="120" w:type="dxa"/>
            </w:tcMar>
          </w:tcPr>
          <w:p>
            <w:pPr>
              <w:spacing w:after="0"/>
            </w:pPr>
            <w:r>
              <w:rPr>
                <w:rFonts w:ascii="Calibri" w:hAnsi="Calibri"/>
                <w:b w:val="0"/>
                <w:i w:val="0"/>
                <w:color w:val="172126"/>
                <w:sz w:val="19"/>
              </w:rPr>
              <w:t>Muestra PD proxy, fee sugerido, tope P10 y tope ajustado por PD</w:t>
            </w:r>
          </w:p>
        </w:tc>
      </w:tr>
      <w:tr>
        <w:trPr>
          <w:cantSplit/>
          <w:cantSplit/>
          <w:cantSplit/>
          <w:cantSplit/>
          <w:cantSplit/>
        </w:trPr>
        <w:tc>
          <w:tcPr>
            <w:tcW w:type="dxa" w:w="2088"/>
            <w:shd w:fill="F2F6F7"/>
            <w:vAlign w:val="center"/>
            <w:tcMar>
              <w:top w:w="90" w:type="dxa"/>
              <w:start w:w="120" w:type="dxa"/>
              <w:bottom w:w="90" w:type="dxa"/>
              <w:end w:w="120" w:type="dxa"/>
            </w:tcMar>
          </w:tcPr>
          <w:p>
            <w:pPr>
              <w:spacing w:after="0"/>
            </w:pPr>
            <w:r>
              <w:rPr>
                <w:rFonts w:ascii="Calibri" w:hAnsi="Calibri"/>
                <w:b w:val="0"/>
                <w:i w:val="0"/>
                <w:color w:val="172126"/>
                <w:sz w:val="19"/>
              </w:rPr>
              <w:t>Monto</w:t>
            </w:r>
          </w:p>
        </w:tc>
        <w:tc>
          <w:tcPr>
            <w:tcW w:type="dxa" w:w="7272"/>
            <w:shd w:fill="F2F6F7"/>
            <w:vAlign w:val="center"/>
            <w:tcMar>
              <w:top w:w="90" w:type="dxa"/>
              <w:start w:w="120" w:type="dxa"/>
              <w:bottom w:w="90" w:type="dxa"/>
              <w:end w:w="120" w:type="dxa"/>
            </w:tcMar>
          </w:tcPr>
          <w:p>
            <w:pPr>
              <w:spacing w:after="0"/>
            </w:pPr>
            <w:r>
              <w:rPr>
                <w:rFonts w:ascii="Calibri" w:hAnsi="Calibri"/>
                <w:b w:val="0"/>
                <w:i w:val="0"/>
                <w:color w:val="172126"/>
                <w:sz w:val="19"/>
              </w:rPr>
              <w:t>Aplica P10, retención, fee contractual y buffer por PD</w:t>
            </w:r>
          </w:p>
        </w:tc>
      </w:tr>
      <w:tr>
        <w:trPr>
          <w:cantSplit/>
          <w:cantSplit/>
          <w:cantSplit/>
          <w:cantSplit/>
        </w:trPr>
        <w:tc>
          <w:tcPr>
            <w:tcW w:type="dxa" w:w="2088"/>
            <w:shd w:fill="FFFFFF"/>
            <w:vAlign w:val="center"/>
            <w:tcMar>
              <w:top w:w="90" w:type="dxa"/>
              <w:start w:w="120" w:type="dxa"/>
              <w:bottom w:w="90" w:type="dxa"/>
              <w:end w:w="120" w:type="dxa"/>
            </w:tcMar>
          </w:tcPr>
          <w:p>
            <w:pPr>
              <w:spacing w:after="0"/>
            </w:pPr>
            <w:r>
              <w:rPr>
                <w:rFonts w:ascii="Calibri" w:hAnsi="Calibri"/>
                <w:b w:val="0"/>
                <w:i w:val="0"/>
                <w:color w:val="172126"/>
                <w:sz w:val="19"/>
              </w:rPr>
              <w:t>Reglas</w:t>
            </w:r>
          </w:p>
        </w:tc>
        <w:tc>
          <w:tcPr>
            <w:tcW w:type="dxa" w:w="7272"/>
            <w:shd w:fill="FFFFFF"/>
            <w:vAlign w:val="center"/>
            <w:tcMar>
              <w:top w:w="90" w:type="dxa"/>
              <w:start w:w="120" w:type="dxa"/>
              <w:bottom w:w="90" w:type="dxa"/>
              <w:end w:w="120" w:type="dxa"/>
            </w:tcMar>
          </w:tcPr>
          <w:p>
            <w:pPr>
              <w:spacing w:after="0"/>
            </w:pPr>
            <w:r>
              <w:rPr>
                <w:rFonts w:ascii="Calibri" w:hAnsi="Calibri"/>
                <w:b w:val="0"/>
                <w:i w:val="0"/>
                <w:color w:val="172126"/>
                <w:sz w:val="19"/>
              </w:rPr>
              <w:t>Mantiene rechazo aunque se modifiquen scores manualmente</w:t>
            </w:r>
          </w:p>
        </w:tc>
      </w:tr>
      <w:tr>
        <w:trPr>
          <w:cantSplit/>
          <w:cantSplit/>
          <w:cantSplit/>
        </w:trPr>
        <w:tc>
          <w:tcPr>
            <w:tcW w:type="dxa" w:w="2088"/>
            <w:shd w:fill="F2F6F7"/>
            <w:vAlign w:val="center"/>
            <w:tcMar>
              <w:top w:w="90" w:type="dxa"/>
              <w:start w:w="120" w:type="dxa"/>
              <w:bottom w:w="90" w:type="dxa"/>
              <w:end w:w="120" w:type="dxa"/>
            </w:tcMar>
          </w:tcPr>
          <w:p>
            <w:pPr>
              <w:spacing w:after="0"/>
            </w:pPr>
            <w:r>
              <w:rPr>
                <w:rFonts w:ascii="Calibri" w:hAnsi="Calibri"/>
                <w:b w:val="0"/>
                <w:i w:val="0"/>
                <w:color w:val="172126"/>
                <w:sz w:val="19"/>
              </w:rPr>
              <w:t>Cartera</w:t>
            </w:r>
          </w:p>
        </w:tc>
        <w:tc>
          <w:tcPr>
            <w:tcW w:type="dxa" w:w="7272"/>
            <w:shd w:fill="F2F6F7"/>
            <w:vAlign w:val="center"/>
            <w:tcMar>
              <w:top w:w="90" w:type="dxa"/>
              <w:start w:w="120" w:type="dxa"/>
              <w:bottom w:w="90" w:type="dxa"/>
              <w:end w:w="120" w:type="dxa"/>
            </w:tcMar>
          </w:tcPr>
          <w:p>
            <w:pPr>
              <w:spacing w:after="0"/>
            </w:pPr>
            <w:r>
              <w:rPr>
                <w:rFonts w:ascii="Calibri" w:hAnsi="Calibri"/>
                <w:b w:val="0"/>
                <w:i w:val="0"/>
                <w:color w:val="172126"/>
                <w:sz w:val="19"/>
              </w:rPr>
              <w:t>Calcula pérdida esperada con PD individual ponderada</w:t>
            </w:r>
          </w:p>
        </w:tc>
      </w:tr>
      <w:tr>
        <w:trPr>
          <w:cantSplit/>
          <w:cantSplit/>
        </w:trPr>
        <w:tc>
          <w:tcPr>
            <w:tcW w:type="dxa" w:w="2088"/>
            <w:shd w:fill="FFFFFF"/>
            <w:vAlign w:val="center"/>
            <w:tcMar>
              <w:top w:w="90" w:type="dxa"/>
              <w:start w:w="120" w:type="dxa"/>
              <w:bottom w:w="90" w:type="dxa"/>
              <w:end w:w="120" w:type="dxa"/>
            </w:tcMar>
          </w:tcPr>
          <w:p>
            <w:pPr>
              <w:spacing w:after="0"/>
            </w:pPr>
            <w:r>
              <w:rPr>
                <w:rFonts w:ascii="Calibri" w:hAnsi="Calibri"/>
                <w:b w:val="0"/>
                <w:i w:val="0"/>
                <w:color w:val="172126"/>
                <w:sz w:val="19"/>
              </w:rPr>
              <w:t>Sensibilidad</w:t>
            </w:r>
          </w:p>
        </w:tc>
        <w:tc>
          <w:tcPr>
            <w:tcW w:type="dxa" w:w="7272"/>
            <w:shd w:fill="FFFFFF"/>
            <w:vAlign w:val="center"/>
            <w:tcMar>
              <w:top w:w="90" w:type="dxa"/>
              <w:start w:w="120" w:type="dxa"/>
              <w:bottom w:w="90" w:type="dxa"/>
              <w:end w:w="120" w:type="dxa"/>
            </w:tcMar>
          </w:tcPr>
          <w:p>
            <w:pPr>
              <w:spacing w:after="0"/>
            </w:pPr>
            <w:r>
              <w:rPr>
                <w:rFonts w:ascii="Calibri" w:hAnsi="Calibri"/>
                <w:b w:val="0"/>
                <w:i w:val="0"/>
                <w:color w:val="172126"/>
                <w:sz w:val="19"/>
              </w:rPr>
              <w:t>Stress de fondeo, PD individual y LGD</w:t>
            </w:r>
          </w:p>
        </w:tc>
      </w:tr>
      <w:tr>
        <w:trPr>
          <w:cantSplit/>
        </w:trPr>
        <w:tc>
          <w:tcPr>
            <w:tcW w:type="dxa" w:w="2088"/>
            <w:shd w:fill="F2F6F7"/>
            <w:vAlign w:val="center"/>
            <w:tcMar>
              <w:top w:w="90" w:type="dxa"/>
              <w:start w:w="120" w:type="dxa"/>
              <w:bottom w:w="90" w:type="dxa"/>
              <w:end w:w="120" w:type="dxa"/>
            </w:tcMar>
          </w:tcPr>
          <w:p>
            <w:pPr>
              <w:spacing w:after="0"/>
            </w:pPr>
            <w:r>
              <w:rPr>
                <w:rFonts w:ascii="Calibri" w:hAnsi="Calibri"/>
                <w:b w:val="0"/>
                <w:i w:val="0"/>
                <w:color w:val="172126"/>
                <w:sz w:val="19"/>
              </w:rPr>
              <w:t>Datos</w:t>
            </w:r>
          </w:p>
        </w:tc>
        <w:tc>
          <w:tcPr>
            <w:tcW w:type="dxa" w:w="7272"/>
            <w:shd w:fill="F2F6F7"/>
            <w:vAlign w:val="center"/>
            <w:tcMar>
              <w:top w:w="90" w:type="dxa"/>
              <w:start w:w="120" w:type="dxa"/>
              <w:bottom w:w="90" w:type="dxa"/>
              <w:end w:w="120" w:type="dxa"/>
            </w:tcMar>
          </w:tcPr>
          <w:p>
            <w:pPr>
              <w:spacing w:after="0"/>
            </w:pPr>
            <w:r>
              <w:rPr>
                <w:rFonts w:ascii="Calibri" w:hAnsi="Calibri"/>
                <w:b w:val="0"/>
                <w:i w:val="0"/>
                <w:color w:val="172126"/>
                <w:sz w:val="19"/>
              </w:rPr>
              <w:t>Persiste método de PD, topes y fee sugerido</w:t>
            </w:r>
          </w:p>
        </w:tc>
      </w:tr>
    </w:tbl>
    <w:p>
      <w:pPr>
        <w:spacing w:after="20"/>
      </w:pPr>
    </w:p>
    <w:p>
      <w:pPr>
        <w:pStyle w:val="Heading2"/>
      </w:pPr>
      <w:r>
        <w:t>Mensajes recomendados para pitch</w:t>
      </w:r>
    </w:p>
    <w:p>
      <w:pPr>
        <w:pStyle w:val="ListBullet"/>
        <w:spacing w:after="80" w:line="264" w:lineRule="auto"/>
      </w:pPr>
      <w:r>
        <w:rPr>
          <w:rFonts w:ascii="Calibri" w:hAnsi="Calibri"/>
          <w:b w:val="0"/>
          <w:i w:val="0"/>
          <w:color w:val="172126"/>
          <w:sz w:val="22"/>
        </w:rPr>
        <w:t>No adelantamos contra optimismo: usamos P10, retención y stress.</w:t>
      </w:r>
    </w:p>
    <w:p>
      <w:pPr>
        <w:pStyle w:val="ListBullet"/>
        <w:spacing w:after="80" w:line="264" w:lineRule="auto"/>
      </w:pPr>
      <w:r>
        <w:rPr>
          <w:rFonts w:ascii="Calibri" w:hAnsi="Calibri"/>
          <w:b w:val="0"/>
          <w:i w:val="0"/>
          <w:color w:val="172126"/>
          <w:sz w:val="22"/>
        </w:rPr>
        <w:t>El score explica; la PD cuantifica riesgo; el flujo futuro define el monto.</w:t>
      </w:r>
    </w:p>
    <w:p>
      <w:pPr>
        <w:pStyle w:val="ListBullet"/>
        <w:spacing w:after="80" w:line="264" w:lineRule="auto"/>
      </w:pPr>
      <w:r>
        <w:rPr>
          <w:rFonts w:ascii="Calibri" w:hAnsi="Calibri"/>
          <w:b w:val="0"/>
          <w:i w:val="0"/>
          <w:color w:val="172126"/>
          <w:sz w:val="22"/>
        </w:rPr>
        <w:t>La PD actual es una proxy experta y se reemplaza por una PD calibrada con resultados reales.</w:t>
      </w:r>
    </w:p>
    <w:p>
      <w:pPr>
        <w:pStyle w:val="ListBullet"/>
        <w:spacing w:after="80" w:line="264" w:lineRule="auto"/>
      </w:pPr>
      <w:r>
        <w:rPr>
          <w:rFonts w:ascii="Calibri" w:hAnsi="Calibri"/>
          <w:b w:val="0"/>
          <w:i w:val="0"/>
          <w:color w:val="172126"/>
          <w:sz w:val="22"/>
        </w:rPr>
        <w:t>El fee se contrasta con fondeo, plazo, PD y LGD para mostrar cuándo el negocio funciona.</w:t>
      </w:r>
    </w:p>
    <w:p>
      <w:pPr>
        <w:pStyle w:val="ListBullet"/>
        <w:spacing w:after="80" w:line="264" w:lineRule="auto"/>
      </w:pPr>
      <w:r>
        <w:rPr>
          <w:rFonts w:ascii="Calibri" w:hAnsi="Calibri"/>
          <w:b w:val="0"/>
          <w:i w:val="0"/>
          <w:color w:val="172126"/>
          <w:sz w:val="22"/>
        </w:rPr>
        <w:t>Para producción, montos mayores o flujo no confirmado requieren partner regulado o encuadre validado.</w:t>
      </w:r>
    </w:p>
    <w:p>
      <w:pPr>
        <w:pStyle w:val="Heading1"/>
      </w:pPr>
      <w:r>
        <w:t>Conclusión</w:t>
      </w:r>
    </w:p>
    <w:p>
      <w:pPr>
        <w:spacing w:after="120" w:line="264" w:lineRule="auto"/>
      </w:pPr>
      <w:r>
        <w:rPr>
          <w:rFonts w:ascii="Calibri" w:hAnsi="Calibri"/>
          <w:b w:val="0"/>
          <w:i w:val="0"/>
          <w:color w:val="172126"/>
          <w:sz w:val="22"/>
        </w:rPr>
        <w:t>La arquitectura híbrida es más sólida que cualquiera de los dos enfoques por separado. Conserva la recuperabilidad, transparencia y prudencia del adelanto de payouts; incorpora PD individual, pricing y aprendizaje progresivo; y evita presentar supuestos expertos como modelos estadísticos ya validados.</w:t>
      </w:r>
    </w:p>
    <w:p>
      <w:pPr>
        <w:spacing w:before="80" w:after="200"/>
        <w:ind w:left="259" w:right="259"/>
        <w:shd w:fill="EAF0FF"/>
      </w:pPr>
      <w:r>
        <w:rPr>
          <w:rFonts w:ascii="Calibri" w:hAnsi="Calibri"/>
          <w:b/>
          <w:i w:val="0"/>
          <w:color w:val="075965"/>
          <w:sz w:val="22"/>
        </w:rPr>
        <w:t xml:space="preserve">Frase final: </w:t>
      </w:r>
      <w:r>
        <w:rPr>
          <w:rFonts w:ascii="Calibri" w:hAnsi="Calibri"/>
          <w:b w:val="0"/>
          <w:i w:val="0"/>
          <w:color w:val="172126"/>
          <w:sz w:val="22"/>
        </w:rPr>
        <w:t>FlowRent convierte datos operativos en adelantos responsables: primero limita lo que puede recuperarse, luego ajusta por riesgo y finalmente muestra si el precio cubre la operación.</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4727A"/>
        <w:sz w:val="18"/>
      </w:rPr>
      <w:t xml:space="preserve">Documento técnico  |  Página </w:t>
    </w:r>
    <w:r>
      <w:rPr>
        <w:rFonts w:ascii="Calibri" w:hAnsi="Calibri"/>
        <w:b w:val="0"/>
        <w:i w:val="0"/>
        <w:color w:val="64727A"/>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4727A"/>
        <w:sz w:val="18"/>
      </w:rPr>
      <w:t>RENTA ESTABLE  |  SISTEMA HÍBRIDO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721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87F8C"/>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7596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D5BF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212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6472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