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5C8B"/>
          <w:sz w:val="80"/>
          <w:szCs w:val="80"/>
        </w:rPr>
        <w:t xml:space="preserve">WORKDAY</w:t>
      </w:r>
    </w:p>
    <w:p>
      <w:pPr>
        <w:spacing w:after="200"/>
        <w:jc w:val="center"/>
      </w:pPr>
      <w:r>
        <w:rPr>
          <w:rFonts w:ascii="Calibri" w:cs="Calibri" w:eastAsia="Calibri" w:hAnsi="Calibri"/>
          <w:color w:val="1F2A37"/>
          <w:sz w:val="40"/>
          <w:szCs w:val="40"/>
        </w:rPr>
        <w:t xml:space="preserve">A Self-Study Reference</w:t>
      </w:r>
    </w:p>
    <w:p>
      <w:pPr>
        <w:spacing w:after="40"/>
        <w:jc w:val="center"/>
      </w:pPr>
      <w:r>
        <w:rPr>
          <w:rFonts w:ascii="Calibri" w:cs="Calibri" w:eastAsia="Calibri" w:hAnsi="Calibri"/>
          <w:color w:val="5B6672"/>
          <w:sz w:val="22"/>
          <w:szCs w:val="22"/>
        </w:rPr>
        <w:t xml:space="preserve">Platform Navigation · Security Configuration · Business Processes · Reporting &amp; Integrations</w:t>
      </w:r>
    </w:p>
    <w:p>
      <w:pPr>
        <w:spacing w:before="400"/>
        <w:jc w:val="center"/>
      </w:pPr>
      <w:r>
        <w:rPr>
          <w:rFonts w:ascii="Calibri" w:cs="Calibri" w:eastAsia="Calibri" w:hAnsi="Calibri"/>
          <w:i/>
          <w:iCs/>
          <w:color w:val="5B6672"/>
          <w:sz w:val="19"/>
          <w:szCs w:val="19"/>
        </w:rPr>
        <w:t xml:space="preserve">Reflects the Workday 2025R2 (fall 2025) release. Workday delivers two feature releases per year — R1 in March and R2 in September — so screen labels and features shift over time.</w:t>
      </w:r>
    </w:p>
    <w:p>
      <w:pPr>
        <w:pageBreakBefore/>
        <w:spacing w:after="200"/>
      </w:pPr>
      <w:r>
        <w:rPr>
          <w:rFonts w:ascii="Calibri" w:cs="Calibri" w:eastAsia="Calibri" w:hAnsi="Calibri"/>
          <w:b/>
          <w:bCs/>
          <w:color w:val="1F2A37"/>
          <w:sz w:val="36"/>
          <w:szCs w:val="36"/>
        </w:rPr>
        <w:t xml:space="preserve">Contents</w:t>
      </w:r>
    </w:p>
    <w:p>
      <w:pPr>
        <w:spacing w:after="90" w:line="250"/>
        <w:ind w:left="0"/>
      </w:pPr>
      <w:r>
        <w:rPr>
          <w:rFonts w:ascii="Calibri" w:cs="Calibri" w:eastAsia="Calibri" w:hAnsi="Calibri"/>
          <w:b/>
          <w:bCs/>
          <w:color w:val="1F2A37"/>
          <w:sz w:val="22"/>
          <w:szCs w:val="22"/>
        </w:rPr>
        <w:t xml:space="preserve">0 · Orientation: How Workday Is Built</w:t>
      </w:r>
      <w:r>
        <w:rPr>
          <w:rFonts w:ascii="Calibri" w:cs="Calibri" w:eastAsia="Calibri" w:hAnsi="Calibri"/>
          <w:sz w:val="20"/>
          <w:szCs w:val="20"/>
        </w:rPr>
        <w:ptab w:alignment="right" w:relativeTo="margin" w:leader="dot"/>
      </w:r>
      <w:r>
        <w:rPr>
          <w:rFonts w:ascii="Calibri" w:cs="Calibri" w:eastAsia="Calibri" w:hAnsi="Calibri"/>
          <w:b/>
          <w:bCs/>
          <w:color w:val="1F2A37"/>
          <w:sz w:val="22"/>
          <w:szCs w:val="22"/>
        </w:rPr>
        <w:t xml:space="preserve">3</w:t>
      </w:r>
    </w:p>
    <w:p>
      <w:pPr>
        <w:spacing w:after="40" w:line="250"/>
        <w:ind w:left="340"/>
      </w:pPr>
      <w:r>
        <w:rPr>
          <w:rFonts w:ascii="Calibri" w:cs="Calibri" w:eastAsia="Calibri" w:hAnsi="Calibri"/>
          <w:b w:val="false"/>
          <w:bCs w:val="false"/>
          <w:color w:val="3B4653"/>
          <w:sz w:val="20"/>
          <w:szCs w:val="20"/>
        </w:rPr>
        <w:t xml:space="preserve">Tenants · Business objects · Organizational structures</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3</w:t>
      </w:r>
    </w:p>
    <w:p>
      <w:pPr>
        <w:spacing w:after="90" w:line="250"/>
        <w:ind w:left="0"/>
      </w:pPr>
      <w:r>
        <w:rPr>
          <w:rFonts w:ascii="Calibri" w:cs="Calibri" w:eastAsia="Calibri" w:hAnsi="Calibri"/>
          <w:b/>
          <w:bCs/>
          <w:color w:val="1F2A37"/>
          <w:sz w:val="22"/>
          <w:szCs w:val="22"/>
        </w:rPr>
        <w:t xml:space="preserve">1 · Platform Navigation &amp; Structure</w:t>
      </w:r>
      <w:r>
        <w:rPr>
          <w:rFonts w:ascii="Calibri" w:cs="Calibri" w:eastAsia="Calibri" w:hAnsi="Calibri"/>
          <w:sz w:val="20"/>
          <w:szCs w:val="20"/>
        </w:rPr>
        <w:ptab w:alignment="right" w:relativeTo="margin" w:leader="dot"/>
      </w:r>
      <w:r>
        <w:rPr>
          <w:rFonts w:ascii="Calibri" w:cs="Calibri" w:eastAsia="Calibri" w:hAnsi="Calibri"/>
          <w:b/>
          <w:bCs/>
          <w:color w:val="1F2A37"/>
          <w:sz w:val="22"/>
          <w:szCs w:val="22"/>
        </w:rPr>
        <w:t xml:space="preserve">4</w:t>
      </w:r>
    </w:p>
    <w:p>
      <w:pPr>
        <w:spacing w:after="40" w:line="250"/>
        <w:ind w:left="340"/>
      </w:pPr>
      <w:r>
        <w:rPr>
          <w:rFonts w:ascii="Calibri" w:cs="Calibri" w:eastAsia="Calibri" w:hAnsi="Calibri"/>
          <w:b w:val="false"/>
          <w:bCs w:val="false"/>
          <w:color w:val="3B4653"/>
          <w:sz w:val="20"/>
          <w:szCs w:val="20"/>
        </w:rPr>
        <w:t xml:space="preserve">The home page</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4</w:t>
      </w:r>
    </w:p>
    <w:p>
      <w:pPr>
        <w:spacing w:after="40" w:line="250"/>
        <w:ind w:left="340"/>
      </w:pPr>
      <w:r>
        <w:rPr>
          <w:rFonts w:ascii="Calibri" w:cs="Calibri" w:eastAsia="Calibri" w:hAnsi="Calibri"/>
          <w:b w:val="false"/>
          <w:bCs w:val="false"/>
          <w:color w:val="3B4653"/>
          <w:sz w:val="20"/>
          <w:szCs w:val="20"/>
        </w:rPr>
        <w:t xml:space="preserve">Persistent navigation</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4</w:t>
      </w:r>
    </w:p>
    <w:p>
      <w:pPr>
        <w:spacing w:after="40" w:line="250"/>
        <w:ind w:left="340"/>
      </w:pPr>
      <w:r>
        <w:rPr>
          <w:rFonts w:ascii="Calibri" w:cs="Calibri" w:eastAsia="Calibri" w:hAnsi="Calibri"/>
          <w:b w:val="false"/>
          <w:bCs w:val="false"/>
          <w:color w:val="3B4653"/>
          <w:sz w:val="20"/>
          <w:szCs w:val="20"/>
        </w:rPr>
        <w:t xml:space="preserve">Working with items</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4</w:t>
      </w:r>
    </w:p>
    <w:p>
      <w:pPr>
        <w:spacing w:after="40" w:line="250"/>
        <w:ind w:left="340"/>
      </w:pPr>
      <w:r>
        <w:rPr>
          <w:rFonts w:ascii="Calibri" w:cs="Calibri" w:eastAsia="Calibri" w:hAnsi="Calibri"/>
          <w:b w:val="false"/>
          <w:bCs w:val="false"/>
          <w:color w:val="3B4653"/>
          <w:sz w:val="20"/>
          <w:szCs w:val="20"/>
        </w:rPr>
        <w:t xml:space="preserve">What this looks like per module</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5</w:t>
      </w:r>
    </w:p>
    <w:p>
      <w:pPr>
        <w:spacing w:after="90" w:line="250"/>
        <w:ind w:left="0"/>
      </w:pPr>
      <w:r>
        <w:rPr>
          <w:rFonts w:ascii="Calibri" w:cs="Calibri" w:eastAsia="Calibri" w:hAnsi="Calibri"/>
          <w:b/>
          <w:bCs/>
          <w:color w:val="1F2A37"/>
          <w:sz w:val="22"/>
          <w:szCs w:val="22"/>
        </w:rPr>
        <w:t xml:space="preserve">2 · Security Configuration</w:t>
      </w:r>
      <w:r>
        <w:rPr>
          <w:rFonts w:ascii="Calibri" w:cs="Calibri" w:eastAsia="Calibri" w:hAnsi="Calibri"/>
          <w:sz w:val="20"/>
          <w:szCs w:val="20"/>
        </w:rPr>
        <w:ptab w:alignment="right" w:relativeTo="margin" w:leader="dot"/>
      </w:r>
      <w:r>
        <w:rPr>
          <w:rFonts w:ascii="Calibri" w:cs="Calibri" w:eastAsia="Calibri" w:hAnsi="Calibri"/>
          <w:b/>
          <w:bCs/>
          <w:color w:val="1F2A37"/>
          <w:sz w:val="22"/>
          <w:szCs w:val="22"/>
        </w:rPr>
        <w:t xml:space="preserve">6</w:t>
      </w:r>
    </w:p>
    <w:p>
      <w:pPr>
        <w:spacing w:after="40" w:line="250"/>
        <w:ind w:left="340"/>
      </w:pPr>
      <w:r>
        <w:rPr>
          <w:rFonts w:ascii="Calibri" w:cs="Calibri" w:eastAsia="Calibri" w:hAnsi="Calibri"/>
          <w:b w:val="false"/>
          <w:bCs w:val="false"/>
          <w:color w:val="3B4653"/>
          <w:sz w:val="20"/>
          <w:szCs w:val="20"/>
        </w:rPr>
        <w:t xml:space="preserve">WHO — Security groups</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6</w:t>
      </w:r>
    </w:p>
    <w:p>
      <w:pPr>
        <w:spacing w:after="40" w:line="250"/>
        <w:ind w:left="340"/>
      </w:pPr>
      <w:r>
        <w:rPr>
          <w:rFonts w:ascii="Calibri" w:cs="Calibri" w:eastAsia="Calibri" w:hAnsi="Calibri"/>
          <w:b w:val="false"/>
          <w:bCs w:val="false"/>
          <w:color w:val="3B4653"/>
          <w:sz w:val="20"/>
          <w:szCs w:val="20"/>
        </w:rPr>
        <w:t xml:space="preserve">WHAT / WHERE — Security policies</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6</w:t>
      </w:r>
    </w:p>
    <w:p>
      <w:pPr>
        <w:spacing w:after="40" w:line="250"/>
        <w:ind w:left="340"/>
      </w:pPr>
      <w:r>
        <w:rPr>
          <w:rFonts w:ascii="Calibri" w:cs="Calibri" w:eastAsia="Calibri" w:hAnsi="Calibri"/>
          <w:b w:val="false"/>
          <w:bCs w:val="false"/>
          <w:color w:val="3B4653"/>
          <w:sz w:val="20"/>
          <w:szCs w:val="20"/>
        </w:rPr>
        <w:t xml:space="preserve">Making and auditing changes</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7</w:t>
      </w:r>
    </w:p>
    <w:p>
      <w:pPr>
        <w:spacing w:after="40" w:line="250"/>
        <w:ind w:left="340"/>
      </w:pPr>
      <w:r>
        <w:rPr>
          <w:rFonts w:ascii="Calibri" w:cs="Calibri" w:eastAsia="Calibri" w:hAnsi="Calibri"/>
          <w:b w:val="false"/>
          <w:bCs w:val="false"/>
          <w:color w:val="3B4653"/>
          <w:sz w:val="20"/>
          <w:szCs w:val="20"/>
        </w:rPr>
        <w:t xml:space="preserve">Per-module examples</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7</w:t>
      </w:r>
    </w:p>
    <w:p>
      <w:pPr>
        <w:spacing w:after="90" w:line="250"/>
        <w:ind w:left="0"/>
      </w:pPr>
      <w:r>
        <w:rPr>
          <w:rFonts w:ascii="Calibri" w:cs="Calibri" w:eastAsia="Calibri" w:hAnsi="Calibri"/>
          <w:b/>
          <w:bCs/>
          <w:color w:val="1F2A37"/>
          <w:sz w:val="22"/>
          <w:szCs w:val="22"/>
        </w:rPr>
        <w:t xml:space="preserve">3 · Business Processes</w:t>
      </w:r>
      <w:r>
        <w:rPr>
          <w:rFonts w:ascii="Calibri" w:cs="Calibri" w:eastAsia="Calibri" w:hAnsi="Calibri"/>
          <w:sz w:val="20"/>
          <w:szCs w:val="20"/>
        </w:rPr>
        <w:ptab w:alignment="right" w:relativeTo="margin" w:leader="dot"/>
      </w:r>
      <w:r>
        <w:rPr>
          <w:rFonts w:ascii="Calibri" w:cs="Calibri" w:eastAsia="Calibri" w:hAnsi="Calibri"/>
          <w:b/>
          <w:bCs/>
          <w:color w:val="1F2A37"/>
          <w:sz w:val="22"/>
          <w:szCs w:val="22"/>
        </w:rPr>
        <w:t xml:space="preserve">8</w:t>
      </w:r>
    </w:p>
    <w:p>
      <w:pPr>
        <w:spacing w:after="40" w:line="250"/>
        <w:ind w:left="340"/>
      </w:pPr>
      <w:r>
        <w:rPr>
          <w:rFonts w:ascii="Calibri" w:cs="Calibri" w:eastAsia="Calibri" w:hAnsi="Calibri"/>
          <w:b w:val="false"/>
          <w:bCs w:val="false"/>
          <w:color w:val="3B4653"/>
          <w:sz w:val="20"/>
          <w:szCs w:val="20"/>
        </w:rPr>
        <w:t xml:space="preserve">Anatomy of a process</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8</w:t>
      </w:r>
    </w:p>
    <w:p>
      <w:pPr>
        <w:spacing w:after="40" w:line="250"/>
        <w:ind w:left="340"/>
      </w:pPr>
      <w:r>
        <w:rPr>
          <w:rFonts w:ascii="Calibri" w:cs="Calibri" w:eastAsia="Calibri" w:hAnsi="Calibri"/>
          <w:b w:val="false"/>
          <w:bCs w:val="false"/>
          <w:color w:val="3B4653"/>
          <w:sz w:val="20"/>
          <w:szCs w:val="20"/>
        </w:rPr>
        <w:t xml:space="preserve">Reference IDs and integrations</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8</w:t>
      </w:r>
    </w:p>
    <w:p>
      <w:pPr>
        <w:spacing w:after="40" w:line="250"/>
        <w:ind w:left="340"/>
      </w:pPr>
      <w:r>
        <w:rPr>
          <w:rFonts w:ascii="Calibri" w:cs="Calibri" w:eastAsia="Calibri" w:hAnsi="Calibri"/>
          <w:b w:val="false"/>
          <w:bCs w:val="false"/>
          <w:color w:val="3B4653"/>
          <w:sz w:val="20"/>
          <w:szCs w:val="20"/>
        </w:rPr>
        <w:t xml:space="preserve">Per-module examples</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8</w:t>
      </w:r>
    </w:p>
    <w:p>
      <w:pPr>
        <w:spacing w:after="90" w:line="250"/>
        <w:ind w:left="0"/>
      </w:pPr>
      <w:r>
        <w:rPr>
          <w:rFonts w:ascii="Calibri" w:cs="Calibri" w:eastAsia="Calibri" w:hAnsi="Calibri"/>
          <w:b/>
          <w:bCs/>
          <w:color w:val="1F2A37"/>
          <w:sz w:val="22"/>
          <w:szCs w:val="22"/>
        </w:rPr>
        <w:t xml:space="preserve">4 · Reporting &amp; Integrations</w:t>
      </w:r>
      <w:r>
        <w:rPr>
          <w:rFonts w:ascii="Calibri" w:cs="Calibri" w:eastAsia="Calibri" w:hAnsi="Calibri"/>
          <w:sz w:val="20"/>
          <w:szCs w:val="20"/>
        </w:rPr>
        <w:ptab w:alignment="right" w:relativeTo="margin" w:leader="dot"/>
      </w:r>
      <w:r>
        <w:rPr>
          <w:rFonts w:ascii="Calibri" w:cs="Calibri" w:eastAsia="Calibri" w:hAnsi="Calibri"/>
          <w:b/>
          <w:bCs/>
          <w:color w:val="1F2A37"/>
          <w:sz w:val="22"/>
          <w:szCs w:val="22"/>
        </w:rPr>
        <w:t xml:space="preserve">9</w:t>
      </w:r>
    </w:p>
    <w:p>
      <w:pPr>
        <w:spacing w:after="40" w:line="250"/>
        <w:ind w:left="340"/>
      </w:pPr>
      <w:r>
        <w:rPr>
          <w:rFonts w:ascii="Calibri" w:cs="Calibri" w:eastAsia="Calibri" w:hAnsi="Calibri"/>
          <w:b w:val="false"/>
          <w:bCs w:val="false"/>
          <w:color w:val="3B4653"/>
          <w:sz w:val="20"/>
          <w:szCs w:val="20"/>
        </w:rPr>
        <w:t xml:space="preserve">Reporting: report types, calculated fields, RaaS</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9</w:t>
      </w:r>
    </w:p>
    <w:p>
      <w:pPr>
        <w:spacing w:after="40" w:line="250"/>
        <w:ind w:left="340"/>
      </w:pPr>
      <w:r>
        <w:rPr>
          <w:rFonts w:ascii="Calibri" w:cs="Calibri" w:eastAsia="Calibri" w:hAnsi="Calibri"/>
          <w:b w:val="false"/>
          <w:bCs w:val="false"/>
          <w:color w:val="3B4653"/>
          <w:sz w:val="20"/>
          <w:szCs w:val="20"/>
        </w:rPr>
        <w:t xml:space="preserve">Integrations: EIB, Core Connectors, Studio</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9</w:t>
      </w:r>
    </w:p>
    <w:p>
      <w:pPr>
        <w:spacing w:after="40" w:line="250"/>
        <w:ind w:left="340"/>
      </w:pPr>
      <w:r>
        <w:rPr>
          <w:rFonts w:ascii="Calibri" w:cs="Calibri" w:eastAsia="Calibri" w:hAnsi="Calibri"/>
          <w:b w:val="false"/>
          <w:bCs w:val="false"/>
          <w:color w:val="3B4653"/>
          <w:sz w:val="20"/>
          <w:szCs w:val="20"/>
        </w:rPr>
        <w:t xml:space="preserve">How it fits together</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10</w:t>
      </w:r>
    </w:p>
    <w:p>
      <w:pPr>
        <w:spacing w:after="90" w:line="250"/>
        <w:ind w:left="0"/>
      </w:pPr>
      <w:r>
        <w:rPr>
          <w:rFonts w:ascii="Calibri" w:cs="Calibri" w:eastAsia="Calibri" w:hAnsi="Calibri"/>
          <w:b/>
          <w:bCs/>
          <w:color w:val="1F2A37"/>
          <w:sz w:val="22"/>
          <w:szCs w:val="22"/>
        </w:rPr>
        <w:t xml:space="preserve">Appendix · Quick Reference</w:t>
      </w:r>
      <w:r>
        <w:rPr>
          <w:rFonts w:ascii="Calibri" w:cs="Calibri" w:eastAsia="Calibri" w:hAnsi="Calibri"/>
          <w:sz w:val="20"/>
          <w:szCs w:val="20"/>
        </w:rPr>
        <w:ptab w:alignment="right" w:relativeTo="margin" w:leader="dot"/>
      </w:r>
      <w:r>
        <w:rPr>
          <w:rFonts w:ascii="Calibri" w:cs="Calibri" w:eastAsia="Calibri" w:hAnsi="Calibri"/>
          <w:b/>
          <w:bCs/>
          <w:color w:val="1F2A37"/>
          <w:sz w:val="22"/>
          <w:szCs w:val="22"/>
        </w:rPr>
        <w:t xml:space="preserve">12</w:t>
      </w:r>
    </w:p>
    <w:p>
      <w:pPr>
        <w:spacing w:after="40" w:line="250"/>
        <w:ind w:left="340"/>
      </w:pPr>
      <w:r>
        <w:rPr>
          <w:rFonts w:ascii="Calibri" w:cs="Calibri" w:eastAsia="Calibri" w:hAnsi="Calibri"/>
          <w:b w:val="false"/>
          <w:bCs w:val="false"/>
          <w:color w:val="3B4653"/>
          <w:sz w:val="20"/>
          <w:szCs w:val="20"/>
        </w:rPr>
        <w:t xml:space="preserve">Vocabulary · Delivered reports · Habits worth building</w:t>
      </w:r>
      <w:r>
        <w:rPr>
          <w:rFonts w:ascii="Calibri" w:cs="Calibri" w:eastAsia="Calibri" w:hAnsi="Calibri"/>
          <w:sz w:val="20"/>
          <w:szCs w:val="20"/>
        </w:rPr>
        <w:ptab w:alignment="right" w:relativeTo="margin" w:leader="dot"/>
      </w:r>
      <w:r>
        <w:rPr>
          <w:rFonts w:ascii="Calibri" w:cs="Calibri" w:eastAsia="Calibri" w:hAnsi="Calibri"/>
          <w:b w:val="false"/>
          <w:bCs w:val="false"/>
          <w:color w:val="3B4653"/>
          <w:sz w:val="20"/>
          <w:szCs w:val="20"/>
        </w:rPr>
        <w:t xml:space="preserve">12</w:t>
      </w:r>
    </w:p>
    <w:p>
      <w:pPr>
        <w:pStyle w:val="Heading1"/>
        <w:pageBreakBefore/>
        <w:pBdr>
          <w:bottom w:val="single" w:color="1F5C8B" w:sz="12" w:space="6"/>
        </w:pBdr>
        <w:spacing w:after="140" w:before="40"/>
      </w:pPr>
      <w:r>
        <w:rPr>
          <w:rFonts w:ascii="Calibri" w:cs="Calibri" w:eastAsia="Calibri" w:hAnsi="Calibri"/>
          <w:b/>
          <w:bCs/>
          <w:color w:val="1F2A37"/>
          <w:sz w:val="38"/>
          <w:szCs w:val="38"/>
        </w:rPr>
        <w:t xml:space="preserve">0 · Orientation: How Workday Is Built</w:t>
      </w:r>
    </w:p>
    <w:p>
      <w:pPr>
        <w:spacing w:after="120" w:line="264"/>
      </w:pPr>
      <w:r>
        <w:rPr>
          <w:rFonts w:ascii="Calibri" w:cs="Calibri" w:eastAsia="Calibri" w:hAnsi="Calibri"/>
          <w:sz w:val="21"/>
          <w:szCs w:val="21"/>
        </w:rPr>
        <w:t xml:space="preserve">Workday is a single, cloud-hosted platform that unifies human resources, finance, and (for higher education) student data in one system with one security model and one reporting engine. Understanding four foundational ideas makes everything else easier, because navigation, security, business processes, and reporting all draw on the same underlying structure.</w:t>
      </w:r>
    </w:p>
    <w:p>
      <w:pPr>
        <w:pStyle w:val="Heading2"/>
        <w:spacing w:after="90" w:before="200"/>
      </w:pPr>
      <w:r>
        <w:rPr>
          <w:rFonts w:ascii="Calibri" w:cs="Calibri" w:eastAsia="Calibri" w:hAnsi="Calibri"/>
          <w:b/>
          <w:bCs/>
          <w:color w:val="1F5C8B"/>
          <w:sz w:val="27"/>
          <w:szCs w:val="27"/>
        </w:rPr>
        <w:t xml:space="preserve">Tenants</w:t>
      </w:r>
    </w:p>
    <w:p>
      <w:pPr>
        <w:spacing w:after="120" w:line="264"/>
      </w:pPr>
      <w:r>
        <w:rPr>
          <w:rFonts w:ascii="Calibri" w:cs="Calibri" w:eastAsia="Calibri" w:hAnsi="Calibri"/>
          <w:sz w:val="21"/>
          <w:szCs w:val="21"/>
        </w:rPr>
        <w:t xml:space="preserve">A tenant is your organization's isolated instance of Workday. Most customers work across several: an implementation or sandbox tenant for building and testing configuration, and a production tenant that holds live data. Changes are built and validated in a non-production tenant, then migrated. Knowing which tenant you are in matters — the same task in sandbox is safe practice; in production it affects real people and real money.</w:t>
      </w:r>
    </w:p>
    <w:p>
      <w:pPr>
        <w:pStyle w:val="Heading2"/>
        <w:spacing w:after="90" w:before="200"/>
      </w:pPr>
      <w:r>
        <w:rPr>
          <w:rFonts w:ascii="Calibri" w:cs="Calibri" w:eastAsia="Calibri" w:hAnsi="Calibri"/>
          <w:b/>
          <w:bCs/>
          <w:color w:val="1F5C8B"/>
          <w:sz w:val="27"/>
          <w:szCs w:val="27"/>
        </w:rPr>
        <w:t xml:space="preserve">Business objects and worktags</w:t>
      </w:r>
    </w:p>
    <w:p>
      <w:pPr>
        <w:spacing w:after="120" w:line="264"/>
      </w:pPr>
      <w:r>
        <w:rPr>
          <w:rFonts w:ascii="Calibri" w:cs="Calibri" w:eastAsia="Calibri" w:hAnsi="Calibri"/>
          <w:b/>
          <w:bCs/>
          <w:sz w:val="21"/>
          <w:szCs w:val="21"/>
        </w:rPr>
        <w:t xml:space="preserve">Business objects </w:t>
      </w:r>
      <w:r>
        <w:rPr>
          <w:rFonts w:ascii="Calibri" w:cs="Calibri" w:eastAsia="Calibri" w:hAnsi="Calibri"/>
          <w:sz w:val="21"/>
          <w:szCs w:val="21"/>
        </w:rPr>
        <w:t xml:space="preserve">are the nouns of Workday — Worker, Position, Organization, Supplier, Invoice, Student, Course. Each is a template describing one kind of thing, with fields and relationships to other objects. A Worker object relates to a Position, which relates to a Supervisory Organization, and so on. Reporting, security, and integrations all reference these objects.</w:t>
      </w:r>
    </w:p>
    <w:p>
      <w:pPr>
        <w:spacing w:after="120" w:line="264"/>
      </w:pPr>
      <w:r>
        <w:rPr>
          <w:rFonts w:ascii="Calibri" w:cs="Calibri" w:eastAsia="Calibri" w:hAnsi="Calibri"/>
          <w:b/>
          <w:bCs/>
          <w:sz w:val="21"/>
          <w:szCs w:val="21"/>
        </w:rPr>
        <w:t xml:space="preserve">Worktags </w:t>
      </w:r>
      <w:r>
        <w:rPr>
          <w:rFonts w:ascii="Calibri" w:cs="Calibri" w:eastAsia="Calibri" w:hAnsi="Calibri"/>
          <w:sz w:val="21"/>
          <w:szCs w:val="21"/>
        </w:rPr>
        <w:t xml:space="preserve">are labels that categorize a transaction so it can be tracked and reported on — a cost center, a program, a grant, a gift, a fund. When someone submits an expense or an invoice, the worktags they attach determine how that dollar is classified across finance reporting. Worktags are the connective tissue between a transaction and the organizational structures it should roll up to.</w:t>
      </w:r>
    </w:p>
    <w:p>
      <w:pPr>
        <w:pStyle w:val="Heading2"/>
        <w:spacing w:after="90" w:before="200"/>
      </w:pPr>
      <w:r>
        <w:rPr>
          <w:rFonts w:ascii="Calibri" w:cs="Calibri" w:eastAsia="Calibri" w:hAnsi="Calibri"/>
          <w:b/>
          <w:bCs/>
          <w:color w:val="1F5C8B"/>
          <w:sz w:val="27"/>
          <w:szCs w:val="27"/>
        </w:rPr>
        <w:t xml:space="preserve">Organizational structures</w:t>
      </w:r>
    </w:p>
    <w:p>
      <w:pPr>
        <w:spacing w:after="120" w:line="264"/>
      </w:pPr>
      <w:r>
        <w:rPr>
          <w:rFonts w:ascii="Calibri" w:cs="Calibri" w:eastAsia="Calibri" w:hAnsi="Calibri"/>
          <w:sz w:val="21"/>
          <w:szCs w:val="21"/>
        </w:rPr>
        <w:t xml:space="preserve">Workday models your institution as a set of interlocking organization types. These structures drive both what people can see (security is frequently scoped to them) and how data rolls up (reporting aggregates along them).</w:t>
      </w:r>
    </w:p>
    <w:tbl>
      <w:tblPr>
        <w:tblW w:type="dxa" w:w="9360"/>
        <w:tblBorders>
          <w:top w:val="single" w:color="B9C2CD" w:sz="2"/>
          <w:left w:val="single" w:color="B9C2CD" w:sz="2"/>
          <w:bottom w:val="single" w:color="B9C2CD" w:sz="2"/>
          <w:right w:val="single" w:color="B9C2CD" w:sz="2"/>
          <w:insideH w:val="single" w:color="B9C2CD" w:sz="2"/>
          <w:insideV w:val="single" w:color="B9C2CD" w:sz="2"/>
        </w:tblBorders>
      </w:tblPr>
      <w:tblGrid>
        <w:gridCol w:w="2600"/>
        <w:gridCol w:w="4560"/>
        <w:gridCol w:w="2200"/>
      </w:tblGrid>
      <w:tr>
        <w:trPr>
          <w:cantSplit/>
          <w:tblHeader/>
        </w:trPr>
        <w:tc>
          <w:tcPr>
            <w:tcW w:type="dxa" w:w="260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Structure</w:t>
            </w:r>
          </w:p>
        </w:tc>
        <w:tc>
          <w:tcPr>
            <w:tcW w:type="dxa" w:w="456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What it represents</w:t>
            </w:r>
          </w:p>
        </w:tc>
        <w:tc>
          <w:tcPr>
            <w:tcW w:type="dxa" w:w="220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Primarily used by</w:t>
            </w:r>
          </w:p>
        </w:tc>
      </w:tr>
      <w:tr>
        <w:trPr>
          <w:cantSplit/>
        </w:trPr>
        <w:tc>
          <w:tcPr>
            <w:tcW w:type="dxa" w:w="26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Supervisory Organization</w:t>
            </w:r>
          </w:p>
        </w:tc>
        <w:tc>
          <w:tcPr>
            <w:tcW w:type="dxa" w:w="45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The manager-to-worker reporting hierarchy; the backbone of HCM</w:t>
            </w:r>
          </w:p>
        </w:tc>
        <w:tc>
          <w:tcPr>
            <w:tcW w:type="dxa" w:w="22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HCM / HR</w:t>
            </w:r>
          </w:p>
        </w:tc>
      </w:tr>
      <w:tr>
        <w:trPr>
          <w:cantSplit/>
        </w:trPr>
        <w:tc>
          <w:tcPr>
            <w:tcW w:type="dxa" w:w="26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Cost Center</w:t>
            </w:r>
          </w:p>
        </w:tc>
        <w:tc>
          <w:tcPr>
            <w:tcW w:type="dxa" w:w="45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A unit that owns budget and incurs cost</w:t>
            </w:r>
          </w:p>
        </w:tc>
        <w:tc>
          <w:tcPr>
            <w:tcW w:type="dxa" w:w="22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Financials</w:t>
            </w:r>
          </w:p>
        </w:tc>
      </w:tr>
      <w:tr>
        <w:trPr>
          <w:cantSplit/>
        </w:trPr>
        <w:tc>
          <w:tcPr>
            <w:tcW w:type="dxa" w:w="26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Company</w:t>
            </w:r>
          </w:p>
        </w:tc>
        <w:tc>
          <w:tcPr>
            <w:tcW w:type="dxa" w:w="45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 legal entity that transacts and reports financially</w:t>
            </w:r>
          </w:p>
        </w:tc>
        <w:tc>
          <w:tcPr>
            <w:tcW w:type="dxa" w:w="22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Financials</w:t>
            </w:r>
          </w:p>
        </w:tc>
      </w:tr>
      <w:tr>
        <w:trPr>
          <w:cantSplit/>
        </w:trPr>
        <w:tc>
          <w:tcPr>
            <w:tcW w:type="dxa" w:w="26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Region / Location</w:t>
            </w:r>
          </w:p>
        </w:tc>
        <w:tc>
          <w:tcPr>
            <w:tcW w:type="dxa" w:w="45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Geographic grouping of workers or operations</w:t>
            </w:r>
          </w:p>
        </w:tc>
        <w:tc>
          <w:tcPr>
            <w:tcW w:type="dxa" w:w="22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Cross-module</w:t>
            </w:r>
          </w:p>
        </w:tc>
      </w:tr>
      <w:tr>
        <w:trPr>
          <w:cantSplit/>
        </w:trPr>
        <w:tc>
          <w:tcPr>
            <w:tcW w:type="dxa" w:w="26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Academic Unit</w:t>
            </w:r>
          </w:p>
        </w:tc>
        <w:tc>
          <w:tcPr>
            <w:tcW w:type="dxa" w:w="45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 college, school, or department that owns programs and courses</w:t>
            </w:r>
          </w:p>
        </w:tc>
        <w:tc>
          <w:tcPr>
            <w:tcW w:type="dxa" w:w="22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Student</w:t>
            </w:r>
          </w:p>
        </w:tc>
      </w:tr>
      <w:tr>
        <w:trPr>
          <w:cantSplit/>
        </w:trPr>
        <w:tc>
          <w:tcPr>
            <w:tcW w:type="dxa" w:w="26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Custom Organization</w:t>
            </w:r>
          </w:p>
        </w:tc>
        <w:tc>
          <w:tcPr>
            <w:tcW w:type="dxa" w:w="45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A flexible grouping you define for reporting or security</w:t>
            </w:r>
          </w:p>
        </w:tc>
        <w:tc>
          <w:tcPr>
            <w:tcW w:type="dxa" w:w="22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Cross-module</w:t>
            </w:r>
          </w:p>
        </w:tc>
      </w:tr>
    </w:tbl>
    <w:p>
      <w:pPr>
        <w:pStyle w:val="Heading2"/>
        <w:spacing w:after="90" w:before="200"/>
      </w:pPr>
      <w:r>
        <w:rPr>
          <w:rFonts w:ascii="Calibri" w:cs="Calibri" w:eastAsia="Calibri" w:hAnsi="Calibri"/>
          <w:b/>
          <w:bCs/>
          <w:color w:val="1F5C8B"/>
          <w:sz w:val="27"/>
          <w:szCs w:val="27"/>
        </w:rPr>
        <w:t xml:space="preserve">Delivered vs. configured</w:t>
      </w:r>
    </w:p>
    <w:p>
      <w:pPr>
        <w:spacing w:after="120" w:line="264"/>
      </w:pPr>
      <w:r>
        <w:rPr>
          <w:rFonts w:ascii="Calibri" w:cs="Calibri" w:eastAsia="Calibri" w:hAnsi="Calibri"/>
          <w:sz w:val="21"/>
          <w:szCs w:val="21"/>
        </w:rPr>
        <w:t xml:space="preserve">Workday ships an enormous amount of pre-built ("delivered") content: business process types, security groups, domains, standard reports. You rarely build from nothing. Instead you configure — enabling, scoping, and adjusting delivered content to fit your institution. A recurring theme across all four topics below is the line between what Workday delivers and what you are allowed to change.</w:t>
      </w:r>
    </w:p>
    <w:p>
      <w:pPr>
        <w:pStyle w:val="Heading1"/>
        <w:pageBreakBefore/>
        <w:pBdr>
          <w:bottom w:val="single" w:color="1F5C8B" w:sz="12" w:space="6"/>
        </w:pBdr>
        <w:spacing w:after="140" w:before="40"/>
      </w:pPr>
      <w:r>
        <w:rPr>
          <w:rFonts w:ascii="Calibri" w:cs="Calibri" w:eastAsia="Calibri" w:hAnsi="Calibri"/>
          <w:b/>
          <w:bCs/>
          <w:color w:val="1F2A37"/>
          <w:sz w:val="38"/>
          <w:szCs w:val="38"/>
        </w:rPr>
        <w:t xml:space="preserve">1 · Platform Navigation &amp; Structure</w:t>
      </w:r>
    </w:p>
    <w:p>
      <w:pPr>
        <w:spacing w:after="120" w:line="264"/>
      </w:pPr>
      <w:r>
        <w:rPr>
          <w:rFonts w:ascii="Calibri" w:cs="Calibri" w:eastAsia="Calibri" w:hAnsi="Calibri"/>
          <w:sz w:val="21"/>
          <w:szCs w:val="21"/>
        </w:rPr>
        <w:t xml:space="preserve">The fall 2025 (2025R2) release reshaped how users move through Workday, shifting from menu-hunting toward a search-first, sidebar-driven experience. The elements below are what you will actually see and use day to day.</w:t>
      </w:r>
    </w:p>
    <w:p>
      <w:pPr>
        <w:pStyle w:val="Heading2"/>
        <w:spacing w:after="90" w:before="200"/>
      </w:pPr>
      <w:r>
        <w:rPr>
          <w:rFonts w:ascii="Calibri" w:cs="Calibri" w:eastAsia="Calibri" w:hAnsi="Calibri"/>
          <w:b/>
          <w:bCs/>
          <w:color w:val="1F5C8B"/>
          <w:sz w:val="27"/>
          <w:szCs w:val="27"/>
        </w:rPr>
        <w:t xml:space="preserve">The home page</w:t>
      </w:r>
    </w:p>
    <w:p>
      <w:pPr>
        <w:spacing w:after="120" w:line="264"/>
      </w:pPr>
      <w:r>
        <w:rPr>
          <w:rFonts w:ascii="Calibri" w:cs="Calibri" w:eastAsia="Calibri" w:hAnsi="Calibri"/>
          <w:sz w:val="21"/>
          <w:szCs w:val="21"/>
        </w:rPr>
        <w:t xml:space="preserve">The home page is the launch pad. After the 2025R2 release it centers on search and surfaces your most common work up front.</w:t>
      </w:r>
    </w:p>
    <w:p>
      <w:pPr>
        <w:pStyle w:val="ListParagraph"/>
        <w:numPr>
          <w:ilvl w:val="0"/>
          <w:numId w:val="1"/>
        </w:numPr>
        <w:spacing w:after="60" w:line="260"/>
      </w:pPr>
      <w:r>
        <w:rPr>
          <w:rFonts w:ascii="Calibri" w:cs="Calibri" w:eastAsia="Calibri" w:hAnsi="Calibri"/>
          <w:b/>
          <w:bCs/>
          <w:sz w:val="21"/>
          <w:szCs w:val="21"/>
        </w:rPr>
        <w:t xml:space="preserve">Search bar (now centered). </w:t>
      </w:r>
      <w:r>
        <w:rPr>
          <w:rFonts w:ascii="Calibri" w:cs="Calibri" w:eastAsia="Calibri" w:hAnsi="Calibri"/>
          <w:sz w:val="21"/>
          <w:szCs w:val="21"/>
        </w:rPr>
        <w:t xml:space="preserve">Type what you want the way you would ask a colleague. Search was moved to the center of the home page and made more prominent, and results are AI-enhanced to interpret natural-language queries rather than requiring exact task or report names.</w:t>
      </w:r>
    </w:p>
    <w:p>
      <w:pPr>
        <w:pStyle w:val="ListParagraph"/>
        <w:numPr>
          <w:ilvl w:val="0"/>
          <w:numId w:val="1"/>
        </w:numPr>
        <w:spacing w:after="60" w:line="260"/>
      </w:pPr>
      <w:r>
        <w:rPr>
          <w:rFonts w:ascii="Calibri" w:cs="Calibri" w:eastAsia="Calibri" w:hAnsi="Calibri"/>
          <w:b/>
          <w:bCs/>
          <w:sz w:val="21"/>
          <w:szCs w:val="21"/>
        </w:rPr>
        <w:t xml:space="preserve">Quick Actions buttons. </w:t>
      </w:r>
      <w:r>
        <w:rPr>
          <w:rFonts w:ascii="Calibri" w:cs="Calibri" w:eastAsia="Calibri" w:hAnsi="Calibri"/>
          <w:sz w:val="21"/>
          <w:szCs w:val="21"/>
        </w:rPr>
        <w:t xml:space="preserve">A row of buttons at the top of the home page provides one-click access to your most-used tasks, reports, and external links. Workday surfaces up to ten; five show by default, and an overflow icon (a vertical ellipsis) reveals the rest. What appears depends on your security. These replaced the earlier "Quick Tasks" feature.</w:t>
      </w:r>
    </w:p>
    <w:p>
      <w:pPr>
        <w:pStyle w:val="ListParagraph"/>
        <w:numPr>
          <w:ilvl w:val="0"/>
          <w:numId w:val="1"/>
        </w:numPr>
        <w:spacing w:after="60" w:line="260"/>
      </w:pPr>
      <w:r>
        <w:rPr>
          <w:rFonts w:ascii="Calibri" w:cs="Calibri" w:eastAsia="Calibri" w:hAnsi="Calibri"/>
          <w:b/>
          <w:bCs/>
          <w:sz w:val="21"/>
          <w:szCs w:val="21"/>
        </w:rPr>
        <w:t xml:space="preserve">Announcements and timely suggestions. </w:t>
      </w:r>
      <w:r>
        <w:rPr>
          <w:rFonts w:ascii="Calibri" w:cs="Calibri" w:eastAsia="Calibri" w:hAnsi="Calibri"/>
          <w:sz w:val="21"/>
          <w:szCs w:val="21"/>
        </w:rPr>
        <w:t xml:space="preserve">Organization-wide announcements and personal reminders (upcoming absences, tasks that need attention) appear as cards.</w:t>
      </w:r>
    </w:p>
    <w:p>
      <w:pPr>
        <w:pStyle w:val="Heading2"/>
        <w:spacing w:after="90" w:before="200"/>
      </w:pPr>
      <w:r>
        <w:rPr>
          <w:rFonts w:ascii="Calibri" w:cs="Calibri" w:eastAsia="Calibri" w:hAnsi="Calibri"/>
          <w:b/>
          <w:bCs/>
          <w:color w:val="1F5C8B"/>
          <w:sz w:val="27"/>
          <w:szCs w:val="27"/>
        </w:rPr>
        <w:t xml:space="preserve">Persistent navigation</w:t>
      </w:r>
    </w:p>
    <w:p>
      <w:pPr>
        <w:pStyle w:val="ListParagraph"/>
        <w:numPr>
          <w:ilvl w:val="0"/>
          <w:numId w:val="1"/>
        </w:numPr>
        <w:spacing w:after="60" w:line="260"/>
      </w:pPr>
      <w:r>
        <w:rPr>
          <w:rFonts w:ascii="Calibri" w:cs="Calibri" w:eastAsia="Calibri" w:hAnsi="Calibri"/>
          <w:b/>
          <w:bCs/>
          <w:sz w:val="21"/>
          <w:szCs w:val="21"/>
        </w:rPr>
        <w:t xml:space="preserve">Global Navigation Sidebar. </w:t>
      </w:r>
      <w:r>
        <w:rPr>
          <w:rFonts w:ascii="Calibri" w:cs="Calibri" w:eastAsia="Calibri" w:hAnsi="Calibri"/>
          <w:sz w:val="21"/>
          <w:szCs w:val="21"/>
        </w:rPr>
        <w:t xml:space="preserve">A pinned sidebar on the left stays visible as you move through Workday, replacing the older hamburger-menu Global Navigation Menu. You can pin your top apps, reach saved items in one click, reorder categories, and hide the sidebar (via the gear icon) to reclaim screen space.</w:t>
      </w:r>
    </w:p>
    <w:p>
      <w:pPr>
        <w:pStyle w:val="ListParagraph"/>
        <w:numPr>
          <w:ilvl w:val="0"/>
          <w:numId w:val="1"/>
        </w:numPr>
        <w:spacing w:after="60" w:line="260"/>
      </w:pPr>
      <w:r>
        <w:rPr>
          <w:rFonts w:ascii="Calibri" w:cs="Calibri" w:eastAsia="Calibri" w:hAnsi="Calibri"/>
          <w:b/>
          <w:bCs/>
          <w:sz w:val="21"/>
          <w:szCs w:val="21"/>
        </w:rPr>
        <w:t xml:space="preserve">Apps and shortcuts. </w:t>
      </w:r>
      <w:r>
        <w:rPr>
          <w:rFonts w:ascii="Calibri" w:cs="Calibri" w:eastAsia="Calibri" w:hAnsi="Calibri"/>
          <w:sz w:val="21"/>
          <w:szCs w:val="21"/>
        </w:rPr>
        <w:t xml:space="preserve">Apps group related tasks and reports by function. You can customize which apps appear and their order.</w:t>
      </w:r>
    </w:p>
    <w:p>
      <w:pPr>
        <w:pStyle w:val="ListParagraph"/>
        <w:numPr>
          <w:ilvl w:val="0"/>
          <w:numId w:val="1"/>
        </w:numPr>
        <w:spacing w:after="60" w:line="260"/>
      </w:pPr>
      <w:r>
        <w:rPr>
          <w:rFonts w:ascii="Calibri" w:cs="Calibri" w:eastAsia="Calibri" w:hAnsi="Calibri"/>
          <w:b/>
          <w:bCs/>
          <w:sz w:val="21"/>
          <w:szCs w:val="21"/>
        </w:rPr>
        <w:t xml:space="preserve">Search prefixes. </w:t>
      </w:r>
      <w:r>
        <w:rPr>
          <w:rFonts w:ascii="Calibri" w:cs="Calibri" w:eastAsia="Calibri" w:hAnsi="Calibri"/>
          <w:sz w:val="21"/>
          <w:szCs w:val="21"/>
        </w:rPr>
        <w:t xml:space="preserve">Power users narrow search by prefix. For example, typing </w:t>
      </w:r>
      <w:r>
        <w:rPr>
          <w:rFonts w:ascii="Consolas" w:cs="Consolas" w:eastAsia="Consolas" w:hAnsi="Consolas"/>
          <w:sz w:val="20"/>
          <w:szCs w:val="20"/>
        </w:rPr>
        <w:t xml:space="preserve">dom:</w:t>
      </w:r>
      <w:r>
        <w:rPr>
          <w:rFonts w:ascii="Calibri" w:cs="Calibri" w:eastAsia="Calibri" w:hAnsi="Calibri"/>
          <w:sz w:val="21"/>
          <w:szCs w:val="21"/>
        </w:rPr>
        <w:t xml:space="preserve"> filters to security domains. Prefix-based search is how administrators jump straight to configuration objects instead of browsing menus.</w:t>
      </w:r>
    </w:p>
    <w:p>
      <w:pPr>
        <w:pStyle w:val="Heading2"/>
        <w:spacing w:after="90" w:before="200"/>
      </w:pPr>
      <w:r>
        <w:rPr>
          <w:rFonts w:ascii="Calibri" w:cs="Calibri" w:eastAsia="Calibri" w:hAnsi="Calibri"/>
          <w:b/>
          <w:bCs/>
          <w:color w:val="1F5C8B"/>
          <w:sz w:val="27"/>
          <w:szCs w:val="27"/>
        </w:rPr>
        <w:t xml:space="preserve">Working with items</w:t>
      </w:r>
    </w:p>
    <w:p>
      <w:pPr>
        <w:pStyle w:val="ListParagraph"/>
        <w:numPr>
          <w:ilvl w:val="0"/>
          <w:numId w:val="1"/>
        </w:numPr>
        <w:spacing w:after="60" w:line="260"/>
      </w:pPr>
      <w:r>
        <w:rPr>
          <w:rFonts w:ascii="Calibri" w:cs="Calibri" w:eastAsia="Calibri" w:hAnsi="Calibri"/>
          <w:b/>
          <w:bCs/>
          <w:sz w:val="21"/>
          <w:szCs w:val="21"/>
        </w:rPr>
        <w:t xml:space="preserve">Related Actions. </w:t>
      </w:r>
      <w:r>
        <w:rPr>
          <w:rFonts w:ascii="Calibri" w:cs="Calibri" w:eastAsia="Calibri" w:hAnsi="Calibri"/>
          <w:sz w:val="21"/>
          <w:szCs w:val="21"/>
        </w:rPr>
        <w:t xml:space="preserve">Nearly every object has a Related Actions button (the small icon beside it, historically nicknamed the "Twinkie"). It opens a context menu of everything you are allowed to do to that object — the single most important navigation habit to build. If you can see an object, Related Actions tells you what you can do with it.</w:t>
      </w:r>
    </w:p>
    <w:p>
      <w:pPr>
        <w:pStyle w:val="ListParagraph"/>
        <w:numPr>
          <w:ilvl w:val="0"/>
          <w:numId w:val="1"/>
        </w:numPr>
        <w:spacing w:after="60" w:line="260"/>
      </w:pPr>
      <w:r>
        <w:rPr>
          <w:rFonts w:ascii="Calibri" w:cs="Calibri" w:eastAsia="Calibri" w:hAnsi="Calibri"/>
          <w:b/>
          <w:bCs/>
          <w:sz w:val="21"/>
          <w:szCs w:val="21"/>
        </w:rPr>
        <w:t xml:space="preserve">My Tasks (the inbox). </w:t>
      </w:r>
      <w:r>
        <w:rPr>
          <w:rFonts w:ascii="Calibri" w:cs="Calibri" w:eastAsia="Calibri" w:hAnsi="Calibri"/>
          <w:sz w:val="21"/>
          <w:szCs w:val="21"/>
        </w:rPr>
        <w:t xml:space="preserve">Your personal action queue. Approvals, to-dos, and steps routed to you as part of a business process land here. "My Tasks" is where work assigned to you waits.</w:t>
      </w:r>
    </w:p>
    <w:p>
      <w:pPr>
        <w:pStyle w:val="ListParagraph"/>
        <w:numPr>
          <w:ilvl w:val="0"/>
          <w:numId w:val="1"/>
        </w:numPr>
        <w:spacing w:after="60" w:line="260"/>
      </w:pPr>
      <w:r>
        <w:rPr>
          <w:rFonts w:ascii="Calibri" w:cs="Calibri" w:eastAsia="Calibri" w:hAnsi="Calibri"/>
          <w:b/>
          <w:bCs/>
          <w:sz w:val="21"/>
          <w:szCs w:val="21"/>
        </w:rPr>
        <w:t xml:space="preserve">Notifications. </w:t>
      </w:r>
      <w:r>
        <w:rPr>
          <w:rFonts w:ascii="Calibri" w:cs="Calibri" w:eastAsia="Calibri" w:hAnsi="Calibri"/>
          <w:sz w:val="21"/>
          <w:szCs w:val="21"/>
        </w:rPr>
        <w:t xml:space="preserve">The notification bell delivers status updates about processes (as opposed to actions you must take, which go to My Tasks). You can opt to receive many notifications by email as well.</w:t>
      </w:r>
    </w:p>
    <w:p>
      <w:pPr>
        <w:pStyle w:val="ListParagraph"/>
        <w:numPr>
          <w:ilvl w:val="0"/>
          <w:numId w:val="1"/>
        </w:numPr>
        <w:spacing w:after="60" w:line="260"/>
      </w:pPr>
      <w:r>
        <w:rPr>
          <w:rFonts w:ascii="Calibri" w:cs="Calibri" w:eastAsia="Calibri" w:hAnsi="Calibri"/>
          <w:b/>
          <w:bCs/>
          <w:sz w:val="21"/>
          <w:szCs w:val="21"/>
        </w:rPr>
        <w:t xml:space="preserve">Save / bookmark. </w:t>
      </w:r>
      <w:r>
        <w:rPr>
          <w:rFonts w:ascii="Calibri" w:cs="Calibri" w:eastAsia="Calibri" w:hAnsi="Calibri"/>
          <w:sz w:val="21"/>
          <w:szCs w:val="21"/>
        </w:rPr>
        <w:t xml:space="preserve">A Save icon on task pages adds a task to your Saved list (reachable from the sidebar), so frequently used tasks are one click away.</w:t>
      </w:r>
    </w:p>
    <w:tbl>
      <w:tblPr>
        <w:tblW w:type="dxa" w:w="9360"/>
        <w:tblBorders>
          <w:top w:val="single" w:color="1F5C8B" w:sz="4"/>
          <w:left w:val="single" w:color="1F5C8B" w:sz="18"/>
          <w:bottom w:val="single" w:color="1F5C8B" w:sz="4"/>
          <w:right w:val="single" w:color="1F5C8B" w:sz="4"/>
          <w:insideH w:val="none"/>
          <w:insideV w:val="none"/>
        </w:tblBorders>
      </w:tblPr>
      <w:tblGrid>
        <w:gridCol w:w="9360"/>
      </w:tblGrid>
      <w:tr>
        <w:tc>
          <w:tcPr>
            <w:tcW w:type="dxa" w:w="9360"/>
            <w:shd w:fill="EEF2F6" w:val="clear"/>
            <w:tcMar>
              <w:top w:type="dxa" w:w="100"/>
              <w:left w:type="dxa" w:w="160"/>
              <w:bottom w:type="dxa" w:w="100"/>
              <w:right w:type="dxa" w:w="160"/>
            </w:tcMar>
          </w:tcPr>
          <w:p>
            <w:pPr>
              <w:spacing w:after="60"/>
            </w:pPr>
            <w:r>
              <w:rPr>
                <w:rFonts w:ascii="Calibri" w:cs="Calibri" w:eastAsia="Calibri" w:hAnsi="Calibri"/>
                <w:b/>
                <w:bCs/>
                <w:caps/>
                <w:color w:val="1F5C8B"/>
                <w:sz w:val="19"/>
                <w:szCs w:val="19"/>
              </w:rPr>
              <w:t xml:space="preserve">Orientation tip</w:t>
            </w:r>
          </w:p>
          <w:p>
            <w:pPr>
              <w:spacing w:after="40" w:line="250"/>
            </w:pPr>
            <w:r>
              <w:rPr>
                <w:rFonts w:ascii="Calibri" w:cs="Calibri" w:eastAsia="Calibri" w:hAnsi="Calibri"/>
                <w:sz w:val="20"/>
                <w:szCs w:val="20"/>
              </w:rPr>
              <w:t xml:space="preserve">The fastest way to work in Workday is not to memorize menu paths — it is to (1) search for the object or task, and (2) use Related Actions on whatever you find. Almost every workflow in this guide begins with one of those two moves.</w:t>
            </w:r>
          </w:p>
        </w:tc>
      </w:tr>
    </w:tbl>
    <w:p>
      <w:pPr>
        <w:pStyle w:val="Heading2"/>
        <w:spacing w:after="90" w:before="200"/>
      </w:pPr>
      <w:r>
        <w:rPr>
          <w:rFonts w:ascii="Calibri" w:cs="Calibri" w:eastAsia="Calibri" w:hAnsi="Calibri"/>
          <w:b/>
          <w:bCs/>
          <w:color w:val="1F5C8B"/>
          <w:sz w:val="27"/>
          <w:szCs w:val="27"/>
        </w:rPr>
        <w:t xml:space="preserve">What this looks like per module</w:t>
      </w:r>
    </w:p>
    <w:p>
      <w:pPr>
        <w:pStyle w:val="ListParagraph"/>
        <w:numPr>
          <w:ilvl w:val="0"/>
          <w:numId w:val="1"/>
        </w:numPr>
        <w:spacing w:after="60" w:line="260"/>
      </w:pPr>
      <w:r>
        <w:rPr>
          <w:rFonts w:ascii="Calibri" w:cs="Calibri" w:eastAsia="Calibri" w:hAnsi="Calibri"/>
          <w:b/>
          <w:bCs/>
          <w:sz w:val="21"/>
          <w:szCs w:val="21"/>
        </w:rPr>
        <w:t xml:space="preserve">HCM: </w:t>
      </w:r>
      <w:r>
        <w:rPr>
          <w:rFonts w:ascii="Calibri" w:cs="Calibri" w:eastAsia="Calibri" w:hAnsi="Calibri"/>
          <w:sz w:val="21"/>
          <w:szCs w:val="21"/>
        </w:rPr>
        <w:t xml:space="preserve">searching a worker's name opens their profile; Related Actions on the worker exposes job, compensation, time off, and personal-data changes.</w:t>
      </w:r>
    </w:p>
    <w:p>
      <w:pPr>
        <w:pStyle w:val="ListParagraph"/>
        <w:numPr>
          <w:ilvl w:val="0"/>
          <w:numId w:val="1"/>
        </w:numPr>
        <w:spacing w:after="60" w:line="260"/>
      </w:pPr>
      <w:r>
        <w:rPr>
          <w:rFonts w:ascii="Calibri" w:cs="Calibri" w:eastAsia="Calibri" w:hAnsi="Calibri"/>
          <w:b/>
          <w:bCs/>
          <w:sz w:val="21"/>
          <w:szCs w:val="21"/>
        </w:rPr>
        <w:t xml:space="preserve">Financials: </w:t>
      </w:r>
      <w:r>
        <w:rPr>
          <w:rFonts w:ascii="Calibri" w:cs="Calibri" w:eastAsia="Calibri" w:hAnsi="Calibri"/>
          <w:sz w:val="21"/>
          <w:szCs w:val="21"/>
        </w:rPr>
        <w:t xml:space="preserve">searching a supplier or cost center surfaces invoices, spend, and accounting; worktags on each transaction control how it reports.</w:t>
      </w:r>
    </w:p>
    <w:p>
      <w:pPr>
        <w:pStyle w:val="ListParagraph"/>
        <w:numPr>
          <w:ilvl w:val="0"/>
          <w:numId w:val="1"/>
        </w:numPr>
        <w:spacing w:after="60" w:line="260"/>
      </w:pPr>
      <w:r>
        <w:rPr>
          <w:rFonts w:ascii="Calibri" w:cs="Calibri" w:eastAsia="Calibri" w:hAnsi="Calibri"/>
          <w:b/>
          <w:bCs/>
          <w:sz w:val="21"/>
          <w:szCs w:val="21"/>
        </w:rPr>
        <w:t xml:space="preserve">Student: </w:t>
      </w:r>
      <w:r>
        <w:rPr>
          <w:rFonts w:ascii="Calibri" w:cs="Calibri" w:eastAsia="Calibri" w:hAnsi="Calibri"/>
          <w:sz w:val="21"/>
          <w:szCs w:val="21"/>
        </w:rPr>
        <w:t xml:space="preserve">searching a student or course surfaces records, registration, and academic progress, scoped to the academic units you are secured to.</w:t>
      </w:r>
    </w:p>
    <w:p>
      <w:pPr>
        <w:pStyle w:val="Heading1"/>
        <w:pageBreakBefore/>
        <w:pBdr>
          <w:bottom w:val="single" w:color="1F5C8B" w:sz="12" w:space="6"/>
        </w:pBdr>
        <w:spacing w:after="140" w:before="40"/>
      </w:pPr>
      <w:r>
        <w:rPr>
          <w:rFonts w:ascii="Calibri" w:cs="Calibri" w:eastAsia="Calibri" w:hAnsi="Calibri"/>
          <w:b/>
          <w:bCs/>
          <w:color w:val="1F2A37"/>
          <w:sz w:val="38"/>
          <w:szCs w:val="38"/>
        </w:rPr>
        <w:t xml:space="preserve">2 · Security Configuration</w:t>
      </w:r>
    </w:p>
    <w:p>
      <w:pPr>
        <w:spacing w:after="120" w:line="264"/>
      </w:pPr>
      <w:r>
        <w:rPr>
          <w:rFonts w:ascii="Calibri" w:cs="Calibri" w:eastAsia="Calibri" w:hAnsi="Calibri"/>
          <w:sz w:val="21"/>
          <w:szCs w:val="21"/>
        </w:rPr>
        <w:t xml:space="preserve">Workday security answers a single question for every action: can this person do this thing to this data? The model has three moving parts, and almost every access question — and every access problem — comes down to how they combine.</w:t>
      </w:r>
    </w:p>
    <w:tbl>
      <w:tblPr>
        <w:tblW w:type="dxa" w:w="9360"/>
        <w:tblBorders>
          <w:top w:val="single" w:color="1F5C8B" w:sz="4"/>
          <w:left w:val="single" w:color="1F5C8B" w:sz="18"/>
          <w:bottom w:val="single" w:color="1F5C8B" w:sz="4"/>
          <w:right w:val="single" w:color="1F5C8B" w:sz="4"/>
          <w:insideH w:val="none"/>
          <w:insideV w:val="none"/>
        </w:tblBorders>
      </w:tblPr>
      <w:tblGrid>
        <w:gridCol w:w="9360"/>
      </w:tblGrid>
      <w:tr>
        <w:tc>
          <w:tcPr>
            <w:tcW w:type="dxa" w:w="9360"/>
            <w:shd w:fill="EEF2F6" w:val="clear"/>
            <w:tcMar>
              <w:top w:type="dxa" w:w="100"/>
              <w:left w:type="dxa" w:w="160"/>
              <w:bottom w:type="dxa" w:w="100"/>
              <w:right w:type="dxa" w:w="160"/>
            </w:tcMar>
          </w:tcPr>
          <w:p>
            <w:pPr>
              <w:spacing w:after="60"/>
            </w:pPr>
            <w:r>
              <w:rPr>
                <w:rFonts w:ascii="Calibri" w:cs="Calibri" w:eastAsia="Calibri" w:hAnsi="Calibri"/>
                <w:b/>
                <w:bCs/>
                <w:caps/>
                <w:color w:val="1F5C8B"/>
                <w:sz w:val="19"/>
                <w:szCs w:val="19"/>
              </w:rPr>
              <w:t xml:space="preserve">The mental model: WHO / WHAT / WHERE</w:t>
            </w:r>
          </w:p>
          <w:p>
            <w:pPr>
              <w:spacing w:after="40" w:line="250"/>
            </w:pPr>
            <w:r>
              <w:rPr>
                <w:rFonts w:ascii="Calibri" w:cs="Calibri" w:eastAsia="Calibri" w:hAnsi="Calibri"/>
                <w:sz w:val="20"/>
                <w:szCs w:val="20"/>
              </w:rPr>
              <w:t xml:space="preserve">WHO — Security Groups: containers of users, workers, or roles.</w:t>
            </w:r>
          </w:p>
          <w:p>
            <w:pPr>
              <w:spacing w:after="40" w:line="250"/>
            </w:pPr>
            <w:r>
              <w:rPr>
                <w:rFonts w:ascii="Calibri" w:cs="Calibri" w:eastAsia="Calibri" w:hAnsi="Calibri"/>
                <w:sz w:val="20"/>
                <w:szCs w:val="20"/>
              </w:rPr>
              <w:t xml:space="preserve">WHAT — Security Policies: the permissions that grant or restrict what those people can do.</w:t>
            </w:r>
          </w:p>
          <w:p>
            <w:pPr>
              <w:spacing w:after="40" w:line="250"/>
            </w:pPr>
            <w:r>
              <w:rPr>
                <w:rFonts w:ascii="Calibri" w:cs="Calibri" w:eastAsia="Calibri" w:hAnsi="Calibri"/>
                <w:sz w:val="20"/>
                <w:szCs w:val="20"/>
              </w:rPr>
              <w:t xml:space="preserve">WHERE — Functional Areas: the domains (data) and business processes (workflow) the permissions apply to.</w:t>
            </w:r>
          </w:p>
          <w:p>
            <w:pPr>
              <w:spacing w:after="40" w:line="250"/>
            </w:pPr>
            <w:r>
              <w:rPr>
                <w:rFonts w:ascii="Calibri" w:cs="Calibri" w:eastAsia="Calibri" w:hAnsi="Calibri"/>
                <w:sz w:val="20"/>
                <w:szCs w:val="20"/>
              </w:rPr>
              <w:t xml:space="preserve">Access exists only where a Security Group is granted a Policy over a Functional Area.</w:t>
            </w:r>
          </w:p>
        </w:tc>
      </w:tr>
    </w:tbl>
    <w:p>
      <w:pPr>
        <w:pStyle w:val="Heading2"/>
        <w:spacing w:after="90" w:before="200"/>
      </w:pPr>
      <w:r>
        <w:rPr>
          <w:rFonts w:ascii="Calibri" w:cs="Calibri" w:eastAsia="Calibri" w:hAnsi="Calibri"/>
          <w:b/>
          <w:bCs/>
          <w:color w:val="1F5C8B"/>
          <w:sz w:val="27"/>
          <w:szCs w:val="27"/>
        </w:rPr>
        <w:t xml:space="preserve">WHO — Security groups</w:t>
      </w:r>
    </w:p>
    <w:p>
      <w:pPr>
        <w:spacing w:after="120" w:line="264"/>
      </w:pPr>
      <w:r>
        <w:rPr>
          <w:rFonts w:ascii="Calibri" w:cs="Calibri" w:eastAsia="Calibri" w:hAnsi="Calibri"/>
          <w:sz w:val="21"/>
          <w:szCs w:val="21"/>
        </w:rPr>
        <w:t xml:space="preserve">A security group is a set of users who share access. Workday supports several types; choosing the right one is the core design decision.</w:t>
      </w:r>
    </w:p>
    <w:tbl>
      <w:tblPr>
        <w:tblW w:type="dxa" w:w="9360"/>
        <w:tblBorders>
          <w:top w:val="single" w:color="B9C2CD" w:sz="2"/>
          <w:left w:val="single" w:color="B9C2CD" w:sz="2"/>
          <w:bottom w:val="single" w:color="B9C2CD" w:sz="2"/>
          <w:right w:val="single" w:color="B9C2CD" w:sz="2"/>
          <w:insideH w:val="single" w:color="B9C2CD" w:sz="2"/>
          <w:insideV w:val="single" w:color="B9C2CD" w:sz="2"/>
        </w:tblBorders>
      </w:tblPr>
      <w:tblGrid>
        <w:gridCol w:w="1900"/>
        <w:gridCol w:w="4060"/>
        <w:gridCol w:w="3400"/>
      </w:tblGrid>
      <w:tr>
        <w:trPr>
          <w:cantSplit/>
          <w:tblHeader/>
        </w:trPr>
        <w:tc>
          <w:tcPr>
            <w:tcW w:type="dxa" w:w="190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Group type</w:t>
            </w:r>
          </w:p>
        </w:tc>
        <w:tc>
          <w:tcPr>
            <w:tcW w:type="dxa" w:w="406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How membership works</w:t>
            </w:r>
          </w:p>
        </w:tc>
        <w:tc>
          <w:tcPr>
            <w:tcW w:type="dxa" w:w="340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Typical use</w:t>
            </w:r>
          </w:p>
        </w:tc>
      </w:tr>
      <w:tr>
        <w:trPr>
          <w:cantSplit/>
        </w:trPr>
        <w:tc>
          <w:tcPr>
            <w:tcW w:type="dxa" w:w="19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Role-based</w:t>
            </w:r>
          </w:p>
        </w:tc>
        <w:tc>
          <w:tcPr>
            <w:tcW w:type="dxa" w:w="40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Users are assigned a role on an organization; constrained to that org's data</w:t>
            </w:r>
          </w:p>
        </w:tc>
        <w:tc>
          <w:tcPr>
            <w:tcW w:type="dxa" w:w="34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The default, best-practice choice — e.g., HR Partner, Manager</w:t>
            </w:r>
          </w:p>
        </w:tc>
      </w:tr>
      <w:tr>
        <w:trPr>
          <w:cantSplit/>
        </w:trPr>
        <w:tc>
          <w:tcPr>
            <w:tcW w:type="dxa" w:w="19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User-based</w:t>
            </w:r>
          </w:p>
        </w:tc>
        <w:tc>
          <w:tcPr>
            <w:tcW w:type="dxa" w:w="40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Named users added directly; usually tenant-wide, unconstrained</w:t>
            </w:r>
          </w:p>
        </w:tc>
        <w:tc>
          <w:tcPr>
            <w:tcW w:type="dxa" w:w="34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Powerful admin functions — e.g., Security Administrator</w:t>
            </w:r>
          </w:p>
        </w:tc>
      </w:tr>
      <w:tr>
        <w:trPr>
          <w:cantSplit/>
        </w:trPr>
        <w:tc>
          <w:tcPr>
            <w:tcW w:type="dxa" w:w="19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Intersection</w:t>
            </w:r>
          </w:p>
        </w:tc>
        <w:tc>
          <w:tcPr>
            <w:tcW w:type="dxa" w:w="40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Membership = being in two or more other groups at once</w:t>
            </w:r>
          </w:p>
        </w:tc>
        <w:tc>
          <w:tcPr>
            <w:tcW w:type="dxa" w:w="34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Narrow access requiring multiple criteria</w:t>
            </w:r>
          </w:p>
        </w:tc>
      </w:tr>
      <w:tr>
        <w:trPr>
          <w:cantSplit/>
        </w:trPr>
        <w:tc>
          <w:tcPr>
            <w:tcW w:type="dxa" w:w="19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Aggregation</w:t>
            </w:r>
          </w:p>
        </w:tc>
        <w:tc>
          <w:tcPr>
            <w:tcW w:type="dxa" w:w="40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Membership = being in any of several groups</w:t>
            </w:r>
          </w:p>
        </w:tc>
        <w:tc>
          <w:tcPr>
            <w:tcW w:type="dxa" w:w="34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Combining populations for shared access</w:t>
            </w:r>
          </w:p>
        </w:tc>
      </w:tr>
      <w:tr>
        <w:trPr>
          <w:cantSplit/>
        </w:trPr>
        <w:tc>
          <w:tcPr>
            <w:tcW w:type="dxa" w:w="19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Segment-based</w:t>
            </w:r>
          </w:p>
        </w:tc>
        <w:tc>
          <w:tcPr>
            <w:tcW w:type="dxa" w:w="40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Access limited to a defined segment of values</w:t>
            </w:r>
          </w:p>
        </w:tc>
        <w:tc>
          <w:tcPr>
            <w:tcW w:type="dxa" w:w="34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Restricting to specific pay components, etc.</w:t>
            </w:r>
          </w:p>
        </w:tc>
      </w:tr>
      <w:tr>
        <w:trPr>
          <w:cantSplit/>
        </w:trPr>
        <w:tc>
          <w:tcPr>
            <w:tcW w:type="dxa" w:w="19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Standard worker</w:t>
            </w:r>
          </w:p>
        </w:tc>
        <w:tc>
          <w:tcPr>
            <w:tcW w:type="dxa" w:w="40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Applies broadly to the worker population</w:t>
            </w:r>
          </w:p>
        </w:tc>
        <w:tc>
          <w:tcPr>
            <w:tcW w:type="dxa" w:w="34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Employee As Self — what everyone can do for themselves</w:t>
            </w:r>
          </w:p>
        </w:tc>
      </w:tr>
    </w:tbl>
    <w:p>
      <w:pPr>
        <w:spacing w:after="120" w:line="264"/>
      </w:pPr>
      <w:r>
        <w:rPr>
          <w:rFonts w:ascii="Calibri" w:cs="Calibri" w:eastAsia="Calibri" w:hAnsi="Calibri"/>
          <w:b/>
          <w:bCs/>
          <w:sz w:val="21"/>
          <w:szCs w:val="21"/>
        </w:rPr>
        <w:t xml:space="preserve">Constrained vs. unconstrained. </w:t>
      </w:r>
      <w:r>
        <w:rPr>
          <w:rFonts w:ascii="Calibri" w:cs="Calibri" w:eastAsia="Calibri" w:hAnsi="Calibri"/>
          <w:sz w:val="21"/>
          <w:szCs w:val="21"/>
        </w:rPr>
        <w:t xml:space="preserve">A constrained role-based group sees only data within its assigned organizations (a manager sees their own team). An unconstrained group sees across the whole tenant. Unconstrained and user-based groups are the highest-risk types and should have tightly limited membership.</w:t>
      </w:r>
    </w:p>
    <w:p>
      <w:pPr>
        <w:pStyle w:val="Heading2"/>
        <w:spacing w:after="90" w:before="200"/>
      </w:pPr>
      <w:r>
        <w:rPr>
          <w:rFonts w:ascii="Calibri" w:cs="Calibri" w:eastAsia="Calibri" w:hAnsi="Calibri"/>
          <w:b/>
          <w:bCs/>
          <w:color w:val="1F5C8B"/>
          <w:sz w:val="27"/>
          <w:szCs w:val="27"/>
        </w:rPr>
        <w:t xml:space="preserve">WHAT / WHERE — Security policies</w:t>
      </w:r>
    </w:p>
    <w:p>
      <w:pPr>
        <w:pStyle w:val="Heading3"/>
        <w:spacing w:after="70" w:before="140"/>
      </w:pPr>
      <w:r>
        <w:rPr>
          <w:rFonts w:ascii="Calibri" w:cs="Calibri" w:eastAsia="Calibri" w:hAnsi="Calibri"/>
          <w:b/>
          <w:bCs/>
          <w:color w:val="1F2A37"/>
          <w:sz w:val="23"/>
          <w:szCs w:val="23"/>
        </w:rPr>
        <w:t xml:space="preserve">Domain security policies (data access)</w:t>
      </w:r>
    </w:p>
    <w:p>
      <w:pPr>
        <w:spacing w:after="120" w:line="264"/>
      </w:pPr>
      <w:r>
        <w:rPr>
          <w:rFonts w:ascii="Calibri" w:cs="Calibri" w:eastAsia="Calibri" w:hAnsi="Calibri"/>
          <w:sz w:val="21"/>
          <w:szCs w:val="21"/>
        </w:rPr>
        <w:t xml:space="preserve">A domain is a named slice of related data and the tasks and reports that touch it — for example "Worker Data: Compensation." Domains are grouped by functional area, and parent domains contain subdomains for finer control ("Person Data: Home Contact Information" contains "Home Phone" and "Home Email"). A domain security policy grants a security group permission at specific levels:</w:t>
      </w:r>
    </w:p>
    <w:p>
      <w:pPr>
        <w:pStyle w:val="ListParagraph"/>
        <w:numPr>
          <w:ilvl w:val="0"/>
          <w:numId w:val="1"/>
        </w:numPr>
        <w:spacing w:after="60" w:line="260"/>
      </w:pPr>
      <w:r>
        <w:rPr>
          <w:rFonts w:ascii="Calibri" w:cs="Calibri" w:eastAsia="Calibri" w:hAnsi="Calibri"/>
          <w:b/>
          <w:bCs/>
          <w:sz w:val="21"/>
          <w:szCs w:val="21"/>
        </w:rPr>
        <w:t xml:space="preserve">View / Modify </w:t>
      </w:r>
      <w:r>
        <w:rPr>
          <w:rFonts w:ascii="Calibri" w:cs="Calibri" w:eastAsia="Calibri" w:hAnsi="Calibri"/>
          <w:sz w:val="21"/>
          <w:szCs w:val="21"/>
        </w:rPr>
        <w:t xml:space="preserve">— for reports and tasks (can the group see the data, or also change it).</w:t>
      </w:r>
    </w:p>
    <w:p>
      <w:pPr>
        <w:pStyle w:val="ListParagraph"/>
        <w:numPr>
          <w:ilvl w:val="0"/>
          <w:numId w:val="1"/>
        </w:numPr>
        <w:spacing w:after="60" w:line="260"/>
      </w:pPr>
      <w:r>
        <w:rPr>
          <w:rFonts w:ascii="Calibri" w:cs="Calibri" w:eastAsia="Calibri" w:hAnsi="Calibri"/>
          <w:b/>
          <w:bCs/>
          <w:sz w:val="21"/>
          <w:szCs w:val="21"/>
        </w:rPr>
        <w:t xml:space="preserve">Get / Put </w:t>
      </w:r>
      <w:r>
        <w:rPr>
          <w:rFonts w:ascii="Calibri" w:cs="Calibri" w:eastAsia="Calibri" w:hAnsi="Calibri"/>
          <w:sz w:val="21"/>
          <w:szCs w:val="21"/>
        </w:rPr>
        <w:t xml:space="preserve">— for integrations (can an integration read the data, or also write it).</w:t>
      </w:r>
    </w:p>
    <w:p>
      <w:pPr>
        <w:spacing w:after="120" w:line="264"/>
      </w:pPr>
      <w:r>
        <w:rPr>
          <w:rFonts w:ascii="Calibri" w:cs="Calibri" w:eastAsia="Calibri" w:hAnsi="Calibri"/>
          <w:sz w:val="21"/>
          <w:szCs w:val="21"/>
        </w:rPr>
        <w:t xml:space="preserve">Domain access can be </w:t>
      </w:r>
      <w:r>
        <w:rPr>
          <w:rFonts w:ascii="Calibri" w:cs="Calibri" w:eastAsia="Calibri" w:hAnsi="Calibri"/>
          <w:b/>
          <w:bCs/>
          <w:sz w:val="21"/>
          <w:szCs w:val="21"/>
        </w:rPr>
        <w:t xml:space="preserve">scoped by organization</w:t>
      </w:r>
      <w:r>
        <w:rPr>
          <w:rFonts w:ascii="Calibri" w:cs="Calibri" w:eastAsia="Calibri" w:hAnsi="Calibri"/>
          <w:sz w:val="21"/>
          <w:szCs w:val="21"/>
        </w:rPr>
        <w:t xml:space="preserve">, so a Payroll Partner can view and modify compensation only for workers in their assigned supervisory organizations, and no one else's.</w:t>
      </w:r>
    </w:p>
    <w:p>
      <w:pPr>
        <w:pStyle w:val="Heading3"/>
        <w:spacing w:after="70" w:before="140"/>
      </w:pPr>
      <w:r>
        <w:rPr>
          <w:rFonts w:ascii="Calibri" w:cs="Calibri" w:eastAsia="Calibri" w:hAnsi="Calibri"/>
          <w:b/>
          <w:bCs/>
          <w:color w:val="1F2A37"/>
          <w:sz w:val="23"/>
          <w:szCs w:val="23"/>
        </w:rPr>
        <w:t xml:space="preserve">Business process security policies (workflow access)</w:t>
      </w:r>
    </w:p>
    <w:p>
      <w:pPr>
        <w:spacing w:after="120" w:line="264"/>
      </w:pPr>
      <w:r>
        <w:rPr>
          <w:rFonts w:ascii="Calibri" w:cs="Calibri" w:eastAsia="Calibri" w:hAnsi="Calibri"/>
          <w:sz w:val="21"/>
          <w:szCs w:val="21"/>
        </w:rPr>
        <w:t xml:space="preserve">Every business process type has its own security policy governing who can take each action in the workflow. Actions you grant per group include: initiate, approve, view, correct, rescind, cancel, reassign, and contribute. For example, an HR Analyst might be allowed to initiate a Change Job, while only a Compensation Administrator can approve it.</w:t>
      </w:r>
    </w:p>
    <w:p>
      <w:pPr>
        <w:spacing w:after="120" w:line="264"/>
      </w:pPr>
      <w:r>
        <w:rPr>
          <w:rFonts w:ascii="Calibri" w:cs="Calibri" w:eastAsia="Calibri" w:hAnsi="Calibri"/>
          <w:b/>
          <w:bCs/>
          <w:sz w:val="21"/>
          <w:szCs w:val="21"/>
        </w:rPr>
        <w:t xml:space="preserve">To complete a task you usually need both: </w:t>
      </w:r>
      <w:r>
        <w:rPr>
          <w:rFonts w:ascii="Calibri" w:cs="Calibri" w:eastAsia="Calibri" w:hAnsi="Calibri"/>
          <w:sz w:val="21"/>
          <w:szCs w:val="21"/>
        </w:rPr>
        <w:t xml:space="preserve">access to the business process step and access to the underlying domain the step touches. Missing either one produces an "I can't do this" error, which is why security troubleshooting always checks both policy types.</w:t>
      </w:r>
    </w:p>
    <w:p>
      <w:pPr>
        <w:pStyle w:val="Heading2"/>
        <w:spacing w:after="90" w:before="200"/>
      </w:pPr>
      <w:r>
        <w:rPr>
          <w:rFonts w:ascii="Calibri" w:cs="Calibri" w:eastAsia="Calibri" w:hAnsi="Calibri"/>
          <w:b/>
          <w:bCs/>
          <w:color w:val="1F5C8B"/>
          <w:sz w:val="27"/>
          <w:szCs w:val="27"/>
        </w:rPr>
        <w:t xml:space="preserve">Making and auditing changes</w:t>
      </w:r>
    </w:p>
    <w:p>
      <w:pPr>
        <w:pStyle w:val="ListParagraph"/>
        <w:numPr>
          <w:ilvl w:val="0"/>
          <w:numId w:val="1"/>
        </w:numPr>
        <w:spacing w:after="60" w:line="260"/>
      </w:pPr>
      <w:r>
        <w:rPr>
          <w:rFonts w:ascii="Calibri" w:cs="Calibri" w:eastAsia="Calibri" w:hAnsi="Calibri"/>
          <w:b/>
          <w:bCs/>
          <w:sz w:val="21"/>
          <w:szCs w:val="21"/>
        </w:rPr>
        <w:t xml:space="preserve">Activate Pending Security Policy Changes. </w:t>
      </w:r>
      <w:r>
        <w:rPr>
          <w:rFonts w:ascii="Calibri" w:cs="Calibri" w:eastAsia="Calibri" w:hAnsi="Calibri"/>
          <w:sz w:val="21"/>
          <w:szCs w:val="21"/>
        </w:rPr>
        <w:t xml:space="preserve">Edits to domain or business process policies do not take effect until you run this task — a deliberate checkpoint. (Adding or removing users from a group takes effect immediately and needs no activation.)</w:t>
      </w:r>
    </w:p>
    <w:p>
      <w:pPr>
        <w:pStyle w:val="ListParagraph"/>
        <w:numPr>
          <w:ilvl w:val="0"/>
          <w:numId w:val="1"/>
        </w:numPr>
        <w:spacing w:after="60" w:line="260"/>
      </w:pPr>
      <w:r>
        <w:rPr>
          <w:rFonts w:ascii="Calibri" w:cs="Calibri" w:eastAsia="Calibri" w:hAnsi="Calibri"/>
          <w:b/>
          <w:bCs/>
          <w:sz w:val="21"/>
          <w:szCs w:val="21"/>
        </w:rPr>
        <w:t xml:space="preserve">Permission to configure. </w:t>
      </w:r>
      <w:r>
        <w:rPr>
          <w:rFonts w:ascii="Calibri" w:cs="Calibri" w:eastAsia="Calibri" w:hAnsi="Calibri"/>
          <w:sz w:val="21"/>
          <w:szCs w:val="21"/>
        </w:rPr>
        <w:t xml:space="preserve">Editing policies itself requires access to the Security Configuration domain within the System functional area — security to change security.</w:t>
      </w:r>
    </w:p>
    <w:p>
      <w:pPr>
        <w:pStyle w:val="ListParagraph"/>
        <w:numPr>
          <w:ilvl w:val="0"/>
          <w:numId w:val="1"/>
        </w:numPr>
        <w:spacing w:after="60" w:line="260"/>
      </w:pPr>
      <w:r>
        <w:rPr>
          <w:rFonts w:ascii="Calibri" w:cs="Calibri" w:eastAsia="Calibri" w:hAnsi="Calibri"/>
          <w:b/>
          <w:bCs/>
          <w:sz w:val="21"/>
          <w:szCs w:val="21"/>
        </w:rPr>
        <w:t xml:space="preserve">Delivered audit reports. </w:t>
      </w:r>
      <w:r>
        <w:rPr>
          <w:rFonts w:ascii="Calibri" w:cs="Calibri" w:eastAsia="Calibri" w:hAnsi="Calibri"/>
          <w:sz w:val="21"/>
          <w:szCs w:val="21"/>
        </w:rPr>
        <w:t xml:space="preserve">Workday ships reports for reviewing your model, including </w:t>
      </w:r>
      <w:r>
        <w:rPr>
          <w:rFonts w:ascii="Consolas" w:cs="Consolas" w:eastAsia="Consolas" w:hAnsi="Consolas"/>
          <w:sz w:val="20"/>
          <w:szCs w:val="20"/>
        </w:rPr>
        <w:t xml:space="preserve">Domain Security Policies for Functional Area</w:t>
      </w:r>
      <w:r>
        <w:rPr>
          <w:rFonts w:ascii="Calibri" w:cs="Calibri" w:eastAsia="Calibri" w:hAnsi="Calibri"/>
          <w:sz w:val="21"/>
          <w:szCs w:val="21"/>
        </w:rPr>
        <w:t xml:space="preserve">, </w:t>
      </w:r>
      <w:r>
        <w:rPr>
          <w:rFonts w:ascii="Consolas" w:cs="Consolas" w:eastAsia="Consolas" w:hAnsi="Consolas"/>
          <w:sz w:val="20"/>
          <w:szCs w:val="20"/>
        </w:rPr>
        <w:t xml:space="preserve">Business Process Security Policies for Functional Area</w:t>
      </w:r>
      <w:r>
        <w:rPr>
          <w:rFonts w:ascii="Calibri" w:cs="Calibri" w:eastAsia="Calibri" w:hAnsi="Calibri"/>
          <w:sz w:val="21"/>
          <w:szCs w:val="21"/>
        </w:rPr>
        <w:t xml:space="preserve">, </w:t>
      </w:r>
      <w:r>
        <w:rPr>
          <w:rFonts w:ascii="Consolas" w:cs="Consolas" w:eastAsia="Consolas" w:hAnsi="Consolas"/>
          <w:sz w:val="20"/>
          <w:szCs w:val="20"/>
        </w:rPr>
        <w:t xml:space="preserve">View Security Group</w:t>
      </w:r>
      <w:r>
        <w:rPr>
          <w:rFonts w:ascii="Calibri" w:cs="Calibri" w:eastAsia="Calibri" w:hAnsi="Calibri"/>
          <w:sz w:val="21"/>
          <w:szCs w:val="21"/>
        </w:rPr>
        <w:t xml:space="preserve">, and </w:t>
      </w:r>
      <w:r>
        <w:rPr>
          <w:rFonts w:ascii="Consolas" w:cs="Consolas" w:eastAsia="Consolas" w:hAnsi="Consolas"/>
          <w:sz w:val="20"/>
          <w:szCs w:val="20"/>
        </w:rPr>
        <w:t xml:space="preserve">Security Analysis for Workday Account</w:t>
      </w:r>
      <w:r>
        <w:rPr>
          <w:rFonts w:ascii="Calibri" w:cs="Calibri" w:eastAsia="Calibri" w:hAnsi="Calibri"/>
          <w:sz w:val="21"/>
          <w:szCs w:val="21"/>
        </w:rPr>
        <w:t xml:space="preserve"> (which shows a user's cumulative access). Use these to catch over-provisioned or unused groups.</w:t>
      </w:r>
    </w:p>
    <w:tbl>
      <w:tblPr>
        <w:tblW w:type="dxa" w:w="9360"/>
        <w:tblBorders>
          <w:top w:val="single" w:color="1F5C8B" w:sz="4"/>
          <w:left w:val="single" w:color="1F5C8B" w:sz="18"/>
          <w:bottom w:val="single" w:color="1F5C8B" w:sz="4"/>
          <w:right w:val="single" w:color="1F5C8B" w:sz="4"/>
          <w:insideH w:val="none"/>
          <w:insideV w:val="none"/>
        </w:tblBorders>
      </w:tblPr>
      <w:tblGrid>
        <w:gridCol w:w="9360"/>
      </w:tblGrid>
      <w:tr>
        <w:tc>
          <w:tcPr>
            <w:tcW w:type="dxa" w:w="9360"/>
            <w:shd w:fill="EEF2F6" w:val="clear"/>
            <w:tcMar>
              <w:top w:type="dxa" w:w="100"/>
              <w:left w:type="dxa" w:w="160"/>
              <w:bottom w:type="dxa" w:w="100"/>
              <w:right w:type="dxa" w:w="160"/>
            </w:tcMar>
          </w:tcPr>
          <w:p>
            <w:pPr>
              <w:spacing w:after="60"/>
            </w:pPr>
            <w:r>
              <w:rPr>
                <w:rFonts w:ascii="Calibri" w:cs="Calibri" w:eastAsia="Calibri" w:hAnsi="Calibri"/>
                <w:b/>
                <w:bCs/>
                <w:caps/>
                <w:color w:val="1F5C8B"/>
                <w:sz w:val="19"/>
                <w:szCs w:val="19"/>
              </w:rPr>
              <w:t xml:space="preserve">Design principle</w:t>
            </w:r>
          </w:p>
          <w:p>
            <w:pPr>
              <w:spacing w:after="40" w:line="250"/>
            </w:pPr>
            <w:r>
              <w:rPr>
                <w:rFonts w:ascii="Calibri" w:cs="Calibri" w:eastAsia="Calibri" w:hAnsi="Calibri"/>
                <w:sz w:val="20"/>
                <w:szCs w:val="20"/>
              </w:rPr>
              <w:t xml:space="preserve">Prefer role-based, constrained groups over user-based ones. When access is tied to a role rather than a named person, it follows the job — it is inherited when a role is vacated and does not linger when someone leaves. Access tied to individuals is the most common source of silent, hard-to-detect security drift.</w:t>
            </w:r>
          </w:p>
        </w:tc>
      </w:tr>
    </w:tbl>
    <w:p>
      <w:pPr>
        <w:pStyle w:val="Heading2"/>
        <w:spacing w:after="90" w:before="200"/>
      </w:pPr>
      <w:r>
        <w:rPr>
          <w:rFonts w:ascii="Calibri" w:cs="Calibri" w:eastAsia="Calibri" w:hAnsi="Calibri"/>
          <w:b/>
          <w:bCs/>
          <w:color w:val="1F5C8B"/>
          <w:sz w:val="27"/>
          <w:szCs w:val="27"/>
        </w:rPr>
        <w:t xml:space="preserve">Per-module examples</w:t>
      </w:r>
    </w:p>
    <w:p>
      <w:pPr>
        <w:pStyle w:val="ListParagraph"/>
        <w:numPr>
          <w:ilvl w:val="0"/>
          <w:numId w:val="1"/>
        </w:numPr>
        <w:spacing w:after="60" w:line="260"/>
      </w:pPr>
      <w:r>
        <w:rPr>
          <w:rFonts w:ascii="Calibri" w:cs="Calibri" w:eastAsia="Calibri" w:hAnsi="Calibri"/>
          <w:b/>
          <w:bCs/>
          <w:sz w:val="21"/>
          <w:szCs w:val="21"/>
        </w:rPr>
        <w:t xml:space="preserve">HCM: </w:t>
      </w:r>
      <w:r>
        <w:rPr>
          <w:rFonts w:ascii="Calibri" w:cs="Calibri" w:eastAsia="Calibri" w:hAnsi="Calibri"/>
          <w:sz w:val="21"/>
          <w:szCs w:val="21"/>
        </w:rPr>
        <w:t xml:space="preserve">HR Partners (role-based, constrained) get View/Modify on Worker Data domains for their supervisory orgs, and initiate rights on Hire and Change Job.</w:t>
      </w:r>
    </w:p>
    <w:p>
      <w:pPr>
        <w:pStyle w:val="ListParagraph"/>
        <w:numPr>
          <w:ilvl w:val="0"/>
          <w:numId w:val="1"/>
        </w:numPr>
        <w:spacing w:after="60" w:line="260"/>
      </w:pPr>
      <w:r>
        <w:rPr>
          <w:rFonts w:ascii="Calibri" w:cs="Calibri" w:eastAsia="Calibri" w:hAnsi="Calibri"/>
          <w:b/>
          <w:bCs/>
          <w:sz w:val="21"/>
          <w:szCs w:val="21"/>
        </w:rPr>
        <w:t xml:space="preserve">Financials: </w:t>
      </w:r>
      <w:r>
        <w:rPr>
          <w:rFonts w:ascii="Calibri" w:cs="Calibri" w:eastAsia="Calibri" w:hAnsi="Calibri"/>
          <w:sz w:val="21"/>
          <w:szCs w:val="21"/>
        </w:rPr>
        <w:t xml:space="preserve">Cost Center Managers get scoped access to spend and accounting domains for their cost centers, and approval rights on requisitions above a threshold.</w:t>
      </w:r>
    </w:p>
    <w:p>
      <w:pPr>
        <w:pStyle w:val="ListParagraph"/>
        <w:numPr>
          <w:ilvl w:val="0"/>
          <w:numId w:val="1"/>
        </w:numPr>
        <w:spacing w:after="60" w:line="260"/>
      </w:pPr>
      <w:r>
        <w:rPr>
          <w:rFonts w:ascii="Calibri" w:cs="Calibri" w:eastAsia="Calibri" w:hAnsi="Calibri"/>
          <w:b/>
          <w:bCs/>
          <w:sz w:val="21"/>
          <w:szCs w:val="21"/>
        </w:rPr>
        <w:t xml:space="preserve">Student: </w:t>
      </w:r>
      <w:r>
        <w:rPr>
          <w:rFonts w:ascii="Calibri" w:cs="Calibri" w:eastAsia="Calibri" w:hAnsi="Calibri"/>
          <w:sz w:val="21"/>
          <w:szCs w:val="21"/>
        </w:rPr>
        <w:t xml:space="preserve">Academic advisors get View on student-record domains scoped to their academic unit, without the Modify or financial access a registrar's office holds.</w:t>
      </w:r>
    </w:p>
    <w:p>
      <w:pPr>
        <w:pStyle w:val="Heading1"/>
        <w:pageBreakBefore/>
        <w:pBdr>
          <w:bottom w:val="single" w:color="1F5C8B" w:sz="12" w:space="6"/>
        </w:pBdr>
        <w:spacing w:after="140" w:before="40"/>
      </w:pPr>
      <w:r>
        <w:rPr>
          <w:rFonts w:ascii="Calibri" w:cs="Calibri" w:eastAsia="Calibri" w:hAnsi="Calibri"/>
          <w:b/>
          <w:bCs/>
          <w:color w:val="1F2A37"/>
          <w:sz w:val="38"/>
          <w:szCs w:val="38"/>
        </w:rPr>
        <w:t xml:space="preserve">3 · Business Processes</w:t>
      </w:r>
    </w:p>
    <w:p>
      <w:pPr>
        <w:spacing w:after="120" w:line="264"/>
      </w:pPr>
      <w:r>
        <w:rPr>
          <w:rFonts w:ascii="Calibri" w:cs="Calibri" w:eastAsia="Calibri" w:hAnsi="Calibri"/>
          <w:sz w:val="21"/>
          <w:szCs w:val="21"/>
        </w:rPr>
        <w:t xml:space="preserve">A business process (BP) is Workday's term for a configurable workflow — the ordered set of steps that carries a transaction from start to completion. Hiring a worker, submitting an invoice, registering for a course: each is a business process, and this is where Workday's "process-driven" nature lives.</w:t>
      </w:r>
    </w:p>
    <w:p>
      <w:pPr>
        <w:pStyle w:val="Heading2"/>
        <w:spacing w:after="90" w:before="200"/>
      </w:pPr>
      <w:r>
        <w:rPr>
          <w:rFonts w:ascii="Calibri" w:cs="Calibri" w:eastAsia="Calibri" w:hAnsi="Calibri"/>
          <w:b/>
          <w:bCs/>
          <w:color w:val="1F5C8B"/>
          <w:sz w:val="27"/>
          <w:szCs w:val="27"/>
        </w:rPr>
        <w:t xml:space="preserve">Delivered, configurable, not creatable</w:t>
      </w:r>
    </w:p>
    <w:p>
      <w:pPr>
        <w:spacing w:after="120" w:line="264"/>
      </w:pPr>
      <w:r>
        <w:rPr>
          <w:rFonts w:ascii="Calibri" w:cs="Calibri" w:eastAsia="Calibri" w:hAnsi="Calibri"/>
          <w:sz w:val="21"/>
          <w:szCs w:val="21"/>
        </w:rPr>
        <w:t xml:space="preserve">Workday delivers every business process type. You cannot invent a new type, but you can configure a delivered one extensively to match how your institution actually works — adding approvals, conditions, notifications, and to-dos. A guiding implementation lesson: resist recreating your legacy system's workflow step for step; adopt Workday's model and customize only where there is a genuine business need.</w:t>
      </w:r>
    </w:p>
    <w:p>
      <w:pPr>
        <w:pStyle w:val="Heading2"/>
        <w:spacing w:after="90" w:before="200"/>
      </w:pPr>
      <w:r>
        <w:rPr>
          <w:rFonts w:ascii="Calibri" w:cs="Calibri" w:eastAsia="Calibri" w:hAnsi="Calibri"/>
          <w:b/>
          <w:bCs/>
          <w:color w:val="1F5C8B"/>
          <w:sz w:val="27"/>
          <w:szCs w:val="27"/>
        </w:rPr>
        <w:t xml:space="preserve">Anatomy of a process</w:t>
      </w:r>
    </w:p>
    <w:p>
      <w:pPr>
        <w:pStyle w:val="ListParagraph"/>
        <w:numPr>
          <w:ilvl w:val="0"/>
          <w:numId w:val="1"/>
        </w:numPr>
        <w:spacing w:after="60" w:line="260"/>
      </w:pPr>
      <w:r>
        <w:rPr>
          <w:rFonts w:ascii="Calibri" w:cs="Calibri" w:eastAsia="Calibri" w:hAnsi="Calibri"/>
          <w:b/>
          <w:bCs/>
          <w:sz w:val="21"/>
          <w:szCs w:val="21"/>
        </w:rPr>
        <w:t xml:space="preserve">Initiation. </w:t>
      </w:r>
      <w:r>
        <w:rPr>
          <w:rFonts w:ascii="Calibri" w:cs="Calibri" w:eastAsia="Calibri" w:hAnsi="Calibri"/>
          <w:sz w:val="21"/>
          <w:szCs w:val="21"/>
        </w:rPr>
        <w:t xml:space="preserve">Someone (or an integration, or a scheduled event) starts the process. Who may initiate is set by the BP security policy.</w:t>
      </w:r>
    </w:p>
    <w:p>
      <w:pPr>
        <w:pStyle w:val="ListParagraph"/>
        <w:numPr>
          <w:ilvl w:val="0"/>
          <w:numId w:val="1"/>
        </w:numPr>
        <w:spacing w:after="60" w:line="260"/>
      </w:pPr>
      <w:r>
        <w:rPr>
          <w:rFonts w:ascii="Calibri" w:cs="Calibri" w:eastAsia="Calibri" w:hAnsi="Calibri"/>
          <w:b/>
          <w:bCs/>
          <w:sz w:val="21"/>
          <w:szCs w:val="21"/>
        </w:rPr>
        <w:t xml:space="preserve">Steps. </w:t>
      </w:r>
      <w:r>
        <w:rPr>
          <w:rFonts w:ascii="Calibri" w:cs="Calibri" w:eastAsia="Calibri" w:hAnsi="Calibri"/>
          <w:sz w:val="21"/>
          <w:szCs w:val="21"/>
        </w:rPr>
        <w:t xml:space="preserve">The ordered actions that follow. Common step types include approvals, to-dos (a manual task someone must confirm), checklists, and sub-processes.</w:t>
      </w:r>
    </w:p>
    <w:p>
      <w:pPr>
        <w:pStyle w:val="ListParagraph"/>
        <w:numPr>
          <w:ilvl w:val="0"/>
          <w:numId w:val="1"/>
        </w:numPr>
        <w:spacing w:after="60" w:line="260"/>
      </w:pPr>
      <w:r>
        <w:rPr>
          <w:rFonts w:ascii="Calibri" w:cs="Calibri" w:eastAsia="Calibri" w:hAnsi="Calibri"/>
          <w:b/>
          <w:bCs/>
          <w:sz w:val="21"/>
          <w:szCs w:val="21"/>
        </w:rPr>
        <w:t xml:space="preserve">Approvals and routing. </w:t>
      </w:r>
      <w:r>
        <w:rPr>
          <w:rFonts w:ascii="Calibri" w:cs="Calibri" w:eastAsia="Calibri" w:hAnsi="Calibri"/>
          <w:sz w:val="21"/>
          <w:szCs w:val="21"/>
        </w:rPr>
        <w:t xml:space="preserve">Steps route to the right people based on role and organization. A single step can route differently depending on conditions.</w:t>
      </w:r>
    </w:p>
    <w:p>
      <w:pPr>
        <w:pStyle w:val="ListParagraph"/>
        <w:numPr>
          <w:ilvl w:val="0"/>
          <w:numId w:val="1"/>
        </w:numPr>
        <w:spacing w:after="60" w:line="260"/>
      </w:pPr>
      <w:r>
        <w:rPr>
          <w:rFonts w:ascii="Calibri" w:cs="Calibri" w:eastAsia="Calibri" w:hAnsi="Calibri"/>
          <w:b/>
          <w:bCs/>
          <w:sz w:val="21"/>
          <w:szCs w:val="21"/>
        </w:rPr>
        <w:t xml:space="preserve">Conditions. </w:t>
      </w:r>
      <w:r>
        <w:rPr>
          <w:rFonts w:ascii="Calibri" w:cs="Calibri" w:eastAsia="Calibri" w:hAnsi="Calibri"/>
          <w:sz w:val="21"/>
          <w:szCs w:val="21"/>
        </w:rPr>
        <w:t xml:space="preserve">Rules that decide whether a step runs. For example, route to Finance for a second approval only if a salary increase exceeds ten percent. Conditions are how one process handles many scenarios.</w:t>
      </w:r>
    </w:p>
    <w:p>
      <w:pPr>
        <w:pStyle w:val="ListParagraph"/>
        <w:numPr>
          <w:ilvl w:val="0"/>
          <w:numId w:val="1"/>
        </w:numPr>
        <w:spacing w:after="60" w:line="260"/>
      </w:pPr>
      <w:r>
        <w:rPr>
          <w:rFonts w:ascii="Calibri" w:cs="Calibri" w:eastAsia="Calibri" w:hAnsi="Calibri"/>
          <w:b/>
          <w:bCs/>
          <w:sz w:val="21"/>
          <w:szCs w:val="21"/>
        </w:rPr>
        <w:t xml:space="preserve">Completion. </w:t>
      </w:r>
      <w:r>
        <w:rPr>
          <w:rFonts w:ascii="Calibri" w:cs="Calibri" w:eastAsia="Calibri" w:hAnsi="Calibri"/>
          <w:sz w:val="21"/>
          <w:szCs w:val="21"/>
        </w:rPr>
        <w:t xml:space="preserve">When all required steps finish, the transaction takes effect and the data changes.</w:t>
      </w:r>
    </w:p>
    <w:p>
      <w:pPr>
        <w:pStyle w:val="Heading2"/>
        <w:spacing w:after="90" w:before="200"/>
      </w:pPr>
      <w:r>
        <w:rPr>
          <w:rFonts w:ascii="Calibri" w:cs="Calibri" w:eastAsia="Calibri" w:hAnsi="Calibri"/>
          <w:b/>
          <w:bCs/>
          <w:color w:val="1F5C8B"/>
          <w:sz w:val="27"/>
          <w:szCs w:val="27"/>
        </w:rPr>
        <w:t xml:space="preserve">How people experience a process</w:t>
      </w:r>
    </w:p>
    <w:p>
      <w:pPr>
        <w:spacing w:after="120" w:line="264"/>
      </w:pPr>
      <w:r>
        <w:rPr>
          <w:rFonts w:ascii="Calibri" w:cs="Calibri" w:eastAsia="Calibri" w:hAnsi="Calibri"/>
          <w:sz w:val="21"/>
          <w:szCs w:val="21"/>
        </w:rPr>
        <w:t xml:space="preserve">Action items land in each participant's My Tasks inbox; status updates arrive as notifications. Participants can often delegate their inbox items to a colleague during an absence. Because processes are configurable, the same transaction type can carry different approval chains in different parts of the institution.</w:t>
      </w:r>
    </w:p>
    <w:tbl>
      <w:tblPr>
        <w:tblW w:type="dxa" w:w="9360"/>
        <w:tblBorders>
          <w:top w:val="single" w:color="1F5C8B" w:sz="4"/>
          <w:left w:val="single" w:color="1F5C8B" w:sz="18"/>
          <w:bottom w:val="single" w:color="1F5C8B" w:sz="4"/>
          <w:right w:val="single" w:color="1F5C8B" w:sz="4"/>
          <w:insideH w:val="none"/>
          <w:insideV w:val="none"/>
        </w:tblBorders>
      </w:tblPr>
      <w:tblGrid>
        <w:gridCol w:w="9360"/>
      </w:tblGrid>
      <w:tr>
        <w:tc>
          <w:tcPr>
            <w:tcW w:type="dxa" w:w="9360"/>
            <w:shd w:fill="EEF2F6" w:val="clear"/>
            <w:tcMar>
              <w:top w:type="dxa" w:w="100"/>
              <w:left w:type="dxa" w:w="160"/>
              <w:bottom w:type="dxa" w:w="100"/>
              <w:right w:type="dxa" w:w="160"/>
            </w:tcMar>
          </w:tcPr>
          <w:p>
            <w:pPr>
              <w:spacing w:after="60"/>
            </w:pPr>
            <w:r>
              <w:rPr>
                <w:rFonts w:ascii="Calibri" w:cs="Calibri" w:eastAsia="Calibri" w:hAnsi="Calibri"/>
                <w:b/>
                <w:bCs/>
                <w:caps/>
                <w:color w:val="1F5C8B"/>
                <w:sz w:val="19"/>
                <w:szCs w:val="19"/>
              </w:rPr>
              <w:t xml:space="preserve">Where security and process meet</w:t>
            </w:r>
          </w:p>
          <w:p>
            <w:pPr>
              <w:spacing w:after="40" w:line="250"/>
            </w:pPr>
            <w:r>
              <w:rPr>
                <w:rFonts w:ascii="Calibri" w:cs="Calibri" w:eastAsia="Calibri" w:hAnsi="Calibri"/>
                <w:sz w:val="20"/>
                <w:szCs w:val="20"/>
              </w:rPr>
              <w:t xml:space="preserve">A business process defines the steps; the business process security policy defines who may perform each one. They are configured separately and must agree. If a step never routes to the person you expect, the fix is often in the security policy (who is allowed to act), not the process definition (what the steps are).</w:t>
            </w:r>
          </w:p>
        </w:tc>
      </w:tr>
    </w:tbl>
    <w:p>
      <w:pPr>
        <w:pStyle w:val="Heading2"/>
        <w:spacing w:after="90" w:before="200"/>
      </w:pPr>
      <w:r>
        <w:rPr>
          <w:rFonts w:ascii="Calibri" w:cs="Calibri" w:eastAsia="Calibri" w:hAnsi="Calibri"/>
          <w:b/>
          <w:bCs/>
          <w:color w:val="1F5C8B"/>
          <w:sz w:val="27"/>
          <w:szCs w:val="27"/>
        </w:rPr>
        <w:t xml:space="preserve">Reference IDs and integrations</w:t>
      </w:r>
    </w:p>
    <w:p>
      <w:pPr>
        <w:spacing w:after="120" w:line="264"/>
      </w:pPr>
      <w:r>
        <w:rPr>
          <w:rFonts w:ascii="Calibri" w:cs="Calibri" w:eastAsia="Calibri" w:hAnsi="Calibri"/>
          <w:sz w:val="21"/>
          <w:szCs w:val="21"/>
        </w:rPr>
        <w:t xml:space="preserve">Business processes rely on stable Reference IDs for the objects and values they move, which matters greatly once integrations are involved — a business process can trigger an outbound integration (for example, sending a completed new-hire to a downstream system), and consistent reference data is what keeps that hand-off reliable.</w:t>
      </w:r>
    </w:p>
    <w:p>
      <w:pPr>
        <w:pStyle w:val="Heading2"/>
        <w:spacing w:after="90" w:before="200"/>
      </w:pPr>
      <w:r>
        <w:rPr>
          <w:rFonts w:ascii="Calibri" w:cs="Calibri" w:eastAsia="Calibri" w:hAnsi="Calibri"/>
          <w:b/>
          <w:bCs/>
          <w:color w:val="1F5C8B"/>
          <w:sz w:val="27"/>
          <w:szCs w:val="27"/>
        </w:rPr>
        <w:t xml:space="preserve">Per-module examples</w:t>
      </w:r>
    </w:p>
    <w:tbl>
      <w:tblPr>
        <w:tblW w:type="dxa" w:w="9360"/>
        <w:tblBorders>
          <w:top w:val="single" w:color="B9C2CD" w:sz="2"/>
          <w:left w:val="single" w:color="B9C2CD" w:sz="2"/>
          <w:bottom w:val="single" w:color="B9C2CD" w:sz="2"/>
          <w:right w:val="single" w:color="B9C2CD" w:sz="2"/>
          <w:insideH w:val="single" w:color="B9C2CD" w:sz="2"/>
          <w:insideV w:val="single" w:color="B9C2CD" w:sz="2"/>
        </w:tblBorders>
      </w:tblPr>
      <w:tblGrid>
        <w:gridCol w:w="1900"/>
        <w:gridCol w:w="7460"/>
      </w:tblGrid>
      <w:tr>
        <w:trPr>
          <w:cantSplit/>
          <w:tblHeader/>
        </w:trPr>
        <w:tc>
          <w:tcPr>
            <w:tcW w:type="dxa" w:w="190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Module</w:t>
            </w:r>
          </w:p>
        </w:tc>
        <w:tc>
          <w:tcPr>
            <w:tcW w:type="dxa" w:w="746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Representative business processes</w:t>
            </w:r>
          </w:p>
        </w:tc>
      </w:tr>
      <w:tr>
        <w:trPr>
          <w:cantSplit/>
        </w:trPr>
        <w:tc>
          <w:tcPr>
            <w:tcW w:type="dxa" w:w="19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HCM</w:t>
            </w:r>
          </w:p>
        </w:tc>
        <w:tc>
          <w:tcPr>
            <w:tcW w:type="dxa" w:w="74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Hire, Change Job, Request Compensation Change, Request Time Off, Terminate</w:t>
            </w:r>
          </w:p>
        </w:tc>
      </w:tr>
      <w:tr>
        <w:trPr>
          <w:cantSplit/>
        </w:trPr>
        <w:tc>
          <w:tcPr>
            <w:tcW w:type="dxa" w:w="19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Financials</w:t>
            </w:r>
          </w:p>
        </w:tc>
        <w:tc>
          <w:tcPr>
            <w:tcW w:type="dxa" w:w="74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Create Requisition, Supplier Invoice, Expense Report, Journal Entry, Payment</w:t>
            </w:r>
          </w:p>
        </w:tc>
      </w:tr>
      <w:tr>
        <w:trPr>
          <w:cantSplit/>
        </w:trPr>
        <w:tc>
          <w:tcPr>
            <w:tcW w:type="dxa" w:w="19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Student</w:t>
            </w:r>
          </w:p>
        </w:tc>
        <w:tc>
          <w:tcPr>
            <w:tcW w:type="dxa" w:w="74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Application/admission decisions, registration and enrollment, academic record updates</w:t>
            </w:r>
          </w:p>
        </w:tc>
      </w:tr>
    </w:tbl>
    <w:p>
      <w:pPr>
        <w:pStyle w:val="Heading1"/>
        <w:pageBreakBefore/>
        <w:pBdr>
          <w:bottom w:val="single" w:color="1F5C8B" w:sz="12" w:space="6"/>
        </w:pBdr>
        <w:spacing w:after="140" w:before="40"/>
      </w:pPr>
      <w:r>
        <w:rPr>
          <w:rFonts w:ascii="Calibri" w:cs="Calibri" w:eastAsia="Calibri" w:hAnsi="Calibri"/>
          <w:b/>
          <w:bCs/>
          <w:color w:val="1F2A37"/>
          <w:sz w:val="38"/>
          <w:szCs w:val="38"/>
        </w:rPr>
        <w:t xml:space="preserve">4 · Reporting &amp; Integrations</w:t>
      </w:r>
    </w:p>
    <w:p>
      <w:pPr>
        <w:spacing w:after="120" w:line="264"/>
      </w:pPr>
      <w:r>
        <w:rPr>
          <w:rFonts w:ascii="Calibri" w:cs="Calibri" w:eastAsia="Calibri" w:hAnsi="Calibri"/>
          <w:sz w:val="21"/>
          <w:szCs w:val="21"/>
        </w:rPr>
        <w:t xml:space="preserve">Reporting and integrations are treated together because in Workday they are two ends of the same pipe: a report defines a set of data, and an integration delivers that data somewhere. Learning to build a solid report is the prerequisite for most integrations.</w:t>
      </w:r>
    </w:p>
    <w:p>
      <w:pPr>
        <w:pStyle w:val="Heading2"/>
        <w:spacing w:after="90" w:before="200"/>
      </w:pPr>
      <w:r>
        <w:rPr>
          <w:rFonts w:ascii="Calibri" w:cs="Calibri" w:eastAsia="Calibri" w:hAnsi="Calibri"/>
          <w:b/>
          <w:bCs/>
          <w:color w:val="1F5C8B"/>
          <w:sz w:val="27"/>
          <w:szCs w:val="27"/>
        </w:rPr>
        <w:t xml:space="preserve">Reporting</w:t>
      </w:r>
    </w:p>
    <w:p>
      <w:pPr>
        <w:pStyle w:val="Heading3"/>
        <w:spacing w:after="70" w:before="140"/>
      </w:pPr>
      <w:r>
        <w:rPr>
          <w:rFonts w:ascii="Calibri" w:cs="Calibri" w:eastAsia="Calibri" w:hAnsi="Calibri"/>
          <w:b/>
          <w:bCs/>
          <w:color w:val="1F2A37"/>
          <w:sz w:val="23"/>
          <w:szCs w:val="23"/>
        </w:rPr>
        <w:t xml:space="preserve">Standard vs. custom reports</w:t>
      </w:r>
    </w:p>
    <w:p>
      <w:pPr>
        <w:spacing w:after="120" w:line="264"/>
      </w:pPr>
      <w:r>
        <w:rPr>
          <w:rFonts w:ascii="Calibri" w:cs="Calibri" w:eastAsia="Calibri" w:hAnsi="Calibri"/>
          <w:sz w:val="21"/>
          <w:szCs w:val="21"/>
        </w:rPr>
        <w:t xml:space="preserve">Workday delivers hundreds of standard reports. When those do not fit, you build custom reports in the Report Writer — often by copying a delivered report and modifying it. The two building blocks of any custom report are the business object and the data source: the business object is the template (for example, Worker), and the data source is the population that fills it (for example, all active employees).</w:t>
      </w:r>
    </w:p>
    <w:p>
      <w:pPr>
        <w:pStyle w:val="Heading3"/>
        <w:spacing w:after="70" w:before="140"/>
      </w:pPr>
      <w:r>
        <w:rPr>
          <w:rFonts w:ascii="Calibri" w:cs="Calibri" w:eastAsia="Calibri" w:hAnsi="Calibri"/>
          <w:b/>
          <w:bCs/>
          <w:color w:val="1F2A37"/>
          <w:sz w:val="23"/>
          <w:szCs w:val="23"/>
        </w:rPr>
        <w:t xml:space="preserve">Report types</w:t>
      </w:r>
    </w:p>
    <w:p>
      <w:pPr>
        <w:spacing w:after="120" w:line="264"/>
      </w:pPr>
      <w:r>
        <w:rPr>
          <w:rFonts w:ascii="Calibri" w:cs="Calibri" w:eastAsia="Calibri" w:hAnsi="Calibri"/>
          <w:sz w:val="21"/>
          <w:szCs w:val="21"/>
        </w:rPr>
        <w:t xml:space="preserve">Choosing the right report type is the first design decision:</w:t>
      </w:r>
    </w:p>
    <w:tbl>
      <w:tblPr>
        <w:tblW w:type="dxa" w:w="9360"/>
        <w:tblBorders>
          <w:top w:val="single" w:color="B9C2CD" w:sz="2"/>
          <w:left w:val="single" w:color="B9C2CD" w:sz="2"/>
          <w:bottom w:val="single" w:color="B9C2CD" w:sz="2"/>
          <w:right w:val="single" w:color="B9C2CD" w:sz="2"/>
          <w:insideH w:val="single" w:color="B9C2CD" w:sz="2"/>
          <w:insideV w:val="single" w:color="B9C2CD" w:sz="2"/>
        </w:tblBorders>
      </w:tblPr>
      <w:tblGrid>
        <w:gridCol w:w="1900"/>
        <w:gridCol w:w="7460"/>
      </w:tblGrid>
      <w:tr>
        <w:trPr>
          <w:cantSplit/>
          <w:tblHeader/>
        </w:trPr>
        <w:tc>
          <w:tcPr>
            <w:tcW w:type="dxa" w:w="190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Type</w:t>
            </w:r>
          </w:p>
        </w:tc>
        <w:tc>
          <w:tcPr>
            <w:tcW w:type="dxa" w:w="746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What it is best for</w:t>
            </w:r>
          </w:p>
        </w:tc>
      </w:tr>
      <w:tr>
        <w:trPr>
          <w:cantSplit/>
        </w:trPr>
        <w:tc>
          <w:tcPr>
            <w:tcW w:type="dxa" w:w="19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Simple</w:t>
            </w:r>
          </w:p>
        </w:tc>
        <w:tc>
          <w:tcPr>
            <w:tcW w:type="dxa" w:w="74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Quick single-object lists; cannot reach related objects, cannot be shared or RaaS-enabled</w:t>
            </w:r>
          </w:p>
        </w:tc>
      </w:tr>
      <w:tr>
        <w:trPr>
          <w:cantSplit/>
        </w:trPr>
        <w:tc>
          <w:tcPr>
            <w:tcW w:type="dxa" w:w="19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Advanced</w:t>
            </w:r>
          </w:p>
        </w:tc>
        <w:tc>
          <w:tcPr>
            <w:tcW w:type="dxa" w:w="74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The workhorse — reaches related business objects, can be shared, and can be exposed as a web service</w:t>
            </w:r>
          </w:p>
        </w:tc>
      </w:tr>
      <w:tr>
        <w:trPr>
          <w:cantSplit/>
        </w:trPr>
        <w:tc>
          <w:tcPr>
            <w:tcW w:type="dxa" w:w="19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Matrix</w:t>
            </w:r>
          </w:p>
        </w:tc>
        <w:tc>
          <w:tcPr>
            <w:tcW w:type="dxa" w:w="74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Summarized/grouped data with totals, like a pivot</w:t>
            </w:r>
          </w:p>
        </w:tc>
      </w:tr>
      <w:tr>
        <w:trPr>
          <w:cantSplit/>
        </w:trPr>
        <w:tc>
          <w:tcPr>
            <w:tcW w:type="dxa" w:w="19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Composite</w:t>
            </w:r>
          </w:p>
        </w:tc>
        <w:tc>
          <w:tcPr>
            <w:tcW w:type="dxa" w:w="74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Combines multiple sub-reports into one layout, e.g., a financial statement</w:t>
            </w:r>
          </w:p>
        </w:tc>
      </w:tr>
      <w:tr>
        <w:trPr>
          <w:cantSplit/>
        </w:trPr>
        <w:tc>
          <w:tcPr>
            <w:tcW w:type="dxa" w:w="19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Search</w:t>
            </w:r>
          </w:p>
        </w:tc>
        <w:tc>
          <w:tcPr>
            <w:tcW w:type="dxa" w:w="74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Lets users filter a large population with facets</w:t>
            </w:r>
          </w:p>
        </w:tc>
      </w:tr>
      <w:tr>
        <w:trPr>
          <w:cantSplit/>
        </w:trPr>
        <w:tc>
          <w:tcPr>
            <w:tcW w:type="dxa" w:w="19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Trending</w:t>
            </w:r>
          </w:p>
        </w:tc>
        <w:tc>
          <w:tcPr>
            <w:tcW w:type="dxa" w:w="74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Compares a measure across points in time</w:t>
            </w:r>
          </w:p>
        </w:tc>
      </w:tr>
      <w:tr>
        <w:trPr>
          <w:cantSplit/>
        </w:trPr>
        <w:tc>
          <w:tcPr>
            <w:tcW w:type="dxa" w:w="19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nBox</w:t>
            </w:r>
          </w:p>
        </w:tc>
        <w:tc>
          <w:tcPr>
            <w:tcW w:type="dxa" w:w="74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 grid (e.g., performance vs. potential) for talent reviews</w:t>
            </w:r>
          </w:p>
        </w:tc>
      </w:tr>
      <w:tr>
        <w:trPr>
          <w:cantSplit/>
        </w:trPr>
        <w:tc>
          <w:tcPr>
            <w:tcW w:type="dxa" w:w="19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Transposed</w:t>
            </w:r>
          </w:p>
        </w:tc>
        <w:tc>
          <w:tcPr>
            <w:tcW w:type="dxa" w:w="74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Rotates rows and columns for readability</w:t>
            </w:r>
          </w:p>
        </w:tc>
      </w:tr>
    </w:tbl>
    <w:p>
      <w:pPr>
        <w:spacing w:after="120" w:line="264"/>
      </w:pPr>
      <w:r>
        <w:rPr>
          <w:rFonts w:ascii="Calibri" w:cs="Calibri" w:eastAsia="Calibri" w:hAnsi="Calibri"/>
          <w:b/>
          <w:bCs/>
          <w:sz w:val="21"/>
          <w:szCs w:val="21"/>
        </w:rPr>
        <w:t xml:space="preserve">Advanced is the type to learn first</w:t>
      </w:r>
      <w:r>
        <w:rPr>
          <w:rFonts w:ascii="Calibri" w:cs="Calibri" w:eastAsia="Calibri" w:hAnsi="Calibri"/>
          <w:sz w:val="21"/>
          <w:szCs w:val="21"/>
        </w:rPr>
        <w:t xml:space="preserve">, because only Advanced reports can traverse related business objects (pulling a worker's personal data and compensation together) and only Advanced reports can be turned into an integration source.</w:t>
      </w:r>
    </w:p>
    <w:p>
      <w:pPr>
        <w:pStyle w:val="Heading3"/>
        <w:spacing w:after="70" w:before="140"/>
      </w:pPr>
      <w:r>
        <w:rPr>
          <w:rFonts w:ascii="Calibri" w:cs="Calibri" w:eastAsia="Calibri" w:hAnsi="Calibri"/>
          <w:b/>
          <w:bCs/>
          <w:color w:val="1F2A37"/>
          <w:sz w:val="23"/>
          <w:szCs w:val="23"/>
        </w:rPr>
        <w:t xml:space="preserve">Calculated fields</w:t>
      </w:r>
    </w:p>
    <w:p>
      <w:pPr>
        <w:spacing w:after="120" w:line="264"/>
      </w:pPr>
      <w:r>
        <w:rPr>
          <w:rFonts w:ascii="Calibri" w:cs="Calibri" w:eastAsia="Calibri" w:hAnsi="Calibri"/>
          <w:sz w:val="21"/>
          <w:szCs w:val="21"/>
        </w:rPr>
        <w:t xml:space="preserve">Calculated fields (built with the </w:t>
      </w:r>
      <w:r>
        <w:rPr>
          <w:rFonts w:ascii="Consolas" w:cs="Consolas" w:eastAsia="Consolas" w:hAnsi="Consolas"/>
          <w:sz w:val="20"/>
          <w:szCs w:val="20"/>
        </w:rPr>
        <w:t xml:space="preserve">Create Calculated Field</w:t>
      </w:r>
      <w:r>
        <w:rPr>
          <w:rFonts w:ascii="Calibri" w:cs="Calibri" w:eastAsia="Calibri" w:hAnsi="Calibri"/>
          <w:sz w:val="21"/>
          <w:szCs w:val="21"/>
        </w:rPr>
        <w:t xml:space="preserve"> task) are where raw data becomes useful. They let you perform math on numbers and dates, apply conditional logic (if the worker is in the US, output "Domestic"), look up related values, convert currency, and format text or dates to an external system's exact specification. They are reusable across reports and integrations.</w:t>
      </w:r>
    </w:p>
    <w:p>
      <w:pPr>
        <w:pStyle w:val="Heading3"/>
        <w:spacing w:after="70" w:before="140"/>
      </w:pPr>
      <w:r>
        <w:rPr>
          <w:rFonts w:ascii="Calibri" w:cs="Calibri" w:eastAsia="Calibri" w:hAnsi="Calibri"/>
          <w:b/>
          <w:bCs/>
          <w:color w:val="1F2A37"/>
          <w:sz w:val="23"/>
          <w:szCs w:val="23"/>
        </w:rPr>
        <w:t xml:space="preserve">Reports as a Service (RaaS)</w:t>
      </w:r>
    </w:p>
    <w:p>
      <w:pPr>
        <w:spacing w:after="120" w:line="264"/>
      </w:pPr>
      <w:r>
        <w:rPr>
          <w:rFonts w:ascii="Calibri" w:cs="Calibri" w:eastAsia="Calibri" w:hAnsi="Calibri"/>
          <w:sz w:val="21"/>
          <w:szCs w:val="21"/>
        </w:rPr>
        <w:t xml:space="preserve">RaaS is the bridge from reporting to integration. Enabling an Advanced report as a web service turns it into a secure SOAP/REST endpoint that other tools — Workday's own integration tools, or external platforms — can call to pull that exact dataset. One important safety property: a report's output is always governed by the security of whoever (or whatever account) runs it, so RaaS never leaks data beyond the runner's access.</w:t>
      </w:r>
    </w:p>
    <w:tbl>
      <w:tblPr>
        <w:tblW w:type="dxa" w:w="9360"/>
        <w:tblBorders>
          <w:top w:val="single" w:color="1F5C8B" w:sz="4"/>
          <w:left w:val="single" w:color="1F5C8B" w:sz="18"/>
          <w:bottom w:val="single" w:color="1F5C8B" w:sz="4"/>
          <w:right w:val="single" w:color="1F5C8B" w:sz="4"/>
          <w:insideH w:val="none"/>
          <w:insideV w:val="none"/>
        </w:tblBorders>
      </w:tblPr>
      <w:tblGrid>
        <w:gridCol w:w="9360"/>
      </w:tblGrid>
      <w:tr>
        <w:tc>
          <w:tcPr>
            <w:tcW w:type="dxa" w:w="9360"/>
            <w:shd w:fill="EEF2F6" w:val="clear"/>
            <w:tcMar>
              <w:top w:type="dxa" w:w="100"/>
              <w:left w:type="dxa" w:w="160"/>
              <w:bottom w:type="dxa" w:w="100"/>
              <w:right w:type="dxa" w:w="160"/>
            </w:tcMar>
          </w:tcPr>
          <w:p>
            <w:pPr>
              <w:spacing w:after="60"/>
            </w:pPr>
            <w:r>
              <w:rPr>
                <w:rFonts w:ascii="Calibri" w:cs="Calibri" w:eastAsia="Calibri" w:hAnsi="Calibri"/>
                <w:b/>
                <w:bCs/>
                <w:caps/>
                <w:color w:val="1F5C8B"/>
                <w:sz w:val="19"/>
                <w:szCs w:val="19"/>
              </w:rPr>
              <w:t xml:space="preserve">For a data analyst</w:t>
            </w:r>
          </w:p>
          <w:p>
            <w:pPr>
              <w:spacing w:after="40" w:line="250"/>
            </w:pPr>
            <w:r>
              <w:rPr>
                <w:rFonts w:ascii="Calibri" w:cs="Calibri" w:eastAsia="Calibri" w:hAnsi="Calibri"/>
                <w:sz w:val="20"/>
                <w:szCs w:val="20"/>
              </w:rPr>
              <w:t xml:space="preserve">RaaS is how Workday data reaches external analytics. An Advanced report enabled as a web service can feed Power BI, Tableau, or a data warehouse directly — making the Report Writer, not an export button, the real integration point for BI work.</w:t>
            </w:r>
          </w:p>
        </w:tc>
      </w:tr>
    </w:tbl>
    <w:p>
      <w:pPr>
        <w:pStyle w:val="Heading2"/>
        <w:spacing w:after="90" w:before="200"/>
      </w:pPr>
      <w:r>
        <w:rPr>
          <w:rFonts w:ascii="Calibri" w:cs="Calibri" w:eastAsia="Calibri" w:hAnsi="Calibri"/>
          <w:b/>
          <w:bCs/>
          <w:color w:val="1F5C8B"/>
          <w:sz w:val="27"/>
          <w:szCs w:val="27"/>
        </w:rPr>
        <w:t xml:space="preserve">Integrations</w:t>
      </w:r>
    </w:p>
    <w:p>
      <w:pPr>
        <w:spacing w:after="120" w:line="264"/>
      </w:pPr>
      <w:r>
        <w:rPr>
          <w:rFonts w:ascii="Calibri" w:cs="Calibri" w:eastAsia="Calibri" w:hAnsi="Calibri"/>
          <w:sz w:val="21"/>
          <w:szCs w:val="21"/>
        </w:rPr>
        <w:t xml:space="preserve">Workday Integration Cloud is an integration-platform-as-a-service: everything runs in Workday's data centers and is managed from the Workday UI, with no on-premises middleware required. There are three primary build tools, and choosing correctly is most of the skill.</w:t>
      </w:r>
    </w:p>
    <w:tbl>
      <w:tblPr>
        <w:tblW w:type="dxa" w:w="9360"/>
        <w:tblBorders>
          <w:top w:val="single" w:color="B9C2CD" w:sz="2"/>
          <w:left w:val="single" w:color="B9C2CD" w:sz="2"/>
          <w:bottom w:val="single" w:color="B9C2CD" w:sz="2"/>
          <w:right w:val="single" w:color="B9C2CD" w:sz="2"/>
          <w:insideH w:val="single" w:color="B9C2CD" w:sz="2"/>
          <w:insideV w:val="single" w:color="B9C2CD" w:sz="2"/>
        </w:tblBorders>
      </w:tblPr>
      <w:tblGrid>
        <w:gridCol w:w="2400"/>
        <w:gridCol w:w="3560"/>
        <w:gridCol w:w="3400"/>
      </w:tblGrid>
      <w:tr>
        <w:trPr>
          <w:cantSplit/>
          <w:tblHeader/>
        </w:trPr>
        <w:tc>
          <w:tcPr>
            <w:tcW w:type="dxa" w:w="240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Tool</w:t>
            </w:r>
          </w:p>
        </w:tc>
        <w:tc>
          <w:tcPr>
            <w:tcW w:type="dxa" w:w="356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What it is</w:t>
            </w:r>
          </w:p>
        </w:tc>
        <w:tc>
          <w:tcPr>
            <w:tcW w:type="dxa" w:w="340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Reach for it when…</w:t>
            </w:r>
          </w:p>
        </w:tc>
      </w:tr>
      <w:tr>
        <w:trPr>
          <w:cantSplit/>
        </w:trPr>
        <w:tc>
          <w:tcPr>
            <w:tcW w:type="dxa" w:w="24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EIB (Enterprise Interface Builder)</w:t>
            </w:r>
          </w:p>
        </w:tc>
        <w:tc>
          <w:tcPr>
            <w:tcW w:type="dxa" w:w="35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No-code, config-driven file integrations built in the tenant</w:t>
            </w:r>
          </w:p>
        </w:tc>
        <w:tc>
          <w:tcPr>
            <w:tcW w:type="dxa" w:w="34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Simple to moderate inbound or outbound file transfers</w:t>
            </w:r>
          </w:p>
        </w:tc>
      </w:tr>
      <w:tr>
        <w:trPr>
          <w:cantSplit/>
        </w:trPr>
        <w:tc>
          <w:tcPr>
            <w:tcW w:type="dxa" w:w="24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Core Connectors (Cloud Connect)</w:t>
            </w:r>
          </w:p>
        </w:tc>
        <w:tc>
          <w:tcPr>
            <w:tcW w:type="dxa" w:w="35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Pre-built, Workday-delivered integration templates</w:t>
            </w:r>
          </w:p>
        </w:tc>
        <w:tc>
          <w:tcPr>
            <w:tcW w:type="dxa" w:w="34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Connecting to a common pattern (e.g., worker data) or vendor with change detection</w:t>
            </w:r>
          </w:p>
        </w:tc>
      </w:tr>
      <w:tr>
        <w:trPr>
          <w:cantSplit/>
        </w:trPr>
        <w:tc>
          <w:tcPr>
            <w:tcW w:type="dxa" w:w="24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Workday Studio</w:t>
            </w:r>
          </w:p>
        </w:tc>
        <w:tc>
          <w:tcPr>
            <w:tcW w:type="dxa" w:w="35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An Eclipse-based IDE for complex, custom integrations</w:t>
            </w:r>
          </w:p>
        </w:tc>
        <w:tc>
          <w:tcPr>
            <w:tcW w:type="dxa" w:w="34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Logic beyond EIB/Connectors — multiple sources, complex rules, custom error handling</w:t>
            </w:r>
          </w:p>
        </w:tc>
      </w:tr>
    </w:tbl>
    <w:p>
      <w:pPr>
        <w:pStyle w:val="Heading3"/>
        <w:spacing w:after="70" w:before="140"/>
      </w:pPr>
      <w:r>
        <w:rPr>
          <w:rFonts w:ascii="Calibri" w:cs="Calibri" w:eastAsia="Calibri" w:hAnsi="Calibri"/>
          <w:b/>
          <w:bCs/>
          <w:color w:val="1F2A37"/>
          <w:sz w:val="23"/>
          <w:szCs w:val="23"/>
        </w:rPr>
        <w:t xml:space="preserve">The EIB pattern: Get, Transform, Deliver</w:t>
      </w:r>
    </w:p>
    <w:p>
      <w:pPr>
        <w:pStyle w:val="ListParagraph"/>
        <w:numPr>
          <w:ilvl w:val="0"/>
          <w:numId w:val="1"/>
        </w:numPr>
        <w:spacing w:after="60" w:line="260"/>
      </w:pPr>
      <w:r>
        <w:rPr>
          <w:rFonts w:ascii="Calibri" w:cs="Calibri" w:eastAsia="Calibri" w:hAnsi="Calibri"/>
          <w:b/>
          <w:bCs/>
          <w:sz w:val="21"/>
          <w:szCs w:val="21"/>
        </w:rPr>
        <w:t xml:space="preserve">Get Data. </w:t>
      </w:r>
      <w:r>
        <w:rPr>
          <w:rFonts w:ascii="Calibri" w:cs="Calibri" w:eastAsia="Calibri" w:hAnsi="Calibri"/>
          <w:sz w:val="21"/>
          <w:szCs w:val="21"/>
        </w:rPr>
        <w:t xml:space="preserve">For an outbound EIB, the data source is a custom report or RaaS. You choose the business object, fields, and population.</w:t>
      </w:r>
    </w:p>
    <w:p>
      <w:pPr>
        <w:pStyle w:val="ListParagraph"/>
        <w:numPr>
          <w:ilvl w:val="0"/>
          <w:numId w:val="1"/>
        </w:numPr>
        <w:spacing w:after="60" w:line="260"/>
      </w:pPr>
      <w:r>
        <w:rPr>
          <w:rFonts w:ascii="Calibri" w:cs="Calibri" w:eastAsia="Calibri" w:hAnsi="Calibri"/>
          <w:b/>
          <w:bCs/>
          <w:sz w:val="21"/>
          <w:szCs w:val="21"/>
        </w:rPr>
        <w:t xml:space="preserve">Transform. </w:t>
      </w:r>
      <w:r>
        <w:rPr>
          <w:rFonts w:ascii="Calibri" w:cs="Calibri" w:eastAsia="Calibri" w:hAnsi="Calibri"/>
          <w:sz w:val="21"/>
          <w:szCs w:val="21"/>
        </w:rPr>
        <w:t xml:space="preserve">Often the report output is sent as-is. When it is not, EIB applies a delivered transformation (RaaS outputs XML, which EIB can render as CSV, tab-delimited, or a flat file) or a custom XSLT for more complex reshaping.</w:t>
      </w:r>
    </w:p>
    <w:p>
      <w:pPr>
        <w:pStyle w:val="ListParagraph"/>
        <w:numPr>
          <w:ilvl w:val="0"/>
          <w:numId w:val="1"/>
        </w:numPr>
        <w:spacing w:after="60" w:line="260"/>
      </w:pPr>
      <w:r>
        <w:rPr>
          <w:rFonts w:ascii="Calibri" w:cs="Calibri" w:eastAsia="Calibri" w:hAnsi="Calibri"/>
          <w:b/>
          <w:bCs/>
          <w:sz w:val="21"/>
          <w:szCs w:val="21"/>
        </w:rPr>
        <w:t xml:space="preserve">Deliver. </w:t>
      </w:r>
      <w:r>
        <w:rPr>
          <w:rFonts w:ascii="Calibri" w:cs="Calibri" w:eastAsia="Calibri" w:hAnsi="Calibri"/>
          <w:sz w:val="21"/>
          <w:szCs w:val="21"/>
        </w:rPr>
        <w:t xml:space="preserve">The file is sent to a secure SFTP server, to Workday Drive, or as an email attachment, per your requirements and security policies.</w:t>
      </w:r>
    </w:p>
    <w:p>
      <w:pPr>
        <w:spacing w:after="120" w:line="264"/>
      </w:pPr>
      <w:r>
        <w:rPr>
          <w:rFonts w:ascii="Calibri" w:cs="Calibri" w:eastAsia="Calibri" w:hAnsi="Calibri"/>
          <w:b/>
          <w:bCs/>
          <w:sz w:val="21"/>
          <w:szCs w:val="21"/>
        </w:rPr>
        <w:t xml:space="preserve">Inbound EIBs </w:t>
      </w:r>
      <w:r>
        <w:rPr>
          <w:rFonts w:ascii="Calibri" w:cs="Calibri" w:eastAsia="Calibri" w:hAnsi="Calibri"/>
          <w:sz w:val="21"/>
          <w:szCs w:val="21"/>
        </w:rPr>
        <w:t xml:space="preserve">run the pattern in reverse: Workday generates a spreadsheet template you populate and upload, automating what would otherwise be mass manual data entry (loading historical data or bulk updates).</w:t>
      </w:r>
    </w:p>
    <w:p>
      <w:pPr>
        <w:pStyle w:val="Heading3"/>
        <w:spacing w:after="70" w:before="140"/>
      </w:pPr>
      <w:r>
        <w:rPr>
          <w:rFonts w:ascii="Calibri" w:cs="Calibri" w:eastAsia="Calibri" w:hAnsi="Calibri"/>
          <w:b/>
          <w:bCs/>
          <w:color w:val="1F2A37"/>
          <w:sz w:val="23"/>
          <w:szCs w:val="23"/>
        </w:rPr>
        <w:t xml:space="preserve">Core Connectors and Studio</w:t>
      </w:r>
    </w:p>
    <w:p>
      <w:pPr>
        <w:spacing w:after="120" w:line="264"/>
      </w:pPr>
      <w:r>
        <w:rPr>
          <w:rFonts w:ascii="Calibri" w:cs="Calibri" w:eastAsia="Calibri" w:hAnsi="Calibri"/>
          <w:sz w:val="21"/>
          <w:szCs w:val="21"/>
        </w:rPr>
        <w:t xml:space="preserve">Core Connectors are pre-built templates (part of Cloud Connect) for common integration patterns. The Core Connector: Worker, for instance, is driven by Workday's Get_Workers web service and can detect what changed since the last run — new hires, job changes, terminations — producing structured output for a downstream system without you writing that change logic by hand. Workday Studio is the developer-grade option: a drag-and-drop IDE supporting flow control, transformation, error handling, and scripting for integrations that exceed what EIB or Connectors can do.</w:t>
      </w:r>
    </w:p>
    <w:p>
      <w:pPr>
        <w:pStyle w:val="Heading3"/>
        <w:spacing w:after="70" w:before="140"/>
      </w:pPr>
      <w:r>
        <w:rPr>
          <w:rFonts w:ascii="Calibri" w:cs="Calibri" w:eastAsia="Calibri" w:hAnsi="Calibri"/>
          <w:b/>
          <w:bCs/>
          <w:color w:val="1F2A37"/>
          <w:sz w:val="23"/>
          <w:szCs w:val="23"/>
        </w:rPr>
        <w:t xml:space="preserve">Web services, security, and limits</w:t>
      </w:r>
    </w:p>
    <w:p>
      <w:pPr>
        <w:pStyle w:val="ListParagraph"/>
        <w:numPr>
          <w:ilvl w:val="0"/>
          <w:numId w:val="1"/>
        </w:numPr>
        <w:spacing w:after="60" w:line="260"/>
      </w:pPr>
      <w:r>
        <w:rPr>
          <w:rFonts w:ascii="Calibri" w:cs="Calibri" w:eastAsia="Calibri" w:hAnsi="Calibri"/>
          <w:b/>
          <w:bCs/>
          <w:sz w:val="21"/>
          <w:szCs w:val="21"/>
        </w:rPr>
        <w:t xml:space="preserve">Web services. </w:t>
      </w:r>
      <w:r>
        <w:rPr>
          <w:rFonts w:ascii="Calibri" w:cs="Calibri" w:eastAsia="Calibri" w:hAnsi="Calibri"/>
          <w:sz w:val="21"/>
          <w:szCs w:val="21"/>
        </w:rPr>
        <w:t xml:space="preserve">Beyond files, Workday exposes SOAP (Workday Web Services) and REST APIs, and RaaS endpoints, for real-time and programmatic access.</w:t>
      </w:r>
    </w:p>
    <w:p>
      <w:pPr>
        <w:pStyle w:val="ListParagraph"/>
        <w:numPr>
          <w:ilvl w:val="0"/>
          <w:numId w:val="1"/>
        </w:numPr>
        <w:spacing w:after="60" w:line="260"/>
      </w:pPr>
      <w:r>
        <w:rPr>
          <w:rFonts w:ascii="Calibri" w:cs="Calibri" w:eastAsia="Calibri" w:hAnsi="Calibri"/>
          <w:b/>
          <w:bCs/>
          <w:sz w:val="21"/>
          <w:szCs w:val="21"/>
        </w:rPr>
        <w:t xml:space="preserve">Integration security. </w:t>
      </w:r>
      <w:r>
        <w:rPr>
          <w:rFonts w:ascii="Calibri" w:cs="Calibri" w:eastAsia="Calibri" w:hAnsi="Calibri"/>
          <w:sz w:val="21"/>
          <w:szCs w:val="21"/>
        </w:rPr>
        <w:t xml:space="preserve">Integrations authenticate as an Integration System User (ISU), whose access is granted through an Integration System Security Group (ISSG) — the same WHO/WHAT/WHERE model, applied to a service account rather than a person. Domain policies control this with Get/Put permissions.</w:t>
      </w:r>
    </w:p>
    <w:p>
      <w:pPr>
        <w:pStyle w:val="ListParagraph"/>
        <w:numPr>
          <w:ilvl w:val="0"/>
          <w:numId w:val="1"/>
        </w:numPr>
        <w:spacing w:after="60" w:line="260"/>
      </w:pPr>
      <w:r>
        <w:rPr>
          <w:rFonts w:ascii="Calibri" w:cs="Calibri" w:eastAsia="Calibri" w:hAnsi="Calibri"/>
          <w:b/>
          <w:bCs/>
          <w:sz w:val="21"/>
          <w:szCs w:val="21"/>
        </w:rPr>
        <w:t xml:space="preserve">Processing limits. </w:t>
      </w:r>
      <w:r>
        <w:rPr>
          <w:rFonts w:ascii="Calibri" w:cs="Calibri" w:eastAsia="Calibri" w:hAnsi="Calibri"/>
          <w:sz w:val="21"/>
          <w:szCs w:val="21"/>
        </w:rPr>
        <w:t xml:space="preserve">Workday caps long-running jobs: an EIB may spend up to two hours on transformation, and HTTP requests including Web Services and RaaS are terminated after six hours. Design large extracts with these ceilings in mind.</w:t>
      </w:r>
    </w:p>
    <w:p>
      <w:pPr>
        <w:pStyle w:val="Heading2"/>
        <w:spacing w:after="90" w:before="200"/>
      </w:pPr>
      <w:r>
        <w:rPr>
          <w:rFonts w:ascii="Calibri" w:cs="Calibri" w:eastAsia="Calibri" w:hAnsi="Calibri"/>
          <w:b/>
          <w:bCs/>
          <w:color w:val="1F5C8B"/>
          <w:sz w:val="27"/>
          <w:szCs w:val="27"/>
        </w:rPr>
        <w:t xml:space="preserve">How it fits together</w:t>
      </w:r>
    </w:p>
    <w:p>
      <w:pPr>
        <w:spacing w:after="120" w:line="264"/>
      </w:pPr>
      <w:r>
        <w:rPr>
          <w:rFonts w:ascii="Calibri" w:cs="Calibri" w:eastAsia="Calibri" w:hAnsi="Calibri"/>
          <w:sz w:val="21"/>
          <w:szCs w:val="21"/>
        </w:rPr>
        <w:t xml:space="preserve">A common end-to-end pattern ties all four topics of this guide together: you navigate to build an Advanced report (Section 1), that report is governed by domain security and runs as a secured ISU (Section 2), a completed business process can trigger its delivery (Section 3), and an EIB uses the report as RaaS to transform and send the data to another system (Section 4). Master the report, and most of the pipeline follows.</w:t>
      </w:r>
    </w:p>
    <w:p>
      <w:pPr>
        <w:pStyle w:val="Heading1"/>
        <w:pageBreakBefore/>
        <w:pBdr>
          <w:bottom w:val="single" w:color="1F5C8B" w:sz="12" w:space="6"/>
        </w:pBdr>
        <w:spacing w:after="140" w:before="40"/>
      </w:pPr>
      <w:r>
        <w:rPr>
          <w:rFonts w:ascii="Calibri" w:cs="Calibri" w:eastAsia="Calibri" w:hAnsi="Calibri"/>
          <w:b/>
          <w:bCs/>
          <w:color w:val="1F2A37"/>
          <w:sz w:val="38"/>
          <w:szCs w:val="38"/>
        </w:rPr>
        <w:t xml:space="preserve">Appendix · Quick Reference</w:t>
      </w:r>
    </w:p>
    <w:p>
      <w:pPr>
        <w:pStyle w:val="Heading2"/>
        <w:spacing w:after="90" w:before="200"/>
      </w:pPr>
      <w:r>
        <w:rPr>
          <w:rFonts w:ascii="Calibri" w:cs="Calibri" w:eastAsia="Calibri" w:hAnsi="Calibri"/>
          <w:b/>
          <w:bCs/>
          <w:color w:val="1F5C8B"/>
          <w:sz w:val="27"/>
          <w:szCs w:val="27"/>
        </w:rPr>
        <w:t xml:space="preserve">Key vocabulary</w:t>
      </w:r>
    </w:p>
    <w:tbl>
      <w:tblPr>
        <w:tblW w:type="dxa" w:w="9360"/>
        <w:tblBorders>
          <w:top w:val="single" w:color="B9C2CD" w:sz="2"/>
          <w:left w:val="single" w:color="B9C2CD" w:sz="2"/>
          <w:bottom w:val="single" w:color="B9C2CD" w:sz="2"/>
          <w:right w:val="single" w:color="B9C2CD" w:sz="2"/>
          <w:insideH w:val="single" w:color="B9C2CD" w:sz="2"/>
          <w:insideV w:val="single" w:color="B9C2CD" w:sz="2"/>
        </w:tblBorders>
      </w:tblPr>
      <w:tblGrid>
        <w:gridCol w:w="2500"/>
        <w:gridCol w:w="6860"/>
      </w:tblGrid>
      <w:tr>
        <w:trPr>
          <w:cantSplit/>
          <w:tblHeader/>
        </w:trPr>
        <w:tc>
          <w:tcPr>
            <w:tcW w:type="dxa" w:w="250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Term</w:t>
            </w:r>
          </w:p>
        </w:tc>
        <w:tc>
          <w:tcPr>
            <w:tcW w:type="dxa" w:w="6860"/>
            <w:shd w:fill="1F5C8B" w:val="clear"/>
            <w:tcMar>
              <w:top w:type="dxa" w:w="70"/>
              <w:left w:type="dxa" w:w="110"/>
              <w:bottom w:type="dxa" w:w="70"/>
              <w:right w:type="dxa" w:w="110"/>
            </w:tcMar>
          </w:tcPr>
          <w:p>
            <w:r>
              <w:rPr>
                <w:rFonts w:ascii="Calibri" w:cs="Calibri" w:eastAsia="Calibri" w:hAnsi="Calibri"/>
                <w:b/>
                <w:bCs/>
                <w:color w:val="FFFFFF"/>
                <w:sz w:val="19"/>
                <w:szCs w:val="19"/>
              </w:rPr>
              <w:t xml:space="preserve">One-line meaning</w:t>
            </w:r>
          </w:p>
        </w:tc>
      </w:tr>
      <w:tr>
        <w:trPr>
          <w:cantSplit/>
        </w:trPr>
        <w:tc>
          <w:tcPr>
            <w:tcW w:type="dxa" w:w="25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Tenant</w:t>
            </w:r>
          </w:p>
        </w:tc>
        <w:tc>
          <w:tcPr>
            <w:tcW w:type="dxa" w:w="68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Your isolated Workday instance (sandbox vs. production)</w:t>
            </w:r>
          </w:p>
        </w:tc>
      </w:tr>
      <w:tr>
        <w:trPr>
          <w:cantSplit/>
        </w:trPr>
        <w:tc>
          <w:tcPr>
            <w:tcW w:type="dxa" w:w="25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Business object</w:t>
            </w:r>
          </w:p>
        </w:tc>
        <w:tc>
          <w:tcPr>
            <w:tcW w:type="dxa" w:w="68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A type of thing Workday tracks (Worker, Supplier, Student)</w:t>
            </w:r>
          </w:p>
        </w:tc>
      </w:tr>
      <w:tr>
        <w:trPr>
          <w:cantSplit/>
        </w:trPr>
        <w:tc>
          <w:tcPr>
            <w:tcW w:type="dxa" w:w="25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Worktag</w:t>
            </w:r>
          </w:p>
        </w:tc>
        <w:tc>
          <w:tcPr>
            <w:tcW w:type="dxa" w:w="68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 label classifying a transaction for tracking and reporting</w:t>
            </w:r>
          </w:p>
        </w:tc>
      </w:tr>
      <w:tr>
        <w:trPr>
          <w:cantSplit/>
        </w:trPr>
        <w:tc>
          <w:tcPr>
            <w:tcW w:type="dxa" w:w="25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Domain</w:t>
            </w:r>
          </w:p>
        </w:tc>
        <w:tc>
          <w:tcPr>
            <w:tcW w:type="dxa" w:w="68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A named slice of data plus the tasks/reports that touch it</w:t>
            </w:r>
          </w:p>
        </w:tc>
      </w:tr>
      <w:tr>
        <w:trPr>
          <w:cantSplit/>
        </w:trPr>
        <w:tc>
          <w:tcPr>
            <w:tcW w:type="dxa" w:w="25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Functional area</w:t>
            </w:r>
          </w:p>
        </w:tc>
        <w:tc>
          <w:tcPr>
            <w:tcW w:type="dxa" w:w="68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 grouping of related domains and business processes</w:t>
            </w:r>
          </w:p>
        </w:tc>
      </w:tr>
      <w:tr>
        <w:trPr>
          <w:cantSplit/>
        </w:trPr>
        <w:tc>
          <w:tcPr>
            <w:tcW w:type="dxa" w:w="25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Security group</w:t>
            </w:r>
          </w:p>
        </w:tc>
        <w:tc>
          <w:tcPr>
            <w:tcW w:type="dxa" w:w="68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A set of users/roles that share access (the WHO)</w:t>
            </w:r>
          </w:p>
        </w:tc>
      </w:tr>
      <w:tr>
        <w:trPr>
          <w:cantSplit/>
        </w:trPr>
        <w:tc>
          <w:tcPr>
            <w:tcW w:type="dxa" w:w="25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Business process</w:t>
            </w:r>
          </w:p>
        </w:tc>
        <w:tc>
          <w:tcPr>
            <w:tcW w:type="dxa" w:w="68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 configurable, delivered workflow of ordered steps</w:t>
            </w:r>
          </w:p>
        </w:tc>
      </w:tr>
      <w:tr>
        <w:trPr>
          <w:cantSplit/>
        </w:trPr>
        <w:tc>
          <w:tcPr>
            <w:tcW w:type="dxa" w:w="25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My Tasks</w:t>
            </w:r>
          </w:p>
        </w:tc>
        <w:tc>
          <w:tcPr>
            <w:tcW w:type="dxa" w:w="68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Your inbox of action items routed from processes</w:t>
            </w:r>
          </w:p>
        </w:tc>
      </w:tr>
      <w:tr>
        <w:trPr>
          <w:cantSplit/>
        </w:trPr>
        <w:tc>
          <w:tcPr>
            <w:tcW w:type="dxa" w:w="25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Related Actions</w:t>
            </w:r>
          </w:p>
        </w:tc>
        <w:tc>
          <w:tcPr>
            <w:tcW w:type="dxa" w:w="68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The per-object menu of everything you may do to it</w:t>
            </w:r>
          </w:p>
        </w:tc>
      </w:tr>
      <w:tr>
        <w:trPr>
          <w:cantSplit/>
        </w:trPr>
        <w:tc>
          <w:tcPr>
            <w:tcW w:type="dxa" w:w="25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Report Writer</w:t>
            </w:r>
          </w:p>
        </w:tc>
        <w:tc>
          <w:tcPr>
            <w:tcW w:type="dxa" w:w="68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The tool for building custom reports</w:t>
            </w:r>
          </w:p>
        </w:tc>
      </w:tr>
      <w:tr>
        <w:trPr>
          <w:cantSplit/>
        </w:trPr>
        <w:tc>
          <w:tcPr>
            <w:tcW w:type="dxa" w:w="25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Data source</w:t>
            </w:r>
          </w:p>
        </w:tc>
        <w:tc>
          <w:tcPr>
            <w:tcW w:type="dxa" w:w="68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The population that fills a report's business object</w:t>
            </w:r>
          </w:p>
        </w:tc>
      </w:tr>
      <w:tr>
        <w:trPr>
          <w:cantSplit/>
        </w:trPr>
        <w:tc>
          <w:tcPr>
            <w:tcW w:type="dxa" w:w="25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Calculated field</w:t>
            </w:r>
          </w:p>
        </w:tc>
        <w:tc>
          <w:tcPr>
            <w:tcW w:type="dxa" w:w="68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A reusable field that manipulates or derives data</w:t>
            </w:r>
          </w:p>
        </w:tc>
      </w:tr>
      <w:tr>
        <w:trPr>
          <w:cantSplit/>
        </w:trPr>
        <w:tc>
          <w:tcPr>
            <w:tcW w:type="dxa" w:w="25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RaaS</w:t>
            </w:r>
          </w:p>
        </w:tc>
        <w:tc>
          <w:tcPr>
            <w:tcW w:type="dxa" w:w="68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An Advanced report exposed as a web-service data source</w:t>
            </w:r>
          </w:p>
        </w:tc>
      </w:tr>
      <w:tr>
        <w:trPr>
          <w:cantSplit/>
        </w:trPr>
        <w:tc>
          <w:tcPr>
            <w:tcW w:type="dxa" w:w="25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EIB</w:t>
            </w:r>
          </w:p>
        </w:tc>
        <w:tc>
          <w:tcPr>
            <w:tcW w:type="dxa" w:w="68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No-code file integration: Get, Transform, Deliver</w:t>
            </w:r>
          </w:p>
        </w:tc>
      </w:tr>
      <w:tr>
        <w:trPr>
          <w:cantSplit/>
        </w:trPr>
        <w:tc>
          <w:tcPr>
            <w:tcW w:type="dxa" w:w="25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Core Connector</w:t>
            </w:r>
          </w:p>
        </w:tc>
        <w:tc>
          <w:tcPr>
            <w:tcW w:type="dxa" w:w="68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A pre-built, Workday-delivered integration template</w:t>
            </w:r>
          </w:p>
        </w:tc>
      </w:tr>
      <w:tr>
        <w:trPr>
          <w:cantSplit/>
        </w:trPr>
        <w:tc>
          <w:tcPr>
            <w:tcW w:type="dxa" w:w="250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Workday Studio</w:t>
            </w:r>
          </w:p>
        </w:tc>
        <w:tc>
          <w:tcPr>
            <w:tcW w:type="dxa" w:w="6860"/>
            <w:shd w:fill="FFFFFF" w:val="clear"/>
            <w:tcMar>
              <w:top w:type="dxa" w:w="60"/>
              <w:left w:type="dxa" w:w="110"/>
              <w:bottom w:type="dxa" w:w="60"/>
              <w:right w:type="dxa" w:w="110"/>
            </w:tcMar>
          </w:tcPr>
          <w:p>
            <w:pPr>
              <w:spacing w:line="244"/>
            </w:pPr>
            <w:r>
              <w:rPr>
                <w:rFonts w:ascii="Calibri" w:cs="Calibri" w:eastAsia="Calibri" w:hAnsi="Calibri"/>
                <w:sz w:val="19"/>
                <w:szCs w:val="19"/>
              </w:rPr>
              <w:t xml:space="preserve">IDE for complex, developer-built integrations</w:t>
            </w:r>
          </w:p>
        </w:tc>
      </w:tr>
      <w:tr>
        <w:trPr>
          <w:cantSplit/>
        </w:trPr>
        <w:tc>
          <w:tcPr>
            <w:tcW w:type="dxa" w:w="250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ISU / ISSG</w:t>
            </w:r>
          </w:p>
        </w:tc>
        <w:tc>
          <w:tcPr>
            <w:tcW w:type="dxa" w:w="6860"/>
            <w:shd w:fill="F4F7FA" w:val="clear"/>
            <w:tcMar>
              <w:top w:type="dxa" w:w="60"/>
              <w:left w:type="dxa" w:w="110"/>
              <w:bottom w:type="dxa" w:w="60"/>
              <w:right w:type="dxa" w:w="110"/>
            </w:tcMar>
          </w:tcPr>
          <w:p>
            <w:pPr>
              <w:spacing w:line="244"/>
            </w:pPr>
            <w:r>
              <w:rPr>
                <w:rFonts w:ascii="Calibri" w:cs="Calibri" w:eastAsia="Calibri" w:hAnsi="Calibri"/>
                <w:sz w:val="19"/>
                <w:szCs w:val="19"/>
              </w:rPr>
              <w:t xml:space="preserve">The service account and security group an integration runs as</w:t>
            </w:r>
          </w:p>
        </w:tc>
      </w:tr>
    </w:tbl>
    <w:p>
      <w:pPr>
        <w:pStyle w:val="Heading2"/>
        <w:spacing w:after="90" w:before="200"/>
      </w:pPr>
      <w:r>
        <w:rPr>
          <w:rFonts w:ascii="Calibri" w:cs="Calibri" w:eastAsia="Calibri" w:hAnsi="Calibri"/>
          <w:b/>
          <w:bCs/>
          <w:color w:val="1F5C8B"/>
          <w:sz w:val="27"/>
          <w:szCs w:val="27"/>
        </w:rPr>
        <w:t xml:space="preserve">Useful delivered reports for administrators</w:t>
      </w:r>
    </w:p>
    <w:p>
      <w:pPr>
        <w:pStyle w:val="ListParagraph"/>
        <w:numPr>
          <w:ilvl w:val="0"/>
          <w:numId w:val="1"/>
        </w:numPr>
        <w:spacing w:after="60" w:line="260"/>
      </w:pPr>
      <w:r>
        <w:rPr>
          <w:rFonts w:ascii="Consolas" w:cs="Consolas" w:eastAsia="Consolas" w:hAnsi="Consolas"/>
          <w:sz w:val="20"/>
          <w:szCs w:val="20"/>
        </w:rPr>
        <w:t xml:space="preserve">Domain Security Policies for Functional Area</w:t>
      </w:r>
      <w:r>
        <w:rPr>
          <w:rFonts w:ascii="Calibri" w:cs="Calibri" w:eastAsia="Calibri" w:hAnsi="Calibri"/>
          <w:sz w:val="21"/>
          <w:szCs w:val="21"/>
        </w:rPr>
        <w:t xml:space="preserve"> — review data-access configuration</w:t>
      </w:r>
    </w:p>
    <w:p>
      <w:pPr>
        <w:pStyle w:val="ListParagraph"/>
        <w:numPr>
          <w:ilvl w:val="0"/>
          <w:numId w:val="1"/>
        </w:numPr>
        <w:spacing w:after="60" w:line="260"/>
      </w:pPr>
      <w:r>
        <w:rPr>
          <w:rFonts w:ascii="Consolas" w:cs="Consolas" w:eastAsia="Consolas" w:hAnsi="Consolas"/>
          <w:sz w:val="20"/>
          <w:szCs w:val="20"/>
        </w:rPr>
        <w:t xml:space="preserve">Business Process Security Policies for Functional Area</w:t>
      </w:r>
      <w:r>
        <w:rPr>
          <w:rFonts w:ascii="Calibri" w:cs="Calibri" w:eastAsia="Calibri" w:hAnsi="Calibri"/>
          <w:sz w:val="21"/>
          <w:szCs w:val="21"/>
        </w:rPr>
        <w:t xml:space="preserve"> — review who can act on workflows</w:t>
      </w:r>
    </w:p>
    <w:p>
      <w:pPr>
        <w:pStyle w:val="ListParagraph"/>
        <w:numPr>
          <w:ilvl w:val="0"/>
          <w:numId w:val="1"/>
        </w:numPr>
        <w:spacing w:after="60" w:line="260"/>
      </w:pPr>
      <w:r>
        <w:rPr>
          <w:rFonts w:ascii="Consolas" w:cs="Consolas" w:eastAsia="Consolas" w:hAnsi="Consolas"/>
          <w:sz w:val="20"/>
          <w:szCs w:val="20"/>
        </w:rPr>
        <w:t xml:space="preserve">View Security Group</w:t>
      </w:r>
      <w:r>
        <w:rPr>
          <w:rFonts w:ascii="Calibri" w:cs="Calibri" w:eastAsia="Calibri" w:hAnsi="Calibri"/>
          <w:sz w:val="21"/>
          <w:szCs w:val="21"/>
        </w:rPr>
        <w:t xml:space="preserve"> — inspect a group's membership and access</w:t>
      </w:r>
    </w:p>
    <w:p>
      <w:pPr>
        <w:pStyle w:val="ListParagraph"/>
        <w:numPr>
          <w:ilvl w:val="0"/>
          <w:numId w:val="1"/>
        </w:numPr>
        <w:spacing w:after="60" w:line="260"/>
      </w:pPr>
      <w:r>
        <w:rPr>
          <w:rFonts w:ascii="Consolas" w:cs="Consolas" w:eastAsia="Consolas" w:hAnsi="Consolas"/>
          <w:sz w:val="20"/>
          <w:szCs w:val="20"/>
        </w:rPr>
        <w:t xml:space="preserve">Security Analysis for Workday Account</w:t>
      </w:r>
      <w:r>
        <w:rPr>
          <w:rFonts w:ascii="Calibri" w:cs="Calibri" w:eastAsia="Calibri" w:hAnsi="Calibri"/>
          <w:sz w:val="21"/>
          <w:szCs w:val="21"/>
        </w:rPr>
        <w:t xml:space="preserve"> — see a user's cumulative access</w:t>
      </w:r>
    </w:p>
    <w:p>
      <w:pPr>
        <w:pStyle w:val="Heading2"/>
        <w:spacing w:after="90" w:before="200"/>
      </w:pPr>
      <w:r>
        <w:rPr>
          <w:rFonts w:ascii="Calibri" w:cs="Calibri" w:eastAsia="Calibri" w:hAnsi="Calibri"/>
          <w:b/>
          <w:bCs/>
          <w:color w:val="1F5C8B"/>
          <w:sz w:val="27"/>
          <w:szCs w:val="27"/>
        </w:rPr>
        <w:t xml:space="preserve">Habits worth building</w:t>
      </w:r>
    </w:p>
    <w:p>
      <w:pPr>
        <w:pStyle w:val="ListParagraph"/>
        <w:numPr>
          <w:ilvl w:val="0"/>
          <w:numId w:val="1"/>
        </w:numPr>
        <w:spacing w:after="60" w:line="260"/>
      </w:pPr>
      <w:r>
        <w:rPr>
          <w:rFonts w:ascii="Calibri" w:cs="Calibri" w:eastAsia="Calibri" w:hAnsi="Calibri"/>
          <w:sz w:val="21"/>
          <w:szCs w:val="21"/>
        </w:rPr>
        <w:t xml:space="preserve">Search first, then use Related Actions — it is faster than any menu path.</w:t>
      </w:r>
    </w:p>
    <w:p>
      <w:pPr>
        <w:pStyle w:val="ListParagraph"/>
        <w:numPr>
          <w:ilvl w:val="0"/>
          <w:numId w:val="1"/>
        </w:numPr>
        <w:spacing w:after="60" w:line="260"/>
      </w:pPr>
      <w:r>
        <w:rPr>
          <w:rFonts w:ascii="Calibri" w:cs="Calibri" w:eastAsia="Calibri" w:hAnsi="Calibri"/>
          <w:sz w:val="21"/>
          <w:szCs w:val="21"/>
        </w:rPr>
        <w:t xml:space="preserve">When access breaks, check both the business process policy and the underlying domain policy.</w:t>
      </w:r>
    </w:p>
    <w:p>
      <w:pPr>
        <w:pStyle w:val="ListParagraph"/>
        <w:numPr>
          <w:ilvl w:val="0"/>
          <w:numId w:val="1"/>
        </w:numPr>
        <w:spacing w:after="60" w:line="260"/>
      </w:pPr>
      <w:r>
        <w:rPr>
          <w:rFonts w:ascii="Calibri" w:cs="Calibri" w:eastAsia="Calibri" w:hAnsi="Calibri"/>
          <w:sz w:val="21"/>
          <w:szCs w:val="21"/>
        </w:rPr>
        <w:t xml:space="preserve">Build access with role-based, constrained groups, not named users.</w:t>
      </w:r>
    </w:p>
    <w:p>
      <w:pPr>
        <w:pStyle w:val="ListParagraph"/>
        <w:numPr>
          <w:ilvl w:val="0"/>
          <w:numId w:val="1"/>
        </w:numPr>
        <w:spacing w:after="60" w:line="260"/>
      </w:pPr>
      <w:r>
        <w:rPr>
          <w:rFonts w:ascii="Calibri" w:cs="Calibri" w:eastAsia="Calibri" w:hAnsi="Calibri"/>
          <w:sz w:val="21"/>
          <w:szCs w:val="21"/>
        </w:rPr>
        <w:t xml:space="preserve">Learn the Advanced report well; it unlocks both reporting and integrations.</w:t>
      </w:r>
    </w:p>
    <w:p>
      <w:pPr>
        <w:pStyle w:val="ListParagraph"/>
        <w:numPr>
          <w:ilvl w:val="0"/>
          <w:numId w:val="1"/>
        </w:numPr>
        <w:spacing w:after="60" w:line="260"/>
      </w:pPr>
      <w:r>
        <w:rPr>
          <w:rFonts w:ascii="Calibri" w:cs="Calibri" w:eastAsia="Calibri" w:hAnsi="Calibri"/>
          <w:sz w:val="21"/>
          <w:szCs w:val="21"/>
        </w:rPr>
        <w:t xml:space="preserve">Test configuration in a sandbox tenant before touching production.</w:t>
      </w:r>
    </w:p>
    <w:p>
      <w:pPr>
        <w:spacing w:after="160"/>
      </w:pPr>
      <w:r>
        <w:rPr>
          <w:sz w:val="2"/>
          <w:szCs w:val="2"/>
        </w:rPr>
        <w:t xml:space="preserve"/>
      </w:r>
    </w:p>
    <w:p>
      <w:pPr>
        <w:pBdr>
          <w:top w:val="single" w:color="B9C2CD" w:sz="4" w:space="8"/>
        </w:pBdr>
        <w:spacing w:after="0"/>
      </w:pPr>
      <w:r>
        <w:rPr>
          <w:rFonts w:ascii="Calibri" w:cs="Calibri" w:eastAsia="Calibri" w:hAnsi="Calibri"/>
          <w:i/>
          <w:iCs/>
          <w:color w:val="5B6672"/>
          <w:sz w:val="18"/>
          <w:szCs w:val="18"/>
        </w:rPr>
        <w:t xml:space="preserve">Note on currency: this reference reflects the Workday 2025R2 (fall 2025) release. Because Workday delivers new features every March and September, verify specific screen labels and newly added capabilities against your own tenant and Workday's release notes.</w:t>
      </w:r>
    </w:p>
    <w:sectPr>
      <w:footerReference w:type="default" r:id="rId7"/>
      <w:pgSz w:w="12240" w:h="15840" w:orient="portrait"/>
      <w:pgMar w:top="108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2CD" w:sz="4" w:space="6"/>
      </w:pBdr>
      <w:jc w:val="center"/>
    </w:pPr>
    <w:r>
      <w:rPr>
        <w:rFonts w:ascii="Calibri" w:cs="Calibri" w:eastAsia="Calibri" w:hAnsi="Calibri"/>
        <w:color w:val="5B6672"/>
        <w:sz w:val="16"/>
        <w:szCs w:val="16"/>
      </w:rPr>
      <w:t xml:space="preserve">Workday — A Self-Study Reference     </w:t>
    </w:r>
    <w:r>
      <w:rPr>
        <w:rFonts w:ascii="Calibri" w:cs="Calibri" w:eastAsia="Calibri" w:hAnsi="Calibri"/>
        <w:color w:val="5B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2026-07-10T16:31:02.189Z</dcterms:created>
  <dcterms:modified xsi:type="dcterms:W3CDTF">2026-07-10T16:31:02.189Z</dcterms:modified>
</cp:coreProperties>
</file>

<file path=docProps/custom.xml><?xml version="1.0" encoding="utf-8"?>
<Properties xmlns="http://schemas.openxmlformats.org/officeDocument/2006/custom-properties" xmlns:vt="http://schemas.openxmlformats.org/officeDocument/2006/docPropsVTypes"/>
</file>