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C5EC3" w14:textId="28500E93" w:rsidR="00D223C1" w:rsidRPr="00877554" w:rsidRDefault="00D223C1">
      <w:pPr>
        <w:rPr>
          <w:rFonts w:ascii="Arial" w:hAnsi="Arial" w:cs="Arial"/>
        </w:rPr>
      </w:pPr>
      <w:r w:rsidRPr="00877554">
        <w:rPr>
          <w:rFonts w:ascii="Arial" w:hAnsi="Arial" w:cs="Arial"/>
        </w:rPr>
        <w:t xml:space="preserve">To: </w:t>
      </w:r>
      <w:r w:rsidRPr="00877554">
        <w:rPr>
          <w:rFonts w:ascii="Arial" w:hAnsi="Arial" w:cs="Arial"/>
        </w:rPr>
        <w:tab/>
      </w:r>
      <w:r w:rsidRPr="00877554">
        <w:rPr>
          <w:rFonts w:ascii="Arial" w:hAnsi="Arial" w:cs="Arial"/>
        </w:rPr>
        <w:tab/>
        <w:t>Justin Elszasz</w:t>
      </w:r>
    </w:p>
    <w:p w14:paraId="73A5B8FA" w14:textId="1995F120" w:rsidR="00D223C1" w:rsidRPr="00877554" w:rsidRDefault="00D223C1">
      <w:pPr>
        <w:rPr>
          <w:rFonts w:ascii="Arial" w:hAnsi="Arial" w:cs="Arial"/>
        </w:rPr>
      </w:pPr>
      <w:r w:rsidRPr="00877554">
        <w:rPr>
          <w:rFonts w:ascii="Arial" w:hAnsi="Arial" w:cs="Arial"/>
        </w:rPr>
        <w:t>CC:</w:t>
      </w:r>
      <w:r w:rsidRPr="00877554">
        <w:rPr>
          <w:rFonts w:ascii="Arial" w:hAnsi="Arial" w:cs="Arial"/>
        </w:rPr>
        <w:tab/>
      </w:r>
      <w:r w:rsidRPr="00877554">
        <w:rPr>
          <w:rFonts w:ascii="Arial" w:hAnsi="Arial" w:cs="Arial"/>
        </w:rPr>
        <w:tab/>
        <w:t>Belinda Harris</w:t>
      </w:r>
    </w:p>
    <w:p w14:paraId="7E512BD0" w14:textId="41D81477" w:rsidR="00D223C1" w:rsidRPr="00877554" w:rsidRDefault="00D223C1">
      <w:pPr>
        <w:rPr>
          <w:rFonts w:ascii="Arial" w:hAnsi="Arial" w:cs="Arial"/>
        </w:rPr>
      </w:pPr>
      <w:r w:rsidRPr="00877554">
        <w:rPr>
          <w:rFonts w:ascii="Arial" w:hAnsi="Arial" w:cs="Arial"/>
        </w:rPr>
        <w:t xml:space="preserve">From: </w:t>
      </w:r>
      <w:r w:rsidRPr="00877554">
        <w:rPr>
          <w:rFonts w:ascii="Arial" w:hAnsi="Arial" w:cs="Arial"/>
        </w:rPr>
        <w:tab/>
      </w:r>
      <w:r w:rsidRPr="00877554">
        <w:rPr>
          <w:rFonts w:ascii="Arial" w:hAnsi="Arial" w:cs="Arial"/>
        </w:rPr>
        <w:tab/>
        <w:t>Micah Rufsvold, Data Analyst Applicant</w:t>
      </w:r>
    </w:p>
    <w:p w14:paraId="6A0AC766" w14:textId="5F54589B" w:rsidR="00D223C1" w:rsidRPr="00877554" w:rsidRDefault="00D223C1">
      <w:pPr>
        <w:rPr>
          <w:rFonts w:ascii="Arial" w:hAnsi="Arial" w:cs="Arial"/>
        </w:rPr>
      </w:pPr>
      <w:r w:rsidRPr="00877554">
        <w:rPr>
          <w:rFonts w:ascii="Arial" w:hAnsi="Arial" w:cs="Arial"/>
        </w:rPr>
        <w:t xml:space="preserve">Date: </w:t>
      </w:r>
      <w:r w:rsidRPr="00877554">
        <w:rPr>
          <w:rFonts w:ascii="Arial" w:hAnsi="Arial" w:cs="Arial"/>
        </w:rPr>
        <w:tab/>
      </w:r>
      <w:r w:rsidRPr="00877554">
        <w:rPr>
          <w:rFonts w:ascii="Arial" w:hAnsi="Arial" w:cs="Arial"/>
        </w:rPr>
        <w:tab/>
        <w:t>11 November 2020</w:t>
      </w:r>
    </w:p>
    <w:p w14:paraId="6F35F5CD" w14:textId="3F2A92F3" w:rsidR="00D223C1" w:rsidRPr="00877554" w:rsidRDefault="00D223C1">
      <w:pPr>
        <w:rPr>
          <w:rFonts w:ascii="Arial" w:hAnsi="Arial" w:cs="Arial"/>
        </w:rPr>
      </w:pPr>
      <w:r w:rsidRPr="00877554">
        <w:rPr>
          <w:rFonts w:ascii="Arial" w:hAnsi="Arial" w:cs="Arial"/>
        </w:rPr>
        <w:t xml:space="preserve">Subject: </w:t>
      </w:r>
      <w:r w:rsidRPr="00877554">
        <w:rPr>
          <w:rFonts w:ascii="Arial" w:hAnsi="Arial" w:cs="Arial"/>
        </w:rPr>
        <w:tab/>
        <w:t>Solid Waste Service Request Trends</w:t>
      </w:r>
    </w:p>
    <w:p w14:paraId="2F1C589F" w14:textId="6D808B4C" w:rsidR="00D223C1" w:rsidRPr="00877554" w:rsidRDefault="00D223C1">
      <w:pPr>
        <w:rPr>
          <w:rFonts w:ascii="Arial" w:hAnsi="Arial" w:cs="Arial"/>
        </w:rPr>
      </w:pPr>
    </w:p>
    <w:p w14:paraId="776CE402" w14:textId="519BF01A" w:rsidR="00D223C1" w:rsidRPr="00877554" w:rsidRDefault="00D223C1">
      <w:pPr>
        <w:rPr>
          <w:rFonts w:ascii="Arial" w:hAnsi="Arial" w:cs="Arial"/>
          <w:b/>
          <w:bCs/>
        </w:rPr>
      </w:pPr>
      <w:r w:rsidRPr="00877554">
        <w:rPr>
          <w:rFonts w:ascii="Arial" w:hAnsi="Arial" w:cs="Arial"/>
          <w:b/>
          <w:bCs/>
        </w:rPr>
        <w:t>Summary</w:t>
      </w:r>
    </w:p>
    <w:p w14:paraId="2106224A" w14:textId="373809BC" w:rsidR="001846EC" w:rsidRDefault="00877554">
      <w:pPr>
        <w:rPr>
          <w:rFonts w:ascii="Arial" w:hAnsi="Arial" w:cs="Arial"/>
        </w:rPr>
      </w:pPr>
      <w:r w:rsidRPr="00877554">
        <w:rPr>
          <w:rFonts w:ascii="Arial" w:hAnsi="Arial" w:cs="Arial"/>
        </w:rPr>
        <w:t xml:space="preserve">The </w:t>
      </w:r>
      <w:r w:rsidR="00CD608F">
        <w:rPr>
          <w:rFonts w:ascii="Arial" w:hAnsi="Arial" w:cs="Arial"/>
        </w:rPr>
        <w:t>Bureau</w:t>
      </w:r>
      <w:r w:rsidRPr="00877554">
        <w:rPr>
          <w:rFonts w:ascii="Arial" w:hAnsi="Arial" w:cs="Arial"/>
        </w:rPr>
        <w:t xml:space="preserve"> of Solid Waste has answered the call of hundreds of thousands of requests in the last three years. </w:t>
      </w:r>
      <w:r>
        <w:rPr>
          <w:rFonts w:ascii="Arial" w:hAnsi="Arial" w:cs="Arial"/>
        </w:rPr>
        <w:t>Serving this huge</w:t>
      </w:r>
      <w:r w:rsidRPr="00877554">
        <w:rPr>
          <w:rFonts w:ascii="Arial" w:hAnsi="Arial" w:cs="Arial"/>
        </w:rPr>
        <w:t xml:space="preserve"> volume of </w:t>
      </w:r>
      <w:r>
        <w:rPr>
          <w:rFonts w:ascii="Arial" w:hAnsi="Arial" w:cs="Arial"/>
        </w:rPr>
        <w:t xml:space="preserve">essential services is a significant undertaking, and unfortunately, has overwhelmed the </w:t>
      </w:r>
      <w:r w:rsidR="00CD608F">
        <w:rPr>
          <w:rFonts w:ascii="Arial" w:hAnsi="Arial" w:cs="Arial"/>
        </w:rPr>
        <w:t>Bureau</w:t>
      </w:r>
      <w:r w:rsidR="00137529">
        <w:rPr>
          <w:rFonts w:ascii="Arial" w:hAnsi="Arial" w:cs="Arial"/>
        </w:rPr>
        <w:t>’s</w:t>
      </w:r>
      <w:r w:rsidR="00CD608F" w:rsidRPr="00877554">
        <w:rPr>
          <w:rFonts w:ascii="Arial" w:hAnsi="Arial" w:cs="Arial"/>
        </w:rPr>
        <w:t xml:space="preserve"> </w:t>
      </w:r>
      <w:r>
        <w:rPr>
          <w:rFonts w:ascii="Arial" w:hAnsi="Arial" w:cs="Arial"/>
        </w:rPr>
        <w:t>ability to meet its deadlines</w:t>
      </w:r>
      <w:r w:rsidR="001846EC">
        <w:rPr>
          <w:rFonts w:ascii="Arial" w:hAnsi="Arial" w:cs="Arial"/>
        </w:rPr>
        <w:t xml:space="preserve"> in many cases. According to the records of the services administered by the </w:t>
      </w:r>
      <w:r w:rsidR="00CD608F">
        <w:rPr>
          <w:rFonts w:ascii="Arial" w:hAnsi="Arial" w:cs="Arial"/>
        </w:rPr>
        <w:t>Bureau</w:t>
      </w:r>
      <w:r w:rsidR="001846EC">
        <w:rPr>
          <w:rFonts w:ascii="Arial" w:hAnsi="Arial" w:cs="Arial"/>
        </w:rPr>
        <w:t xml:space="preserve">, after a spike in overdue services in fall of 2018, the overall percent of overdue services has remained high, hovering around 45%. This analysis had insufficient data to project the degree to which the burden of late services impacted Baltimoreans whom our government has historically underserved, but using crime data as a rough proxy showed </w:t>
      </w:r>
      <w:r w:rsidR="0094140B">
        <w:rPr>
          <w:rFonts w:ascii="Arial" w:hAnsi="Arial" w:cs="Arial"/>
        </w:rPr>
        <w:t>some mildly positive news. T</w:t>
      </w:r>
      <w:r w:rsidR="00E46CF1">
        <w:rPr>
          <w:rFonts w:ascii="Arial" w:hAnsi="Arial" w:cs="Arial"/>
        </w:rPr>
        <w:t xml:space="preserve">he Bureau has </w:t>
      </w:r>
      <w:r w:rsidR="0094140B">
        <w:rPr>
          <w:rFonts w:ascii="Arial" w:hAnsi="Arial" w:cs="Arial"/>
        </w:rPr>
        <w:t>administered services with no measurable correlation with crime rates</w:t>
      </w:r>
      <w:r w:rsidR="00CD608F">
        <w:rPr>
          <w:rFonts w:ascii="Arial" w:hAnsi="Arial" w:cs="Arial"/>
        </w:rPr>
        <w:t xml:space="preserve">. </w:t>
      </w:r>
    </w:p>
    <w:p w14:paraId="791CED9C" w14:textId="539CE758" w:rsidR="00137529" w:rsidRDefault="00137529">
      <w:pPr>
        <w:rPr>
          <w:rFonts w:ascii="Arial" w:hAnsi="Arial" w:cs="Arial"/>
        </w:rPr>
      </w:pPr>
      <w:r>
        <w:rPr>
          <w:rFonts w:ascii="Arial" w:hAnsi="Arial" w:cs="Arial"/>
          <w:b/>
          <w:bCs/>
        </w:rPr>
        <w:t>Background</w:t>
      </w:r>
      <w:r w:rsidR="000879FD">
        <w:rPr>
          <w:rFonts w:ascii="Arial" w:hAnsi="Arial" w:cs="Arial"/>
          <w:b/>
          <w:bCs/>
        </w:rPr>
        <w:t xml:space="preserve"> and General Observations</w:t>
      </w:r>
    </w:p>
    <w:p w14:paraId="0B844807" w14:textId="0A9C5185" w:rsidR="00473D2A" w:rsidRDefault="00137529">
      <w:pPr>
        <w:rPr>
          <w:rFonts w:ascii="Arial" w:hAnsi="Arial" w:cs="Arial"/>
        </w:rPr>
      </w:pPr>
      <w:r>
        <w:rPr>
          <w:rFonts w:ascii="Arial" w:hAnsi="Arial" w:cs="Arial"/>
        </w:rPr>
        <w:t>From 2017 through 2019, the Bureau saw the totals</w:t>
      </w:r>
      <w:r w:rsidR="00B1681D">
        <w:rPr>
          <w:rFonts w:ascii="Arial" w:hAnsi="Arial" w:cs="Arial"/>
        </w:rPr>
        <w:t xml:space="preserve"> in the following table</w:t>
      </w:r>
      <w:r>
        <w:rPr>
          <w:rFonts w:ascii="Arial" w:hAnsi="Arial" w:cs="Arial"/>
        </w:rPr>
        <w:t xml:space="preserve"> for each category of SW request</w:t>
      </w:r>
      <w:r w:rsidR="00B1681D">
        <w:rPr>
          <w:rFonts w:ascii="Arial" w:hAnsi="Arial" w:cs="Arial"/>
        </w:rPr>
        <w:t xml:space="preserve">, </w:t>
      </w:r>
      <w:r w:rsidR="00B1681D">
        <w:rPr>
          <w:rFonts w:ascii="Arial" w:hAnsi="Arial" w:cs="Arial"/>
        </w:rPr>
        <w:t>not including proactive measures</w:t>
      </w:r>
      <w:r w:rsidR="00B1681D">
        <w:rPr>
          <w:rFonts w:ascii="Arial" w:hAnsi="Arial" w:cs="Arial"/>
        </w:rPr>
        <w:t xml:space="preserve">. </w:t>
      </w:r>
      <w:r w:rsidR="002604E7">
        <w:rPr>
          <w:rFonts w:ascii="Arial" w:hAnsi="Arial" w:cs="Arial"/>
        </w:rPr>
        <w:t xml:space="preserve">In 2017, 2018, and 2019, the Bureau saw an overall rate of overdue services at 26%, 34%, and 51%, respectively. You can see its change </w:t>
      </w:r>
      <w:r w:rsidR="00473D2A">
        <w:rPr>
          <w:rFonts w:ascii="Arial" w:hAnsi="Arial" w:cs="Arial"/>
        </w:rPr>
        <w:t>over time below as well</w:t>
      </w:r>
      <w:r w:rsidR="002604E7">
        <w:rPr>
          <w:rFonts w:ascii="Arial" w:hAnsi="Arial" w:cs="Arial"/>
        </w:rPr>
        <w:t xml:space="preserve">. Obviously, the influx of late 2018 set 2019 to face some major challenges. Further information about </w:t>
      </w:r>
      <w:r w:rsidR="00B1681D">
        <w:rPr>
          <w:rFonts w:ascii="Arial" w:hAnsi="Arial" w:cs="Arial"/>
        </w:rPr>
        <w:t>that</w:t>
      </w:r>
      <w:r w:rsidR="002604E7">
        <w:rPr>
          <w:rFonts w:ascii="Arial" w:hAnsi="Arial" w:cs="Arial"/>
        </w:rPr>
        <w:t xml:space="preserve"> time is required to contextualize this </w:t>
      </w:r>
      <w:r w:rsidR="00B1681D">
        <w:rPr>
          <w:rFonts w:ascii="Arial" w:hAnsi="Arial" w:cs="Arial"/>
        </w:rPr>
        <w:t>situation</w:t>
      </w:r>
      <w:r w:rsidR="002604E7">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504"/>
        <w:gridCol w:w="1504"/>
        <w:gridCol w:w="1504"/>
      </w:tblGrid>
      <w:tr w:rsidR="00E60112" w14:paraId="0840DD05" w14:textId="43963F69" w:rsidTr="007023C4">
        <w:trPr>
          <w:trHeight w:val="280"/>
        </w:trPr>
        <w:tc>
          <w:tcPr>
            <w:tcW w:w="1428" w:type="dxa"/>
          </w:tcPr>
          <w:p w14:paraId="4448A2A0" w14:textId="4F377954" w:rsidR="00E60112" w:rsidRPr="00137529" w:rsidRDefault="00E60112">
            <w:pPr>
              <w:rPr>
                <w:rFonts w:ascii="Arial" w:hAnsi="Arial" w:cs="Arial"/>
                <w:b/>
                <w:bCs/>
              </w:rPr>
            </w:pPr>
            <w:r w:rsidRPr="00137529">
              <w:rPr>
                <w:rFonts w:ascii="Arial" w:hAnsi="Arial" w:cs="Arial"/>
                <w:b/>
                <w:bCs/>
              </w:rPr>
              <w:t>SR Type</w:t>
            </w:r>
          </w:p>
        </w:tc>
        <w:tc>
          <w:tcPr>
            <w:tcW w:w="1504" w:type="dxa"/>
          </w:tcPr>
          <w:p w14:paraId="3193A580" w14:textId="4EA495A3" w:rsidR="00E60112" w:rsidRPr="00137529" w:rsidRDefault="00E60112">
            <w:pPr>
              <w:rPr>
                <w:rFonts w:ascii="Arial" w:hAnsi="Arial" w:cs="Arial"/>
                <w:b/>
                <w:bCs/>
              </w:rPr>
            </w:pPr>
            <w:r w:rsidRPr="00137529">
              <w:rPr>
                <w:rFonts w:ascii="Arial" w:hAnsi="Arial" w:cs="Arial"/>
                <w:b/>
                <w:bCs/>
              </w:rPr>
              <w:t>Request Count</w:t>
            </w:r>
          </w:p>
        </w:tc>
        <w:tc>
          <w:tcPr>
            <w:tcW w:w="1504" w:type="dxa"/>
          </w:tcPr>
          <w:p w14:paraId="2D3F50A0" w14:textId="301E94D7" w:rsidR="00E60112" w:rsidRPr="00137529" w:rsidRDefault="00E60112">
            <w:pPr>
              <w:rPr>
                <w:rFonts w:ascii="Arial" w:hAnsi="Arial" w:cs="Arial"/>
                <w:b/>
                <w:bCs/>
              </w:rPr>
            </w:pPr>
            <w:r>
              <w:rPr>
                <w:rFonts w:ascii="Arial" w:hAnsi="Arial" w:cs="Arial"/>
                <w:b/>
                <w:bCs/>
              </w:rPr>
              <w:t>Ave Days Overdue</w:t>
            </w:r>
          </w:p>
        </w:tc>
        <w:tc>
          <w:tcPr>
            <w:tcW w:w="1504" w:type="dxa"/>
          </w:tcPr>
          <w:p w14:paraId="760B76E2" w14:textId="7E131D23" w:rsidR="00E60112" w:rsidRDefault="00E60112">
            <w:pPr>
              <w:rPr>
                <w:rFonts w:ascii="Arial" w:hAnsi="Arial" w:cs="Arial"/>
                <w:b/>
                <w:bCs/>
              </w:rPr>
            </w:pPr>
            <w:r>
              <w:rPr>
                <w:rFonts w:ascii="Arial" w:hAnsi="Arial" w:cs="Arial"/>
                <w:b/>
                <w:bCs/>
              </w:rPr>
              <w:t xml:space="preserve">Standard Deviation </w:t>
            </w:r>
          </w:p>
        </w:tc>
      </w:tr>
      <w:tr w:rsidR="00E60112" w14:paraId="7A44A5A7" w14:textId="30DCB0D7" w:rsidTr="007023C4">
        <w:trPr>
          <w:trHeight w:val="280"/>
        </w:trPr>
        <w:tc>
          <w:tcPr>
            <w:tcW w:w="1428" w:type="dxa"/>
          </w:tcPr>
          <w:p w14:paraId="3B6BC12A" w14:textId="71AA5CE2" w:rsidR="00E60112" w:rsidRDefault="00E60112">
            <w:pPr>
              <w:rPr>
                <w:rFonts w:ascii="Arial" w:hAnsi="Arial" w:cs="Arial"/>
              </w:rPr>
            </w:pPr>
            <w:r w:rsidRPr="00137529">
              <w:rPr>
                <w:rFonts w:ascii="Arial" w:hAnsi="Arial" w:cs="Arial"/>
              </w:rPr>
              <w:t>Boarding</w:t>
            </w:r>
          </w:p>
        </w:tc>
        <w:tc>
          <w:tcPr>
            <w:tcW w:w="1504" w:type="dxa"/>
          </w:tcPr>
          <w:p w14:paraId="2FDE3283" w14:textId="5CD95B92" w:rsidR="00E60112" w:rsidRDefault="00E60112">
            <w:pPr>
              <w:rPr>
                <w:rFonts w:ascii="Arial" w:hAnsi="Arial" w:cs="Arial"/>
              </w:rPr>
            </w:pPr>
            <w:r w:rsidRPr="00137529">
              <w:rPr>
                <w:rFonts w:ascii="Arial" w:hAnsi="Arial" w:cs="Arial"/>
              </w:rPr>
              <w:t>24477</w:t>
            </w:r>
          </w:p>
        </w:tc>
        <w:tc>
          <w:tcPr>
            <w:tcW w:w="1504" w:type="dxa"/>
          </w:tcPr>
          <w:p w14:paraId="62349D37" w14:textId="16A5DEBD" w:rsidR="00E60112" w:rsidRPr="00137529" w:rsidRDefault="00E60112">
            <w:pPr>
              <w:rPr>
                <w:rFonts w:ascii="Arial" w:hAnsi="Arial" w:cs="Arial"/>
              </w:rPr>
            </w:pPr>
            <w:r>
              <w:rPr>
                <w:rFonts w:ascii="Arial" w:hAnsi="Arial" w:cs="Arial"/>
              </w:rPr>
              <w:t>-1.4</w:t>
            </w:r>
          </w:p>
        </w:tc>
        <w:tc>
          <w:tcPr>
            <w:tcW w:w="1504" w:type="dxa"/>
          </w:tcPr>
          <w:p w14:paraId="1D7901F2" w14:textId="3C1137B2" w:rsidR="00E60112" w:rsidRPr="00137529" w:rsidRDefault="00E60112">
            <w:pPr>
              <w:rPr>
                <w:rFonts w:ascii="Arial" w:hAnsi="Arial" w:cs="Arial"/>
              </w:rPr>
            </w:pPr>
            <w:r>
              <w:rPr>
                <w:rFonts w:ascii="Arial" w:hAnsi="Arial" w:cs="Arial"/>
              </w:rPr>
              <w:t>6.6</w:t>
            </w:r>
          </w:p>
        </w:tc>
      </w:tr>
      <w:tr w:rsidR="00E60112" w14:paraId="6654373A" w14:textId="464C7296" w:rsidTr="007023C4">
        <w:trPr>
          <w:trHeight w:val="280"/>
        </w:trPr>
        <w:tc>
          <w:tcPr>
            <w:tcW w:w="1428" w:type="dxa"/>
          </w:tcPr>
          <w:p w14:paraId="3693DE3F" w14:textId="144ED151" w:rsidR="00E60112" w:rsidRDefault="00E60112">
            <w:pPr>
              <w:rPr>
                <w:rFonts w:ascii="Arial" w:hAnsi="Arial" w:cs="Arial"/>
              </w:rPr>
            </w:pPr>
            <w:r w:rsidRPr="00137529">
              <w:rPr>
                <w:rFonts w:ascii="Arial" w:hAnsi="Arial" w:cs="Arial"/>
              </w:rPr>
              <w:t xml:space="preserve">Cleaning        </w:t>
            </w:r>
          </w:p>
        </w:tc>
        <w:tc>
          <w:tcPr>
            <w:tcW w:w="1504" w:type="dxa"/>
          </w:tcPr>
          <w:p w14:paraId="61C1E3FC" w14:textId="3B6648A4" w:rsidR="00E60112" w:rsidRDefault="00E60112">
            <w:pPr>
              <w:rPr>
                <w:rFonts w:ascii="Arial" w:hAnsi="Arial" w:cs="Arial"/>
              </w:rPr>
            </w:pPr>
            <w:r w:rsidRPr="00137529">
              <w:rPr>
                <w:rFonts w:ascii="Arial" w:hAnsi="Arial" w:cs="Arial"/>
              </w:rPr>
              <w:t>37157</w:t>
            </w:r>
          </w:p>
        </w:tc>
        <w:tc>
          <w:tcPr>
            <w:tcW w:w="1504" w:type="dxa"/>
          </w:tcPr>
          <w:p w14:paraId="2932ED11" w14:textId="67EA3DEF" w:rsidR="00E60112" w:rsidRPr="00137529" w:rsidRDefault="00E60112">
            <w:pPr>
              <w:rPr>
                <w:rFonts w:ascii="Arial" w:hAnsi="Arial" w:cs="Arial"/>
              </w:rPr>
            </w:pPr>
            <w:r>
              <w:rPr>
                <w:rFonts w:ascii="Arial" w:hAnsi="Arial" w:cs="Arial"/>
              </w:rPr>
              <w:t>-36.5</w:t>
            </w:r>
          </w:p>
        </w:tc>
        <w:tc>
          <w:tcPr>
            <w:tcW w:w="1504" w:type="dxa"/>
          </w:tcPr>
          <w:p w14:paraId="7DD4BDE1" w14:textId="07BF98FC" w:rsidR="00E60112" w:rsidRPr="00137529" w:rsidRDefault="00E60112">
            <w:pPr>
              <w:rPr>
                <w:rFonts w:ascii="Arial" w:hAnsi="Arial" w:cs="Arial"/>
              </w:rPr>
            </w:pPr>
            <w:r>
              <w:rPr>
                <w:rFonts w:ascii="Arial" w:hAnsi="Arial" w:cs="Arial"/>
              </w:rPr>
              <w:t>50.4</w:t>
            </w:r>
          </w:p>
        </w:tc>
      </w:tr>
      <w:tr w:rsidR="00E60112" w14:paraId="74F5A7D1" w14:textId="65855553" w:rsidTr="007023C4">
        <w:trPr>
          <w:trHeight w:val="263"/>
        </w:trPr>
        <w:tc>
          <w:tcPr>
            <w:tcW w:w="1428" w:type="dxa"/>
          </w:tcPr>
          <w:p w14:paraId="47D78F80" w14:textId="193D26B1" w:rsidR="00E60112" w:rsidRDefault="00E60112">
            <w:pPr>
              <w:rPr>
                <w:rFonts w:ascii="Arial" w:hAnsi="Arial" w:cs="Arial"/>
              </w:rPr>
            </w:pPr>
            <w:r w:rsidRPr="00137529">
              <w:rPr>
                <w:rFonts w:ascii="Arial" w:hAnsi="Arial" w:cs="Arial"/>
              </w:rPr>
              <w:t>Dirty Alley</w:t>
            </w:r>
          </w:p>
        </w:tc>
        <w:tc>
          <w:tcPr>
            <w:tcW w:w="1504" w:type="dxa"/>
          </w:tcPr>
          <w:p w14:paraId="33A8FCC4" w14:textId="33E11963" w:rsidR="00E60112" w:rsidRDefault="00E60112">
            <w:pPr>
              <w:rPr>
                <w:rFonts w:ascii="Arial" w:hAnsi="Arial" w:cs="Arial"/>
              </w:rPr>
            </w:pPr>
            <w:r w:rsidRPr="00137529">
              <w:rPr>
                <w:rFonts w:ascii="Arial" w:hAnsi="Arial" w:cs="Arial"/>
              </w:rPr>
              <w:t>72318</w:t>
            </w:r>
          </w:p>
        </w:tc>
        <w:tc>
          <w:tcPr>
            <w:tcW w:w="1504" w:type="dxa"/>
          </w:tcPr>
          <w:p w14:paraId="7B406AD5" w14:textId="72F42776" w:rsidR="00E60112" w:rsidRPr="00137529" w:rsidRDefault="00E60112">
            <w:pPr>
              <w:rPr>
                <w:rFonts w:ascii="Arial" w:hAnsi="Arial" w:cs="Arial"/>
              </w:rPr>
            </w:pPr>
            <w:r>
              <w:rPr>
                <w:rFonts w:ascii="Arial" w:hAnsi="Arial" w:cs="Arial"/>
              </w:rPr>
              <w:t>-26.7</w:t>
            </w:r>
          </w:p>
        </w:tc>
        <w:tc>
          <w:tcPr>
            <w:tcW w:w="1504" w:type="dxa"/>
          </w:tcPr>
          <w:p w14:paraId="47274345" w14:textId="003FFB04" w:rsidR="00E60112" w:rsidRPr="00137529" w:rsidRDefault="00E60112">
            <w:pPr>
              <w:rPr>
                <w:rFonts w:ascii="Arial" w:hAnsi="Arial" w:cs="Arial"/>
              </w:rPr>
            </w:pPr>
            <w:r>
              <w:rPr>
                <w:rFonts w:ascii="Arial" w:hAnsi="Arial" w:cs="Arial"/>
              </w:rPr>
              <w:t>31.6</w:t>
            </w:r>
          </w:p>
        </w:tc>
      </w:tr>
      <w:tr w:rsidR="00E60112" w14:paraId="597B2B14" w14:textId="484C7A0B" w:rsidTr="007023C4">
        <w:trPr>
          <w:trHeight w:val="280"/>
        </w:trPr>
        <w:tc>
          <w:tcPr>
            <w:tcW w:w="1428" w:type="dxa"/>
          </w:tcPr>
          <w:p w14:paraId="45440D4B" w14:textId="6225DE09" w:rsidR="00E60112" w:rsidRPr="00137529" w:rsidRDefault="00E60112">
            <w:pPr>
              <w:rPr>
                <w:rFonts w:ascii="Arial" w:hAnsi="Arial" w:cs="Arial"/>
              </w:rPr>
            </w:pPr>
            <w:r w:rsidRPr="00137529">
              <w:rPr>
                <w:rFonts w:ascii="Arial" w:hAnsi="Arial" w:cs="Arial"/>
              </w:rPr>
              <w:t xml:space="preserve">Dirty Street    </w:t>
            </w:r>
          </w:p>
        </w:tc>
        <w:tc>
          <w:tcPr>
            <w:tcW w:w="1504" w:type="dxa"/>
          </w:tcPr>
          <w:p w14:paraId="5EBED195" w14:textId="615C3A11" w:rsidR="00E60112" w:rsidRDefault="00E60112">
            <w:pPr>
              <w:rPr>
                <w:rFonts w:ascii="Arial" w:hAnsi="Arial" w:cs="Arial"/>
              </w:rPr>
            </w:pPr>
            <w:r w:rsidRPr="00137529">
              <w:rPr>
                <w:rFonts w:ascii="Arial" w:hAnsi="Arial" w:cs="Arial"/>
              </w:rPr>
              <w:t>44723</w:t>
            </w:r>
          </w:p>
        </w:tc>
        <w:tc>
          <w:tcPr>
            <w:tcW w:w="1504" w:type="dxa"/>
          </w:tcPr>
          <w:p w14:paraId="0E3A49BE" w14:textId="58CDA146" w:rsidR="00E60112" w:rsidRPr="00137529" w:rsidRDefault="00E60112">
            <w:pPr>
              <w:rPr>
                <w:rFonts w:ascii="Arial" w:hAnsi="Arial" w:cs="Arial"/>
              </w:rPr>
            </w:pPr>
            <w:r>
              <w:rPr>
                <w:rFonts w:ascii="Arial" w:hAnsi="Arial" w:cs="Arial"/>
              </w:rPr>
              <w:t>-3.5</w:t>
            </w:r>
          </w:p>
        </w:tc>
        <w:tc>
          <w:tcPr>
            <w:tcW w:w="1504" w:type="dxa"/>
          </w:tcPr>
          <w:p w14:paraId="38F2D8E1" w14:textId="3A2DC9D1" w:rsidR="00E60112" w:rsidRPr="00137529" w:rsidRDefault="00E60112">
            <w:pPr>
              <w:rPr>
                <w:rFonts w:ascii="Arial" w:hAnsi="Arial" w:cs="Arial"/>
              </w:rPr>
            </w:pPr>
            <w:r>
              <w:rPr>
                <w:rFonts w:ascii="Arial" w:hAnsi="Arial" w:cs="Arial"/>
              </w:rPr>
              <w:t>14.3</w:t>
            </w:r>
          </w:p>
        </w:tc>
      </w:tr>
      <w:tr w:rsidR="00E60112" w14:paraId="7174F900" w14:textId="57770442" w:rsidTr="007023C4">
        <w:trPr>
          <w:trHeight w:val="280"/>
        </w:trPr>
        <w:tc>
          <w:tcPr>
            <w:tcW w:w="1428" w:type="dxa"/>
          </w:tcPr>
          <w:p w14:paraId="70078BAC" w14:textId="5FB1465F" w:rsidR="00E60112" w:rsidRPr="00137529" w:rsidRDefault="00E60112">
            <w:pPr>
              <w:rPr>
                <w:rFonts w:ascii="Arial" w:hAnsi="Arial" w:cs="Arial"/>
              </w:rPr>
            </w:pPr>
            <w:r w:rsidRPr="00137529">
              <w:rPr>
                <w:rFonts w:ascii="Arial" w:hAnsi="Arial" w:cs="Arial"/>
              </w:rPr>
              <w:t>HGW</w:t>
            </w:r>
          </w:p>
        </w:tc>
        <w:tc>
          <w:tcPr>
            <w:tcW w:w="1504" w:type="dxa"/>
          </w:tcPr>
          <w:p w14:paraId="6C862637" w14:textId="7367BE3F" w:rsidR="00E60112" w:rsidRDefault="00E60112">
            <w:pPr>
              <w:rPr>
                <w:rFonts w:ascii="Arial" w:hAnsi="Arial" w:cs="Arial"/>
              </w:rPr>
            </w:pPr>
            <w:r w:rsidRPr="00137529">
              <w:rPr>
                <w:rFonts w:ascii="Arial" w:hAnsi="Arial" w:cs="Arial"/>
              </w:rPr>
              <w:t>62972</w:t>
            </w:r>
          </w:p>
        </w:tc>
        <w:tc>
          <w:tcPr>
            <w:tcW w:w="1504" w:type="dxa"/>
          </w:tcPr>
          <w:p w14:paraId="4164C03D" w14:textId="69D190D6" w:rsidR="00E60112" w:rsidRPr="00137529" w:rsidRDefault="00E60112">
            <w:pPr>
              <w:rPr>
                <w:rFonts w:ascii="Arial" w:hAnsi="Arial" w:cs="Arial"/>
              </w:rPr>
            </w:pPr>
            <w:r>
              <w:rPr>
                <w:rFonts w:ascii="Arial" w:hAnsi="Arial" w:cs="Arial"/>
              </w:rPr>
              <w:t>-63.8</w:t>
            </w:r>
          </w:p>
        </w:tc>
        <w:tc>
          <w:tcPr>
            <w:tcW w:w="1504" w:type="dxa"/>
          </w:tcPr>
          <w:p w14:paraId="0BEB2DA0" w14:textId="6BE6A6A7" w:rsidR="00E60112" w:rsidRPr="00137529" w:rsidRDefault="00E60112">
            <w:pPr>
              <w:rPr>
                <w:rFonts w:ascii="Arial" w:hAnsi="Arial" w:cs="Arial"/>
              </w:rPr>
            </w:pPr>
            <w:r>
              <w:rPr>
                <w:rFonts w:ascii="Arial" w:hAnsi="Arial" w:cs="Arial"/>
              </w:rPr>
              <w:t>60.9</w:t>
            </w:r>
          </w:p>
        </w:tc>
      </w:tr>
    </w:tbl>
    <w:p w14:paraId="3E4D6D17" w14:textId="23F26D62" w:rsidR="00CD608F" w:rsidRDefault="00CD608F">
      <w:pPr>
        <w:rPr>
          <w:rFonts w:ascii="Arial" w:hAnsi="Arial" w:cs="Arial"/>
        </w:rPr>
      </w:pPr>
    </w:p>
    <w:p w14:paraId="559C5667" w14:textId="29F0147D" w:rsidR="00B1681D" w:rsidRDefault="00844CE2">
      <w:pPr>
        <w:rPr>
          <w:rFonts w:ascii="Arial" w:hAnsi="Arial" w:cs="Arial"/>
        </w:rPr>
      </w:pPr>
      <w:r>
        <w:rPr>
          <w:noProof/>
        </w:rPr>
        <w:drawing>
          <wp:anchor distT="0" distB="0" distL="114300" distR="114300" simplePos="0" relativeHeight="251658240" behindDoc="0" locked="0" layoutInCell="1" allowOverlap="1" wp14:anchorId="4B48CA20" wp14:editId="4D95F99A">
            <wp:simplePos x="0" y="0"/>
            <wp:positionH relativeFrom="margin">
              <wp:posOffset>2416175</wp:posOffset>
            </wp:positionH>
            <wp:positionV relativeFrom="paragraph">
              <wp:posOffset>177165</wp:posOffset>
            </wp:positionV>
            <wp:extent cx="3962400" cy="2049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27CC8" w14:textId="79766C37" w:rsidR="00667275" w:rsidRDefault="00667275">
      <w:pPr>
        <w:rPr>
          <w:rFonts w:ascii="Arial" w:hAnsi="Arial" w:cs="Arial"/>
          <w:b/>
          <w:bCs/>
        </w:rPr>
      </w:pPr>
      <w:r>
        <w:rPr>
          <w:rFonts w:ascii="Arial" w:hAnsi="Arial" w:cs="Arial"/>
          <w:b/>
          <w:bCs/>
        </w:rPr>
        <w:t>Equity and City Services</w:t>
      </w:r>
    </w:p>
    <w:p w14:paraId="1DBC988F" w14:textId="57F0EC8E" w:rsidR="00513DDE" w:rsidRDefault="00844CE2">
      <w:pPr>
        <w:rPr>
          <w:rFonts w:ascii="Arial" w:hAnsi="Arial" w:cs="Arial"/>
        </w:rPr>
      </w:pPr>
      <w:r>
        <w:rPr>
          <w:rFonts w:ascii="Arial" w:hAnsi="Arial" w:cs="Arial"/>
        </w:rPr>
        <w:t>There is a significant variation between</w:t>
      </w:r>
    </w:p>
    <w:p w14:paraId="78B5CC87" w14:textId="419D3DB4" w:rsidR="00513DDE" w:rsidRDefault="00473D2A">
      <w:pPr>
        <w:rPr>
          <w:rFonts w:ascii="Arial" w:hAnsi="Arial" w:cs="Arial"/>
        </w:rPr>
      </w:pPr>
      <w:r>
        <w:rPr>
          <w:noProof/>
        </w:rPr>
        <w:lastRenderedPageBreak/>
        <w:drawing>
          <wp:inline distT="0" distB="0" distL="0" distR="0" wp14:anchorId="284397C6" wp14:editId="0FB6BD8A">
            <wp:extent cx="2924175" cy="21295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230" cy="2182765"/>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65510CD3" wp14:editId="7C622247">
            <wp:extent cx="2524125" cy="20536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304" cy="2168478"/>
                    </a:xfrm>
                    <a:prstGeom prst="rect">
                      <a:avLst/>
                    </a:prstGeom>
                    <a:noFill/>
                    <a:ln>
                      <a:noFill/>
                    </a:ln>
                  </pic:spPr>
                </pic:pic>
              </a:graphicData>
            </a:graphic>
          </wp:inline>
        </w:drawing>
      </w:r>
    </w:p>
    <w:p w14:paraId="48550047" w14:textId="4522760D" w:rsidR="00473D2A" w:rsidRDefault="00473D2A">
      <w:pPr>
        <w:rPr>
          <w:rFonts w:ascii="Arial" w:hAnsi="Arial" w:cs="Arial"/>
        </w:rPr>
      </w:pPr>
      <w:r>
        <w:rPr>
          <w:rFonts w:ascii="Arial" w:hAnsi="Arial" w:cs="Arial"/>
        </w:rPr>
        <w:t xml:space="preserve">These observations indicate that, while there is variation in service quality between neighborhoods, </w:t>
      </w:r>
      <w:r w:rsidR="00CA1518">
        <w:rPr>
          <w:rFonts w:ascii="Arial" w:hAnsi="Arial" w:cs="Arial"/>
        </w:rPr>
        <w:t>creating a more geographically equitable agency is attainable.</w:t>
      </w:r>
    </w:p>
    <w:p w14:paraId="00DDCCA0" w14:textId="6344967D" w:rsidR="00CA1518" w:rsidRDefault="0094140B">
      <w:pPr>
        <w:rPr>
          <w:rFonts w:ascii="Arial" w:hAnsi="Arial" w:cs="Arial"/>
        </w:rPr>
      </w:pPr>
      <w:r>
        <w:rPr>
          <w:noProof/>
        </w:rPr>
        <w:drawing>
          <wp:anchor distT="0" distB="0" distL="114300" distR="114300" simplePos="0" relativeHeight="251661312" behindDoc="0" locked="0" layoutInCell="1" allowOverlap="1" wp14:anchorId="42BF6205" wp14:editId="3D67D397">
            <wp:simplePos x="0" y="0"/>
            <wp:positionH relativeFrom="margin">
              <wp:align>left</wp:align>
            </wp:positionH>
            <wp:positionV relativeFrom="page">
              <wp:posOffset>4076700</wp:posOffset>
            </wp:positionV>
            <wp:extent cx="2877820" cy="2273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820" cy="227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518">
        <w:rPr>
          <w:rFonts w:ascii="Arial" w:hAnsi="Arial" w:cs="Arial"/>
        </w:rPr>
        <w:t>However, it is vital that we consider other dimensions of residents lives beyond where they live. At time of writing, the author does not have access to quality demographic data to map onto the SW request records but was able to pull crime reports for 2017-2019.</w:t>
      </w:r>
      <w:r w:rsidR="00E46CF1">
        <w:rPr>
          <w:rFonts w:ascii="Arial" w:hAnsi="Arial" w:cs="Arial"/>
        </w:rPr>
        <w:t xml:space="preserve"> G</w:t>
      </w:r>
      <w:r w:rsidR="00CA1518">
        <w:rPr>
          <w:rFonts w:ascii="Arial" w:hAnsi="Arial" w:cs="Arial"/>
        </w:rPr>
        <w:t xml:space="preserve">rouping SW requests and BPD reports </w:t>
      </w:r>
      <w:r w:rsidR="00E46CF1">
        <w:rPr>
          <w:rFonts w:ascii="Arial" w:hAnsi="Arial" w:cs="Arial"/>
        </w:rPr>
        <w:t>shows a very low correlation between crime incidents and service speed</w:t>
      </w:r>
      <w:r w:rsidR="00B1681D">
        <w:rPr>
          <w:rFonts w:ascii="Arial" w:hAnsi="Arial" w:cs="Arial"/>
        </w:rPr>
        <w:t xml:space="preserve"> in any given area</w:t>
      </w:r>
      <w:r w:rsidR="00E46CF1">
        <w:rPr>
          <w:rFonts w:ascii="Arial" w:hAnsi="Arial" w:cs="Arial"/>
        </w:rPr>
        <w:t xml:space="preserve">. </w:t>
      </w:r>
    </w:p>
    <w:p w14:paraId="4407F521" w14:textId="03AD07F8" w:rsidR="0094140B" w:rsidRDefault="0094140B">
      <w:pPr>
        <w:rPr>
          <w:rFonts w:ascii="Arial" w:hAnsi="Arial" w:cs="Arial"/>
        </w:rPr>
      </w:pPr>
      <w:r>
        <w:rPr>
          <w:rFonts w:ascii="Arial" w:hAnsi="Arial" w:cs="Arial"/>
        </w:rPr>
        <w:t xml:space="preserve">To align with </w:t>
      </w:r>
      <w:r w:rsidRPr="0094140B">
        <w:rPr>
          <w:rFonts w:ascii="Arial" w:hAnsi="Arial" w:cs="Arial"/>
        </w:rPr>
        <w:t>Biennial Comprehensive Crime Reduction Plan</w:t>
      </w:r>
      <w:r>
        <w:rPr>
          <w:rFonts w:ascii="Arial" w:hAnsi="Arial" w:cs="Arial"/>
        </w:rPr>
        <w:t xml:space="preserve"> (2019), </w:t>
      </w:r>
      <w:r w:rsidR="00F63538">
        <w:rPr>
          <w:rFonts w:ascii="Arial" w:hAnsi="Arial" w:cs="Arial"/>
        </w:rPr>
        <w:t>BPW and BSW must publish their plan to engage in anti-violence efforts. One strategy that could be implemented is shifting resources to assure that neighborhoods that have suffered from decades from disinvestment receive timely services on their residents’ solid waste requests.</w:t>
      </w:r>
    </w:p>
    <w:p w14:paraId="01E5BF5B" w14:textId="41A1E3D2" w:rsidR="0094140B" w:rsidRDefault="00F63538">
      <w:pPr>
        <w:rPr>
          <w:rFonts w:ascii="Arial" w:hAnsi="Arial" w:cs="Arial"/>
          <w:b/>
          <w:bCs/>
        </w:rPr>
      </w:pPr>
      <w:r>
        <w:rPr>
          <w:rFonts w:ascii="Arial" w:hAnsi="Arial" w:cs="Arial"/>
          <w:b/>
          <w:bCs/>
        </w:rPr>
        <w:t>Conclusion</w:t>
      </w:r>
    </w:p>
    <w:p w14:paraId="7187C623" w14:textId="78728F42" w:rsidR="00F63538" w:rsidRPr="00F63538" w:rsidRDefault="00F63538">
      <w:pPr>
        <w:rPr>
          <w:rFonts w:ascii="Arial" w:hAnsi="Arial" w:cs="Arial"/>
        </w:rPr>
      </w:pPr>
      <w:r>
        <w:rPr>
          <w:rFonts w:ascii="Arial" w:hAnsi="Arial" w:cs="Arial"/>
        </w:rPr>
        <w:t xml:space="preserve">In the face of a </w:t>
      </w:r>
      <w:r w:rsidR="00B1681D">
        <w:rPr>
          <w:rFonts w:ascii="Arial" w:hAnsi="Arial" w:cs="Arial"/>
        </w:rPr>
        <w:t>serious</w:t>
      </w:r>
      <w:r>
        <w:rPr>
          <w:rFonts w:ascii="Arial" w:hAnsi="Arial" w:cs="Arial"/>
        </w:rPr>
        <w:t xml:space="preserve"> mismatch in </w:t>
      </w:r>
      <w:r w:rsidR="00B1681D">
        <w:rPr>
          <w:rFonts w:ascii="Arial" w:hAnsi="Arial" w:cs="Arial"/>
        </w:rPr>
        <w:t>resources</w:t>
      </w:r>
      <w:r>
        <w:rPr>
          <w:rFonts w:ascii="Arial" w:hAnsi="Arial" w:cs="Arial"/>
        </w:rPr>
        <w:t xml:space="preserve"> to demand, these data shows that the Bureau of Solid Waste has made a significant effort to apply their resources equitably across the city, even as they fall short in some areas. More comprehensive, detailed analysis could answer the following outstanding questions: What are the neighborhoods that are significant outliers for overdue rates? Is there a correlation between race, socio-economic status, and other identities and quality of service? What are the fiscal, time, and human capital cost differences between each type of service? How could the Bureau rebalance resources </w:t>
      </w:r>
      <w:r w:rsidR="00B1681D">
        <w:rPr>
          <w:rFonts w:ascii="Arial" w:hAnsi="Arial" w:cs="Arial"/>
        </w:rPr>
        <w:t>between service types and regions of the City to achieve even better outcomes and equity?</w:t>
      </w:r>
    </w:p>
    <w:p w14:paraId="6183ABD5" w14:textId="5DEEC75E" w:rsidR="00B1681D" w:rsidRDefault="00B1681D">
      <w:pPr>
        <w:rPr>
          <w:rFonts w:ascii="Arial" w:hAnsi="Arial" w:cs="Arial"/>
        </w:rPr>
      </w:pPr>
      <w:r>
        <w:rPr>
          <w:rFonts w:ascii="Arial" w:hAnsi="Arial" w:cs="Arial"/>
        </w:rPr>
        <w:br w:type="page"/>
      </w:r>
    </w:p>
    <w:p w14:paraId="2C634CAC" w14:textId="38E77D3D" w:rsidR="0094140B" w:rsidRDefault="00B1681D">
      <w:pPr>
        <w:rPr>
          <w:rFonts w:ascii="Arial" w:hAnsi="Arial" w:cs="Arial"/>
        </w:rPr>
      </w:pPr>
      <w:r>
        <w:rPr>
          <w:rFonts w:ascii="Arial" w:hAnsi="Arial" w:cs="Arial"/>
        </w:rPr>
        <w:lastRenderedPageBreak/>
        <w:t>Addendum A – Graphs of Average Days Overdue for Each Service Type by Neighborhood</w:t>
      </w:r>
    </w:p>
    <w:p w14:paraId="1911C472" w14:textId="38759037" w:rsidR="00844CE2" w:rsidRDefault="00B1681D">
      <w:pPr>
        <w:rPr>
          <w:rFonts w:ascii="Arial" w:hAnsi="Arial" w:cs="Arial"/>
        </w:rPr>
      </w:pPr>
      <w:r>
        <w:rPr>
          <w:noProof/>
        </w:rPr>
        <w:drawing>
          <wp:inline distT="0" distB="0" distL="0" distR="0" wp14:anchorId="41FA78EC" wp14:editId="589D9821">
            <wp:extent cx="2718531" cy="2209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183" cy="2228213"/>
                    </a:xfrm>
                    <a:prstGeom prst="rect">
                      <a:avLst/>
                    </a:prstGeom>
                    <a:noFill/>
                    <a:ln>
                      <a:noFill/>
                    </a:ln>
                  </pic:spPr>
                </pic:pic>
              </a:graphicData>
            </a:graphic>
          </wp:inline>
        </w:drawing>
      </w:r>
      <w:r>
        <w:rPr>
          <w:rFonts w:ascii="Arial" w:hAnsi="Arial" w:cs="Arial"/>
        </w:rPr>
        <w:t xml:space="preserve"> </w:t>
      </w:r>
      <w:r w:rsidR="00844CE2">
        <w:rPr>
          <w:rFonts w:ascii="Arial" w:hAnsi="Arial" w:cs="Arial"/>
        </w:rPr>
        <w:t xml:space="preserve">   </w:t>
      </w:r>
      <w:r>
        <w:rPr>
          <w:noProof/>
        </w:rPr>
        <w:drawing>
          <wp:inline distT="0" distB="0" distL="0" distR="0" wp14:anchorId="1DB73418" wp14:editId="46EBA08F">
            <wp:extent cx="2724150" cy="2176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532" cy="2198062"/>
                    </a:xfrm>
                    <a:prstGeom prst="rect">
                      <a:avLst/>
                    </a:prstGeom>
                    <a:noFill/>
                    <a:ln>
                      <a:noFill/>
                    </a:ln>
                  </pic:spPr>
                </pic:pic>
              </a:graphicData>
            </a:graphic>
          </wp:inline>
        </w:drawing>
      </w:r>
      <w:r>
        <w:rPr>
          <w:rFonts w:ascii="Arial" w:hAnsi="Arial" w:cs="Arial"/>
        </w:rPr>
        <w:t xml:space="preserve"> </w:t>
      </w:r>
    </w:p>
    <w:p w14:paraId="6863337E" w14:textId="77777777" w:rsidR="00844CE2" w:rsidRDefault="00844CE2">
      <w:pPr>
        <w:rPr>
          <w:rFonts w:ascii="Arial" w:hAnsi="Arial" w:cs="Arial"/>
        </w:rPr>
      </w:pPr>
    </w:p>
    <w:p w14:paraId="72764D2F" w14:textId="03272413" w:rsidR="00844CE2" w:rsidRDefault="00B1681D">
      <w:pPr>
        <w:rPr>
          <w:rFonts w:ascii="Arial" w:hAnsi="Arial" w:cs="Arial"/>
        </w:rPr>
      </w:pPr>
      <w:r>
        <w:rPr>
          <w:noProof/>
        </w:rPr>
        <w:drawing>
          <wp:inline distT="0" distB="0" distL="0" distR="0" wp14:anchorId="286D8545" wp14:editId="3856CA63">
            <wp:extent cx="2693085" cy="212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474" cy="2149557"/>
                    </a:xfrm>
                    <a:prstGeom prst="rect">
                      <a:avLst/>
                    </a:prstGeom>
                    <a:noFill/>
                    <a:ln>
                      <a:noFill/>
                    </a:ln>
                  </pic:spPr>
                </pic:pic>
              </a:graphicData>
            </a:graphic>
          </wp:inline>
        </w:drawing>
      </w:r>
      <w:r>
        <w:rPr>
          <w:rFonts w:ascii="Arial" w:hAnsi="Arial" w:cs="Arial"/>
        </w:rPr>
        <w:t xml:space="preserve"> </w:t>
      </w:r>
      <w:r w:rsidR="00844CE2">
        <w:rPr>
          <w:rFonts w:ascii="Arial" w:hAnsi="Arial" w:cs="Arial"/>
        </w:rPr>
        <w:t xml:space="preserve">   </w:t>
      </w:r>
      <w:r>
        <w:rPr>
          <w:noProof/>
        </w:rPr>
        <w:drawing>
          <wp:inline distT="0" distB="0" distL="0" distR="0" wp14:anchorId="70DE0751" wp14:editId="647B47F8">
            <wp:extent cx="2691577" cy="210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845" cy="2124705"/>
                    </a:xfrm>
                    <a:prstGeom prst="rect">
                      <a:avLst/>
                    </a:prstGeom>
                    <a:noFill/>
                    <a:ln>
                      <a:noFill/>
                    </a:ln>
                  </pic:spPr>
                </pic:pic>
              </a:graphicData>
            </a:graphic>
          </wp:inline>
        </w:drawing>
      </w:r>
      <w:r>
        <w:rPr>
          <w:rFonts w:ascii="Arial" w:hAnsi="Arial" w:cs="Arial"/>
        </w:rPr>
        <w:t xml:space="preserve"> </w:t>
      </w:r>
    </w:p>
    <w:p w14:paraId="10479160" w14:textId="77777777" w:rsidR="00844CE2" w:rsidRDefault="00844CE2">
      <w:pPr>
        <w:rPr>
          <w:rFonts w:ascii="Arial" w:hAnsi="Arial" w:cs="Arial"/>
        </w:rPr>
      </w:pPr>
    </w:p>
    <w:p w14:paraId="54AEE878" w14:textId="3F7BED33" w:rsidR="00B1681D" w:rsidRPr="00667275" w:rsidRDefault="00B1681D">
      <w:pPr>
        <w:rPr>
          <w:rFonts w:ascii="Arial" w:hAnsi="Arial" w:cs="Arial"/>
        </w:rPr>
      </w:pPr>
      <w:r>
        <w:rPr>
          <w:noProof/>
        </w:rPr>
        <w:drawing>
          <wp:inline distT="0" distB="0" distL="0" distR="0" wp14:anchorId="0FBF6BF2" wp14:editId="3E1B9DDD">
            <wp:extent cx="2662202" cy="21145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782" cy="2130102"/>
                    </a:xfrm>
                    <a:prstGeom prst="rect">
                      <a:avLst/>
                    </a:prstGeom>
                    <a:noFill/>
                    <a:ln>
                      <a:noFill/>
                    </a:ln>
                  </pic:spPr>
                </pic:pic>
              </a:graphicData>
            </a:graphic>
          </wp:inline>
        </w:drawing>
      </w:r>
    </w:p>
    <w:sectPr w:rsidR="00B1681D" w:rsidRPr="0066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C1"/>
    <w:rsid w:val="00021CBA"/>
    <w:rsid w:val="000879FD"/>
    <w:rsid w:val="00137529"/>
    <w:rsid w:val="001846EC"/>
    <w:rsid w:val="002604E7"/>
    <w:rsid w:val="00473D2A"/>
    <w:rsid w:val="00513DDE"/>
    <w:rsid w:val="00667275"/>
    <w:rsid w:val="00844CE2"/>
    <w:rsid w:val="00877554"/>
    <w:rsid w:val="0094140B"/>
    <w:rsid w:val="00B1681D"/>
    <w:rsid w:val="00CA1518"/>
    <w:rsid w:val="00CD608F"/>
    <w:rsid w:val="00D223C1"/>
    <w:rsid w:val="00E46CF1"/>
    <w:rsid w:val="00E60112"/>
    <w:rsid w:val="00F6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CA06"/>
  <w15:chartTrackingRefBased/>
  <w15:docId w15:val="{438028AD-6AA7-4C6F-A1E8-3B34114B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D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2858">
      <w:bodyDiv w:val="1"/>
      <w:marLeft w:val="0"/>
      <w:marRight w:val="0"/>
      <w:marTop w:val="0"/>
      <w:marBottom w:val="0"/>
      <w:divBdr>
        <w:top w:val="none" w:sz="0" w:space="0" w:color="auto"/>
        <w:left w:val="none" w:sz="0" w:space="0" w:color="auto"/>
        <w:bottom w:val="none" w:sz="0" w:space="0" w:color="auto"/>
        <w:right w:val="none" w:sz="0" w:space="0" w:color="auto"/>
      </w:divBdr>
    </w:div>
    <w:div w:id="224415858">
      <w:bodyDiv w:val="1"/>
      <w:marLeft w:val="0"/>
      <w:marRight w:val="0"/>
      <w:marTop w:val="0"/>
      <w:marBottom w:val="0"/>
      <w:divBdr>
        <w:top w:val="none" w:sz="0" w:space="0" w:color="auto"/>
        <w:left w:val="none" w:sz="0" w:space="0" w:color="auto"/>
        <w:bottom w:val="none" w:sz="0" w:space="0" w:color="auto"/>
        <w:right w:val="none" w:sz="0" w:space="0" w:color="auto"/>
      </w:divBdr>
    </w:div>
    <w:div w:id="994458256">
      <w:bodyDiv w:val="1"/>
      <w:marLeft w:val="0"/>
      <w:marRight w:val="0"/>
      <w:marTop w:val="0"/>
      <w:marBottom w:val="0"/>
      <w:divBdr>
        <w:top w:val="none" w:sz="0" w:space="0" w:color="auto"/>
        <w:left w:val="none" w:sz="0" w:space="0" w:color="auto"/>
        <w:bottom w:val="none" w:sz="0" w:space="0" w:color="auto"/>
        <w:right w:val="none" w:sz="0" w:space="0" w:color="auto"/>
      </w:divBdr>
    </w:div>
    <w:div w:id="1460764533">
      <w:bodyDiv w:val="1"/>
      <w:marLeft w:val="0"/>
      <w:marRight w:val="0"/>
      <w:marTop w:val="0"/>
      <w:marBottom w:val="0"/>
      <w:divBdr>
        <w:top w:val="none" w:sz="0" w:space="0" w:color="auto"/>
        <w:left w:val="none" w:sz="0" w:space="0" w:color="auto"/>
        <w:bottom w:val="none" w:sz="0" w:space="0" w:color="auto"/>
        <w:right w:val="none" w:sz="0" w:space="0" w:color="auto"/>
      </w:divBdr>
    </w:div>
    <w:div w:id="14941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Rufsvold</dc:creator>
  <cp:keywords/>
  <dc:description/>
  <cp:lastModifiedBy>Micah</cp:lastModifiedBy>
  <cp:revision>4</cp:revision>
  <dcterms:created xsi:type="dcterms:W3CDTF">2020-11-11T02:10:00Z</dcterms:created>
  <dcterms:modified xsi:type="dcterms:W3CDTF">2020-11-11T06:14:00Z</dcterms:modified>
</cp:coreProperties>
</file>