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(Admin)  —  admin</w:t>
      </w:r>
    </w:p>
    <w:p>
      <w:pPr>
        <w:spacing w:after="160" w:before="0" w:line="264"/>
      </w:pPr>
      <w:r>
        <w:rPr>
          <w:rFonts w:ascii="Arial" w:cs="Arial" w:eastAsia="Arial" w:hAnsi="Arial"/>
          <w:color w:val="5B6477"/>
          <w:sz w:val="19"/>
          <w:szCs w:val="19"/>
        </w:rPr>
        <w:t xml:space="preserve">Owner (Admin). Final approver. Sees cost and everything else.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admin</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35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Owner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Cash on hand per branch, branches without today's Daily Sales Report, open discrepancies and price updates (with cost)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Special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Expand it and check tier price, sold price, discount % and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Owner sees cost and margin. The sale stays as recorded and the approval leaves the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to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to Mayon. The franchise can now confirm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new master data</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New master data.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product from the Head Auditor, and the employee and user account from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record is created and the person who entered it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disputed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transfer the sending branch disagreed with (or did not answer in 2 days).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one: the difference stands, received after all, lost as a company expense, or lost and charged to staff.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 stands' makes the -002 form back to the sender. 'Charged to staff' makes a charge form for HR. The transfer page shows the outcome.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sales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Sales target (West Ave and Jerick Quinto).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both.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targets show as approved on Sales Targets. A newer approved target replaces the old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more days to deposit cash</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branch's extension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Head Auditor must also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deposit date applies only after both approvals.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Period lock requested by the Accounting Head.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period is locked. Journal edits in that period are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cost change typed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cost applies from the effective date. The roles that see cost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already checked by the auditor or In-Charge.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branch only after this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New user: full name, company ID, role, temporary password, branch → Create.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that user in another browser, then sign in to the same account in a third window.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user must set a password and accept the statement. The first window is signed out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 permissions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custom.user → tick a few permissions → Save overrides.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custom.user sees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and archive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delete a product never used.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delete a product that was sold.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unused product is removed. The sold one is archived instead.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Letterhead and logo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Settings → Company letterhead → Save details.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a logo, remove the background, Use this logo.</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Print any form.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letterhead and logo appear on the printed form, the sign-in page and the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HR referral of repeated transfer differences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HR presses Refer to the Owner, open the notification.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notice shows the staff member, the transfers and the count in 30 days.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Reports with profit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All branches, This month →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Sales Graphs.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Financial Statements.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E-commerce → All platforms: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Gross profit is shown. Graphs show each branch in its own colour. The balance sheet 'Should be 0' row is 0.</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many at once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several → Approve selected.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ticked items are approved together.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opening AR with Tick all</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Opening AR (before GWS-ERP).</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Check branch, customer, DR/SI and amount.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Tick all → Approve all; reject one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approved entry appears in that branch's AR &amp; Collections and the branch is notified. The rejected one shows your reason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Transfers per branch; franchises marked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Branches → tick Mayon (franchise) → Done.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View → Incoming (Transfer-In).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any branch list (Stock on Hand, Inventory Reports).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Mayon's transfers show, then only what Mayon received. Every list shows '(franchise)' beside franchise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anything as the Owner</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Show everything waiting.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an internal transfer that is waiting for the auditors.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approved at once. The workflow shows 'Owner (final)'. The dashboard shows how many more are waiting with others.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Accounting Associate and Head approve, My Approvals → Agent incentive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release form number (AI-…) is made and HR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and e-commerce prices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&amp; Card Prices.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the Card fee % (4) and choose SRP ÷ (1 − %) → Save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TikTok, one Shopee and one Lazada price → Save prices. Or import the masterlist (.xlsx).</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Open New Sale as a sales account and pay one item by credit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Prices keep their centavos (no rounding). The card sale uses the credit-card price; a platform sale uses that platform price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extension and waiving charges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with an overdue invoice.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penalty (2% once) and interest (0.1% a day) and the total due today.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My Approvals → Franchise AR extension → read the reason → Approve (or Reject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On the invoice press Waive charges, type an amount and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due date applies from the approved request. Penalty and interest are recalculated and the waiver is recorded with your name. Accounting, the auditors, the Franchise Coordinators and the franchise owner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override request</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6-Pack Card override sent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branch, what is known about the customer and the reason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is booked as usual (₱300 expense for the branch) and marked as an override. Rejecting needs a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margin analysis and ad expenses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Margin Analysis → choose a month and platform.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Where the money goes (gross sales, platform fees, shipping, withholding tax, cost, contribution,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Add ad expense, type the platform, amount, reference and paid from →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a Target margin % and read Is the pricing right? and the Price for target.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ad expense is booked as advertising expense and reduces the contribution and margin at once. The suggested price for the target margin is shown, with each product.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as the Owner</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Who it is for (for example franchise owners), type RE, the memo, add a table if wanted.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signers: AL MARVIN VINLUAN (President) and MICAH VINLUAN (Manager) must already be there. Add one more signer → Issue the memo.</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by itself (for example 2026-Q4-001) and printed on the letterhead. Everyone addressed gets a notice.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 or user and HR is told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Users &amp; Roles → New user (or Employees → Add) and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hr.staff and open Notifications.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has a notice naming the new user or employee and who added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deposit slip check as the Owner</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or accounting).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may decide in place of the Audit or Accounting Associate. The decision is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the TikTok / Shopee / Lazada label PDFs.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product for each → Confirm. Read SRP, platform fees and order income.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SRP comes from the platform price list with centavos. Fees use the rates under Platform fee rates used. The same platform and weight is filled in next time.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shipping-charge change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Franchise shipping charge → read the reason and the new amount (or the new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 the franchise invoice changes by the difference and everyone involved is told. Reject: nothing changes and the Coordinator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users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type part of a name, a role or a branch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list narrows as you type; the count shows "x of y users".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tickets and give-outs</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ticket or a marketing pull-out.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are told at each step and may decide anything the Head Auditor decides.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35)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admin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admin</dc:title>
  <dc:creator>GWS-ERP</dc:creator>
  <cp:lastModifiedBy>Un-named</cp:lastModifiedBy>
  <cp:revision>1</cp:revision>
  <dcterms:created xsi:type="dcterms:W3CDTF">2026-10-01T12:17:06.985Z</dcterms:created>
  <dcterms:modified xsi:type="dcterms:W3CDTF">2026-10-01T12:17:06.985Z</dcterms:modified>
</cp:coreProperties>
</file>

<file path=docProps/custom.xml><?xml version="1.0" encoding="utf-8"?>
<Properties xmlns="http://schemas.openxmlformats.org/officeDocument/2006/custom-properties" xmlns:vt="http://schemas.openxmlformats.org/officeDocument/2006/docPropsVTypes"/>
</file>