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for more time to pay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the invoice → Ask for extension.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new due date and the reason → Send request.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request goes to the Owner; Accounting, the auditors and the Franchise Coordinators are told. It appears under Extension requests as waiting, then approved or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changed after receiving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transfer with a different quantity (see flow F3) and let it be settled.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the invoice → Changes to this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invoice amount is adjusted automatically and the change is listed with the date. You are notified, as are the Owner, the auditors, the Sales Associate involved and the Coordinators.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with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sticker is counted. A redeemed ₱300 card is your franchise expense.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a memorandum addressed to you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memo addressed to you → press I have read this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shows its number, letterhead, TO/FROM/RE/DATE and signatures. It is marked as read and the sender can see that you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charged to you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after the Franchise Coordinator billed the shipping of a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invoice FAR-SHIP-… marked "shipping charge" appears, apart from the order, with its own due date. You were told when it was tagged and when it was billed.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Only your franchise, and you create transactions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Sales List and Transfers.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record a walk-in sale for your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list shows your own franchise only. Your sale saves; you cannot sell for another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FO-ORD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 from the availability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notice → Franchise Orders →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I order and choose the flavors → Send my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offered products and quantities can be ordered; the coordinator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DR or report a problem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/ Franchise DRs → open the DR.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goods → Confirm receipt, or Report a problem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Confirming adds the goods to your stock. A problem tells the Franchise Coordinator, who corrects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2026-10-23T02:47:54.665Z</dcterms:created>
  <dcterms:modified xsi:type="dcterms:W3CDTF">2026-10-23T02:47:54.666Z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