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a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amount, date received, paid by and deposited to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payment settles the penalty first, then the interest, then the goods. The invoice balance and the journal entry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after the Audit Associate approved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slip with the bank deposit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is then complete. A rejection returns it to the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Waive penalty or interest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an invoice with a penalty → Waive charges → amount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charges drop by that amount; the waiver and reason are recorded. The Owner and auditors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invoice of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an invoice marked "shipping charge"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paid like any franchise invoice (penalty, interest, then the charge).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replacement tickets and differences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and Replacement Tickets.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ticket, its price difference, when it was settled and every supplier arrival.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AH-UG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Unpaid goods in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 franchise: read Total goods AR, Total shipping AR, Total penalty and Total interest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Unpaid goods (DRs) → read the penalty and interest of an overdue DR → click the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four totals are shown apart and add up to Total due. An overdue DR shows 2% penalty and 0.1% a day interest by itself; clicking opens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AH-IS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figure to DR and Daily Sales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F43 · Edit a DR, DR list and sales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for a day with sales → click a quantity under Sales.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Open the DR, then go back and press Open the Daily Sales Report of that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DRs behind the figure are listed; the links open the sale and the Daily Sales Report of that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AH-REM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card remittance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F46 · Editable online income, card amount and card remittance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Card remittance → check gross, bank charge and net against the bank statement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the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Dr Bank (net) + Dr MDR – Credit Card (fee) / Cr AR – Credit Card (gross) are posted; the sales are marked cleared and cannot be remitted twice. The dashboard card Card sales waiting for the bank counts the rest.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2026-10-23T02:47:56.619Z</dcterms:created>
  <dcterms:modified xsi:type="dcterms:W3CDTF">2026-10-23T02:47:56.620Z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