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franchises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Franchises only → fill in → Issue promo and send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owners, franchise associates and the Franchise Coordinators get the memo and notice. Branch staff do 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purchase order and ask for the transfers</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purchase order (or Restock &amp; Purchase Orders → open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if you wish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Ask the Head Auditor to make the transfers.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Mark as sent to the supplier with an expected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the Warehouse In-Charge and the branches are notified. The order shows Sent with the expected date.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AD-ID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staff ID number change</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Staff ID number change → read the old and new number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ID and the login Company ID of that employee change. A number used by someone else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AD-NAM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HR's names and edits</w:t>
            </w:r>
          </w:p>
          <w:p>
            <w:pPr>
              <w:spacing w:after="40" w:before="0" w:line="264"/>
            </w:pPr>
            <w:r>
              <w:rPr>
                <w:rFonts w:ascii="Arial" w:cs="Arial" w:eastAsia="Arial" w:hAnsi="Arial"/>
                <w:i/>
                <w:iCs/>
                <w:color w:val="5B6477"/>
                <w:sz w:val="15"/>
                <w:szCs w:val="15"/>
              </w:rPr>
              <w:t xml:space="preserve">Flow F45 · HR: owner-approved names, draft NTE from notices, charge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employees (several names) / Employee change → read old → new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employees are created with their numbers (or the change is applied and the login name follows). Your own edit applies at once.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menu on the Dashboard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cash in the search box → press Enter.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Petty Cash Fund and Expenses are listed (only screens you may open); Enter opens the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AD-EXE</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change to a warehouse cash fund expense</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 the request EXPENSE_EDIT from the warehouse associate and read the reason.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is changed (or voided), the fund balance and the books follow, and the warehouse associate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admin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admin</dc:title>
  <dc:creator>GWS-ERP</dc:creator>
  <cp:lastModifiedBy>Un-named</cp:lastModifiedBy>
  <cp:revision>1</cp:revision>
  <dcterms:created xsi:type="dcterms:W3CDTF">2026-10-23T10:09:19.995Z</dcterms:created>
  <dcterms:modified xsi:type="dcterms:W3CDTF">2026-10-23T10:09:19.995Z</dcterms:modified>
</cp:coreProperties>
</file>

<file path=docProps/custom.xml><?xml version="1.0" encoding="utf-8"?>
<Properties xmlns="http://schemas.openxmlformats.org/officeDocument/2006/custom-properties" xmlns:vt="http://schemas.openxmlformats.org/officeDocument/2006/docPropsVTypes"/>
</file>