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009" w:tblpY="-1080"/>
        <w:tblW w:w="10824" w:type="dxa"/>
        <w:tblLook w:val="04A0" w:firstRow="1" w:lastRow="0" w:firstColumn="1" w:lastColumn="0" w:noHBand="0" w:noVBand="1"/>
      </w:tblPr>
      <w:tblGrid>
        <w:gridCol w:w="1725"/>
        <w:gridCol w:w="2367"/>
        <w:gridCol w:w="3659"/>
        <w:gridCol w:w="3073"/>
      </w:tblGrid>
      <w:tr w:rsidR="00475FD5" w14:paraId="2D006470" w14:textId="77777777" w:rsidTr="00475FD5">
        <w:trPr>
          <w:trHeight w:val="468"/>
        </w:trPr>
        <w:tc>
          <w:tcPr>
            <w:tcW w:w="1725" w:type="dxa"/>
            <w:vAlign w:val="center"/>
          </w:tcPr>
          <w:p w14:paraId="6DAF6210" w14:textId="77777777" w:rsidR="00475FD5" w:rsidRPr="006B5A91" w:rsidRDefault="00475FD5" w:rsidP="00475FD5">
            <w:pPr>
              <w:pStyle w:val="normal0"/>
              <w:jc w:val="center"/>
              <w:rPr>
                <w:b/>
              </w:rPr>
            </w:pPr>
            <w:r w:rsidRPr="006B5A91">
              <w:rPr>
                <w:b/>
              </w:rPr>
              <w:t>Monarch Population</w:t>
            </w:r>
          </w:p>
        </w:tc>
        <w:tc>
          <w:tcPr>
            <w:tcW w:w="2367" w:type="dxa"/>
            <w:vAlign w:val="center"/>
          </w:tcPr>
          <w:p w14:paraId="7C51F60C" w14:textId="77777777" w:rsidR="00475FD5" w:rsidRPr="006B5A91" w:rsidRDefault="00475FD5" w:rsidP="00475FD5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Sympatric</w:t>
            </w:r>
            <w:r w:rsidRPr="006B5A91">
              <w:rPr>
                <w:b/>
              </w:rPr>
              <w:t xml:space="preserve"> host plant species</w:t>
            </w:r>
            <w:r>
              <w:rPr>
                <w:b/>
              </w:rPr>
              <w:t xml:space="preserve"> used</w:t>
            </w:r>
          </w:p>
        </w:tc>
        <w:tc>
          <w:tcPr>
            <w:tcW w:w="3659" w:type="dxa"/>
            <w:vAlign w:val="center"/>
          </w:tcPr>
          <w:p w14:paraId="6F591C79" w14:textId="77777777" w:rsidR="00475FD5" w:rsidRPr="006B5A91" w:rsidRDefault="00475FD5" w:rsidP="00475FD5">
            <w:pPr>
              <w:pStyle w:val="normal0"/>
              <w:jc w:val="center"/>
              <w:rPr>
                <w:b/>
              </w:rPr>
            </w:pPr>
            <w:r w:rsidRPr="006B5A91">
              <w:rPr>
                <w:b/>
              </w:rPr>
              <w:t>Other primary hosts</w:t>
            </w:r>
            <w:r>
              <w:rPr>
                <w:b/>
              </w:rPr>
              <w:t xml:space="preserve"> in native range</w:t>
            </w:r>
            <w:r w:rsidR="006C41C3">
              <w:rPr>
                <w:b/>
              </w:rPr>
              <w:t>, based on GBIF data and personal observations</w:t>
            </w:r>
            <w:bookmarkStart w:id="0" w:name="_GoBack"/>
            <w:bookmarkEnd w:id="0"/>
          </w:p>
        </w:tc>
        <w:tc>
          <w:tcPr>
            <w:tcW w:w="3073" w:type="dxa"/>
            <w:vAlign w:val="center"/>
          </w:tcPr>
          <w:p w14:paraId="48A6405F" w14:textId="77777777" w:rsidR="00475FD5" w:rsidRPr="006B5A91" w:rsidRDefault="00475FD5" w:rsidP="00475FD5">
            <w:pPr>
              <w:pStyle w:val="normal0"/>
              <w:jc w:val="center"/>
              <w:rPr>
                <w:b/>
              </w:rPr>
            </w:pPr>
            <w:r w:rsidRPr="006B5A91">
              <w:rPr>
                <w:b/>
              </w:rPr>
              <w:t>Notes</w:t>
            </w:r>
          </w:p>
        </w:tc>
      </w:tr>
      <w:tr w:rsidR="00475FD5" w14:paraId="05F85448" w14:textId="77777777" w:rsidTr="00475FD5">
        <w:trPr>
          <w:trHeight w:val="2089"/>
        </w:trPr>
        <w:tc>
          <w:tcPr>
            <w:tcW w:w="1725" w:type="dxa"/>
            <w:vAlign w:val="center"/>
          </w:tcPr>
          <w:p w14:paraId="0319F40F" w14:textId="77777777" w:rsidR="00475FD5" w:rsidRDefault="00475FD5" w:rsidP="00475FD5">
            <w:pPr>
              <w:pStyle w:val="normal0"/>
              <w:jc w:val="center"/>
            </w:pPr>
            <w:r>
              <w:t>Eastern North America</w:t>
            </w:r>
          </w:p>
        </w:tc>
        <w:tc>
          <w:tcPr>
            <w:tcW w:w="2367" w:type="dxa"/>
            <w:vAlign w:val="center"/>
          </w:tcPr>
          <w:p w14:paraId="15B48EFC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syriaca</w:t>
            </w:r>
          </w:p>
          <w:p w14:paraId="4ADE217B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incarnata</w:t>
            </w:r>
          </w:p>
        </w:tc>
        <w:tc>
          <w:tcPr>
            <w:tcW w:w="3659" w:type="dxa"/>
            <w:vAlign w:val="center"/>
          </w:tcPr>
          <w:p w14:paraId="46B7448C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viridis</w:t>
            </w:r>
          </w:p>
          <w:p w14:paraId="7FCD9907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 xml:space="preserve"> A. tuberosa</w:t>
            </w:r>
            <w:r w:rsidRPr="006B5A91">
              <w:rPr>
                <w:i/>
              </w:rPr>
              <w:t xml:space="preserve"> </w:t>
            </w:r>
          </w:p>
          <w:p w14:paraId="0D74B082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humistrata</w:t>
            </w:r>
            <w:r w:rsidRPr="006B5A91">
              <w:rPr>
                <w:i/>
              </w:rPr>
              <w:t xml:space="preserve"> </w:t>
            </w:r>
          </w:p>
          <w:p w14:paraId="50A43495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 xml:space="preserve">A. </w:t>
            </w:r>
            <w:r>
              <w:rPr>
                <w:i/>
              </w:rPr>
              <w:t>asperula</w:t>
            </w:r>
          </w:p>
        </w:tc>
        <w:tc>
          <w:tcPr>
            <w:tcW w:w="3073" w:type="dxa"/>
            <w:vAlign w:val="center"/>
          </w:tcPr>
          <w:p w14:paraId="46820B4D" w14:textId="77777777" w:rsidR="00475FD5" w:rsidRDefault="00475FD5" w:rsidP="00475FD5">
            <w:pPr>
              <w:pStyle w:val="normal0"/>
            </w:pPr>
            <w:r>
              <w:t xml:space="preserve">Twenty </w:t>
            </w:r>
            <w:r w:rsidRPr="00A27BFB">
              <w:rPr>
                <w:i/>
              </w:rPr>
              <w:t>Asclepias</w:t>
            </w:r>
            <w:r>
              <w:t xml:space="preserve"> hosts listed in Malcolm and Brower (1986); </w:t>
            </w:r>
            <w:r w:rsidRPr="00A27BFB">
              <w:rPr>
                <w:i/>
              </w:rPr>
              <w:t>A. syriaca</w:t>
            </w:r>
            <w:r>
              <w:t xml:space="preserve"> is by far the most common eastern host plant and is the natal host for &gt;90% of Mexican overwintering  monarchs (Malcolm et al. 1993)</w:t>
            </w:r>
          </w:p>
        </w:tc>
      </w:tr>
      <w:tr w:rsidR="00475FD5" w14:paraId="11712003" w14:textId="77777777" w:rsidTr="00475FD5">
        <w:trPr>
          <w:trHeight w:val="2089"/>
        </w:trPr>
        <w:tc>
          <w:tcPr>
            <w:tcW w:w="1725" w:type="dxa"/>
            <w:vAlign w:val="center"/>
          </w:tcPr>
          <w:p w14:paraId="22C5F053" w14:textId="77777777" w:rsidR="00475FD5" w:rsidRDefault="00475FD5" w:rsidP="00475FD5">
            <w:pPr>
              <w:pStyle w:val="normal0"/>
              <w:jc w:val="center"/>
            </w:pPr>
            <w:r>
              <w:t>Western North America</w:t>
            </w:r>
          </w:p>
        </w:tc>
        <w:tc>
          <w:tcPr>
            <w:tcW w:w="2367" w:type="dxa"/>
            <w:vAlign w:val="center"/>
          </w:tcPr>
          <w:p w14:paraId="1EA17366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speciosa,</w:t>
            </w:r>
          </w:p>
          <w:p w14:paraId="32D4E254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fascicularis</w:t>
            </w:r>
          </w:p>
        </w:tc>
        <w:tc>
          <w:tcPr>
            <w:tcW w:w="3659" w:type="dxa"/>
            <w:vAlign w:val="center"/>
          </w:tcPr>
          <w:p w14:paraId="2BFB74ED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cordifolia</w:t>
            </w:r>
          </w:p>
          <w:p w14:paraId="68C17BB7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 xml:space="preserve"> A. californica</w:t>
            </w:r>
          </w:p>
          <w:p w14:paraId="61B41097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eriocarpa</w:t>
            </w:r>
          </w:p>
          <w:p w14:paraId="53ED6D63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erosa</w:t>
            </w:r>
          </w:p>
        </w:tc>
        <w:tc>
          <w:tcPr>
            <w:tcW w:w="3073" w:type="dxa"/>
            <w:vAlign w:val="center"/>
          </w:tcPr>
          <w:p w14:paraId="568A4475" w14:textId="77777777" w:rsidR="00475FD5" w:rsidRDefault="00475FD5" w:rsidP="00475FD5">
            <w:pPr>
              <w:pStyle w:val="normal0"/>
            </w:pPr>
            <w:r>
              <w:t xml:space="preserve">Seven </w:t>
            </w:r>
            <w:r w:rsidRPr="00A27BFB">
              <w:rPr>
                <w:i/>
              </w:rPr>
              <w:t>Asclepias</w:t>
            </w:r>
            <w:r>
              <w:t xml:space="preserve"> hosts listed in Malcolm and Brower (1986); </w:t>
            </w:r>
            <w:r w:rsidRPr="00A27BFB">
              <w:rPr>
                <w:i/>
              </w:rPr>
              <w:t>A. speciosa</w:t>
            </w:r>
            <w:r>
              <w:t xml:space="preserve"> almost certainly is the predominant western host and has by far the most extensive geographic range among western </w:t>
            </w:r>
            <w:r w:rsidRPr="00A27BFB">
              <w:rPr>
                <w:i/>
              </w:rPr>
              <w:t>Asclepias</w:t>
            </w:r>
            <w:r>
              <w:t xml:space="preserve"> (Woodson 1954)</w:t>
            </w:r>
          </w:p>
        </w:tc>
      </w:tr>
      <w:tr w:rsidR="00475FD5" w14:paraId="7178F4A7" w14:textId="77777777" w:rsidTr="00475FD5">
        <w:trPr>
          <w:trHeight w:val="1400"/>
        </w:trPr>
        <w:tc>
          <w:tcPr>
            <w:tcW w:w="1725" w:type="dxa"/>
            <w:vAlign w:val="center"/>
          </w:tcPr>
          <w:p w14:paraId="3BE5CEF5" w14:textId="77777777" w:rsidR="00475FD5" w:rsidRDefault="00475FD5" w:rsidP="00475FD5">
            <w:pPr>
              <w:pStyle w:val="normal0"/>
              <w:jc w:val="center"/>
            </w:pPr>
            <w:r>
              <w:t>Hawaii</w:t>
            </w:r>
          </w:p>
        </w:tc>
        <w:tc>
          <w:tcPr>
            <w:tcW w:w="2367" w:type="dxa"/>
            <w:vAlign w:val="center"/>
          </w:tcPr>
          <w:p w14:paraId="7A416BDC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G. physocarpus</w:t>
            </w:r>
          </w:p>
        </w:tc>
        <w:tc>
          <w:tcPr>
            <w:tcW w:w="3659" w:type="dxa"/>
            <w:vAlign w:val="center"/>
          </w:tcPr>
          <w:p w14:paraId="3AD3D57A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C. gigantea</w:t>
            </w:r>
            <w:r w:rsidRPr="006B5A91">
              <w:rPr>
                <w:i/>
              </w:rPr>
              <w:t xml:space="preserve"> </w:t>
            </w:r>
          </w:p>
          <w:p w14:paraId="6BB17B37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curassavica</w:t>
            </w:r>
          </w:p>
        </w:tc>
        <w:tc>
          <w:tcPr>
            <w:tcW w:w="3073" w:type="dxa"/>
            <w:vAlign w:val="center"/>
          </w:tcPr>
          <w:p w14:paraId="12D0DB47" w14:textId="77777777" w:rsidR="00475FD5" w:rsidRDefault="00475FD5" w:rsidP="00475FD5">
            <w:pPr>
              <w:pStyle w:val="normal0"/>
            </w:pPr>
            <w:r w:rsidRPr="00A27BFB">
              <w:rPr>
                <w:i/>
              </w:rPr>
              <w:t>C. gigantea</w:t>
            </w:r>
            <w:r>
              <w:t xml:space="preserve"> widely naturalized and used as a monarch host; </w:t>
            </w:r>
            <w:r w:rsidRPr="00A27BFB">
              <w:rPr>
                <w:i/>
              </w:rPr>
              <w:t xml:space="preserve">A. curassavica </w:t>
            </w:r>
            <w:r>
              <w:t>present but uncommon on Oahu and Maui</w:t>
            </w:r>
          </w:p>
        </w:tc>
      </w:tr>
      <w:tr w:rsidR="00475FD5" w14:paraId="09D2F88E" w14:textId="77777777" w:rsidTr="00475FD5">
        <w:trPr>
          <w:trHeight w:val="1641"/>
        </w:trPr>
        <w:tc>
          <w:tcPr>
            <w:tcW w:w="1725" w:type="dxa"/>
            <w:vAlign w:val="center"/>
          </w:tcPr>
          <w:p w14:paraId="484E9DE8" w14:textId="77777777" w:rsidR="00475FD5" w:rsidRDefault="00475FD5" w:rsidP="00475FD5">
            <w:pPr>
              <w:pStyle w:val="normal0"/>
              <w:jc w:val="center"/>
            </w:pPr>
            <w:r>
              <w:t>Australia</w:t>
            </w:r>
          </w:p>
        </w:tc>
        <w:tc>
          <w:tcPr>
            <w:tcW w:w="2367" w:type="dxa"/>
            <w:vAlign w:val="center"/>
          </w:tcPr>
          <w:p w14:paraId="0B0CB536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G. physocarpus</w:t>
            </w:r>
          </w:p>
        </w:tc>
        <w:tc>
          <w:tcPr>
            <w:tcW w:w="3659" w:type="dxa"/>
            <w:vAlign w:val="center"/>
          </w:tcPr>
          <w:p w14:paraId="019089A0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G. fruticosus</w:t>
            </w:r>
          </w:p>
          <w:p w14:paraId="20FC6AA9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A. curassavica</w:t>
            </w:r>
          </w:p>
          <w:p w14:paraId="0E949D55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C. gigantea</w:t>
            </w:r>
            <w:r w:rsidRPr="006B5A91">
              <w:rPr>
                <w:i/>
              </w:rPr>
              <w:t xml:space="preserve"> </w:t>
            </w:r>
          </w:p>
          <w:p w14:paraId="76646CE0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C. procera</w:t>
            </w:r>
            <w:r w:rsidRPr="006B5A91">
              <w:rPr>
                <w:i/>
              </w:rPr>
              <w:t xml:space="preserve"> </w:t>
            </w:r>
          </w:p>
          <w:p w14:paraId="05B1CF44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G. cancellatus</w:t>
            </w:r>
          </w:p>
        </w:tc>
        <w:tc>
          <w:tcPr>
            <w:tcW w:w="3073" w:type="dxa"/>
            <w:vAlign w:val="center"/>
          </w:tcPr>
          <w:p w14:paraId="11692591" w14:textId="77777777" w:rsidR="00475FD5" w:rsidRDefault="00475FD5" w:rsidP="00475FD5">
            <w:pPr>
              <w:pStyle w:val="normal0"/>
            </w:pPr>
            <w:r w:rsidRPr="00A27BFB">
              <w:rPr>
                <w:i/>
              </w:rPr>
              <w:t>G. fruticosus</w:t>
            </w:r>
            <w:r>
              <w:t xml:space="preserve"> widespread and co-occurs broadly with </w:t>
            </w:r>
            <w:r w:rsidRPr="00A27BFB">
              <w:rPr>
                <w:i/>
              </w:rPr>
              <w:t>G. physocarups</w:t>
            </w:r>
            <w:r>
              <w:t xml:space="preserve">; </w:t>
            </w:r>
            <w:r w:rsidRPr="00A27BFB">
              <w:rPr>
                <w:i/>
              </w:rPr>
              <w:t>Calotropis spp.</w:t>
            </w:r>
            <w:r>
              <w:t xml:space="preserve"> grow primarily in semi-arid areas; </w:t>
            </w:r>
            <w:r w:rsidRPr="00A27BFB">
              <w:rPr>
                <w:i/>
              </w:rPr>
              <w:t>A. curassavica</w:t>
            </w:r>
            <w:r>
              <w:t xml:space="preserve"> present but infrequent in some areas of Queensland</w:t>
            </w:r>
          </w:p>
        </w:tc>
      </w:tr>
      <w:tr w:rsidR="00475FD5" w14:paraId="4461C965" w14:textId="77777777" w:rsidTr="00475FD5">
        <w:trPr>
          <w:trHeight w:val="1159"/>
        </w:trPr>
        <w:tc>
          <w:tcPr>
            <w:tcW w:w="1725" w:type="dxa"/>
            <w:vAlign w:val="center"/>
          </w:tcPr>
          <w:p w14:paraId="7D9620FF" w14:textId="77777777" w:rsidR="00475FD5" w:rsidRDefault="00475FD5" w:rsidP="00475FD5">
            <w:pPr>
              <w:pStyle w:val="normal0"/>
              <w:jc w:val="center"/>
            </w:pPr>
            <w:r>
              <w:t>Guam</w:t>
            </w:r>
          </w:p>
        </w:tc>
        <w:tc>
          <w:tcPr>
            <w:tcW w:w="2367" w:type="dxa"/>
            <w:vAlign w:val="center"/>
          </w:tcPr>
          <w:p w14:paraId="037CC66F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curassavica</w:t>
            </w:r>
          </w:p>
        </w:tc>
        <w:tc>
          <w:tcPr>
            <w:tcW w:w="3659" w:type="dxa"/>
            <w:vAlign w:val="center"/>
          </w:tcPr>
          <w:p w14:paraId="64D54419" w14:textId="77777777" w:rsidR="00475FD5" w:rsidRPr="00222A89" w:rsidRDefault="00475FD5" w:rsidP="00475FD5">
            <w:pPr>
              <w:pStyle w:val="normal0"/>
              <w:jc w:val="center"/>
            </w:pPr>
            <w:r>
              <w:t>None observed</w:t>
            </w:r>
          </w:p>
        </w:tc>
        <w:tc>
          <w:tcPr>
            <w:tcW w:w="3073" w:type="dxa"/>
            <w:vAlign w:val="center"/>
          </w:tcPr>
          <w:p w14:paraId="64A260A0" w14:textId="77777777" w:rsidR="00475FD5" w:rsidRDefault="00475FD5" w:rsidP="00475FD5">
            <w:pPr>
              <w:pStyle w:val="normal0"/>
            </w:pPr>
            <w:r w:rsidRPr="00A27BFB">
              <w:rPr>
                <w:i/>
              </w:rPr>
              <w:t>A. curassavica</w:t>
            </w:r>
            <w:r>
              <w:t xml:space="preserve"> widely naturalized in disturbed areas; </w:t>
            </w:r>
            <w:r w:rsidRPr="00A27BFB">
              <w:rPr>
                <w:i/>
              </w:rPr>
              <w:t>C. gigantea</w:t>
            </w:r>
            <w:r>
              <w:t xml:space="preserve"> seen once as an ornamental garden plant</w:t>
            </w:r>
          </w:p>
        </w:tc>
      </w:tr>
      <w:tr w:rsidR="00475FD5" w14:paraId="01AAB1A4" w14:textId="77777777" w:rsidTr="00475FD5">
        <w:trPr>
          <w:trHeight w:val="1641"/>
        </w:trPr>
        <w:tc>
          <w:tcPr>
            <w:tcW w:w="1725" w:type="dxa"/>
            <w:vAlign w:val="center"/>
          </w:tcPr>
          <w:p w14:paraId="7677F76A" w14:textId="77777777" w:rsidR="00475FD5" w:rsidRDefault="00475FD5" w:rsidP="00475FD5">
            <w:pPr>
              <w:pStyle w:val="normal0"/>
              <w:jc w:val="center"/>
            </w:pPr>
            <w:r>
              <w:t>Puerto Rico</w:t>
            </w:r>
          </w:p>
        </w:tc>
        <w:tc>
          <w:tcPr>
            <w:tcW w:w="2367" w:type="dxa"/>
            <w:vAlign w:val="center"/>
          </w:tcPr>
          <w:p w14:paraId="735B8189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curassavica</w:t>
            </w:r>
          </w:p>
        </w:tc>
        <w:tc>
          <w:tcPr>
            <w:tcW w:w="3659" w:type="dxa"/>
            <w:vAlign w:val="center"/>
          </w:tcPr>
          <w:p w14:paraId="1885517E" w14:textId="77777777" w:rsidR="00475FD5" w:rsidRDefault="00475FD5" w:rsidP="00475FD5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C. procera</w:t>
            </w:r>
            <w:r w:rsidRPr="006B5A91">
              <w:rPr>
                <w:i/>
              </w:rPr>
              <w:t xml:space="preserve"> </w:t>
            </w:r>
          </w:p>
          <w:p w14:paraId="4D9417D4" w14:textId="77777777" w:rsidR="00475FD5" w:rsidRPr="006B5A91" w:rsidRDefault="00475FD5" w:rsidP="00475FD5">
            <w:pPr>
              <w:pStyle w:val="normal0"/>
              <w:jc w:val="center"/>
              <w:rPr>
                <w:i/>
              </w:rPr>
            </w:pPr>
            <w:r w:rsidRPr="006B5A91">
              <w:rPr>
                <w:i/>
              </w:rPr>
              <w:t>A. nivea</w:t>
            </w:r>
          </w:p>
        </w:tc>
        <w:tc>
          <w:tcPr>
            <w:tcW w:w="3073" w:type="dxa"/>
            <w:vAlign w:val="center"/>
          </w:tcPr>
          <w:p w14:paraId="4562FDAD" w14:textId="77777777" w:rsidR="00475FD5" w:rsidRDefault="00475FD5" w:rsidP="00475FD5">
            <w:pPr>
              <w:pStyle w:val="normal0"/>
            </w:pPr>
            <w:r w:rsidRPr="00A27BFB">
              <w:rPr>
                <w:i/>
              </w:rPr>
              <w:t>A. curassavica</w:t>
            </w:r>
            <w:r>
              <w:t xml:space="preserve"> infrequent but widespread in mesic environments; </w:t>
            </w:r>
            <w:r w:rsidRPr="00A27BFB">
              <w:rPr>
                <w:i/>
              </w:rPr>
              <w:t>C. procera</w:t>
            </w:r>
            <w:r>
              <w:t xml:space="preserve"> widespread and locally abundant in semi-arid areas; </w:t>
            </w:r>
            <w:r w:rsidRPr="00A27BFB">
              <w:rPr>
                <w:i/>
              </w:rPr>
              <w:t>A. nivea</w:t>
            </w:r>
            <w:r>
              <w:t xml:space="preserve"> very uncommon</w:t>
            </w:r>
          </w:p>
        </w:tc>
      </w:tr>
      <w:tr w:rsidR="00475FD5" w14:paraId="60042F38" w14:textId="77777777" w:rsidTr="00475FD5">
        <w:trPr>
          <w:trHeight w:val="288"/>
        </w:trPr>
        <w:tc>
          <w:tcPr>
            <w:tcW w:w="10824" w:type="dxa"/>
            <w:gridSpan w:val="4"/>
            <w:vAlign w:val="center"/>
          </w:tcPr>
          <w:p w14:paraId="0C6D8140" w14:textId="77777777" w:rsidR="00475FD5" w:rsidRPr="00A27BFB" w:rsidRDefault="00475FD5" w:rsidP="00475FD5">
            <w:pPr>
              <w:pStyle w:val="normal0"/>
            </w:pPr>
            <w:r w:rsidRPr="00A27BFB">
              <w:rPr>
                <w:b/>
              </w:rPr>
              <w:t>Table S1</w:t>
            </w:r>
            <w:r>
              <w:t>: Monarch populations and milkweed species used in the current study, along with notes on other available host plant species for each monarch population.</w:t>
            </w:r>
          </w:p>
        </w:tc>
      </w:tr>
    </w:tbl>
    <w:p w14:paraId="1B94664E" w14:textId="77777777" w:rsidR="004C5CDD" w:rsidRDefault="004C5CDD" w:rsidP="00475FD5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D5"/>
    <w:rsid w:val="00475FD5"/>
    <w:rsid w:val="004C5CDD"/>
    <w:rsid w:val="006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FC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D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FD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475FD5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D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FD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475FD5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Macintosh Word</Application>
  <DocSecurity>0</DocSecurity>
  <Lines>12</Lines>
  <Paragraphs>3</Paragraphs>
  <ScaleCrop>false</ScaleCrop>
  <Company>University of California, Davis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2019-07-08T06:10:00Z</dcterms:created>
  <dcterms:modified xsi:type="dcterms:W3CDTF">2019-07-09T19:20:00Z</dcterms:modified>
</cp:coreProperties>
</file>