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D355C" w14:textId="1C9DF308" w:rsidR="0058710D" w:rsidRPr="00614A1E" w:rsidRDefault="0058710D" w:rsidP="0058710D">
      <w:pPr>
        <w:jc w:val="center"/>
        <w:rPr>
          <w:rFonts w:asciiTheme="majorHAnsi" w:hAnsiTheme="majorHAnsi" w:cstheme="majorHAnsi"/>
          <w:b/>
          <w:bCs/>
        </w:rPr>
      </w:pPr>
      <w:r w:rsidRPr="00614A1E">
        <w:rPr>
          <w:rFonts w:asciiTheme="majorHAnsi" w:hAnsiTheme="majorHAnsi" w:cstheme="majorHAnsi"/>
          <w:b/>
          <w:bCs/>
        </w:rPr>
        <w:t xml:space="preserve">Appendix </w:t>
      </w:r>
      <w:r>
        <w:rPr>
          <w:rFonts w:asciiTheme="majorHAnsi" w:hAnsiTheme="majorHAnsi" w:cstheme="majorHAnsi"/>
          <w:b/>
          <w:bCs/>
        </w:rPr>
        <w:t>2</w:t>
      </w:r>
    </w:p>
    <w:p w14:paraId="35B4E217" w14:textId="77777777" w:rsidR="0058710D" w:rsidRPr="00397077" w:rsidRDefault="0058710D" w:rsidP="0058710D">
      <w:pPr>
        <w:jc w:val="center"/>
        <w:rPr>
          <w:rFonts w:asciiTheme="majorHAnsi" w:hAnsiTheme="majorHAnsi" w:cstheme="majorHAnsi"/>
        </w:rPr>
      </w:pPr>
    </w:p>
    <w:p w14:paraId="76B6708E" w14:textId="764EC9F1" w:rsidR="008B3A17" w:rsidRPr="008B3A17" w:rsidRDefault="0058710D" w:rsidP="008B3A17">
      <w:pPr>
        <w:jc w:val="both"/>
        <w:rPr>
          <w:rFonts w:asciiTheme="majorHAnsi" w:hAnsiTheme="majorHAnsi" w:cstheme="majorHAnsi"/>
        </w:rPr>
      </w:pPr>
      <w:r>
        <w:rPr>
          <w:rFonts w:asciiTheme="majorHAnsi" w:hAnsiTheme="majorHAnsi" w:cstheme="majorHAnsi"/>
        </w:rPr>
        <w:tab/>
      </w:r>
      <w:r>
        <w:rPr>
          <w:rFonts w:asciiTheme="majorHAnsi" w:hAnsiTheme="majorHAnsi" w:cstheme="majorHAnsi"/>
        </w:rPr>
        <w:t>To compare overwintering eastern and western populations, we used data from WWF Mexico (eastern) and Schultz et al. (2017) and the Xerces Society Thanksgiving monarch count (western). Eastern overwintering numbers are displayed as hectares occupied, with each hectare corresponding to approximately 21-28 million adults monarchs (</w:t>
      </w:r>
      <w:proofErr w:type="spellStart"/>
      <w:r>
        <w:rPr>
          <w:rFonts w:asciiTheme="majorHAnsi" w:hAnsiTheme="majorHAnsi" w:cstheme="majorHAnsi"/>
        </w:rPr>
        <w:t>Thogmartin</w:t>
      </w:r>
      <w:proofErr w:type="spellEnd"/>
      <w:r>
        <w:rPr>
          <w:rFonts w:asciiTheme="majorHAnsi" w:hAnsiTheme="majorHAnsi" w:cstheme="majorHAnsi"/>
        </w:rPr>
        <w:t xml:space="preserve"> et al. 2017). We used simple linear regression to test for a correlation between eastern and western overwintering numbers within a given year and found only a weak positive correlation (R</w:t>
      </w:r>
      <w:r>
        <w:rPr>
          <w:rFonts w:asciiTheme="majorHAnsi" w:hAnsiTheme="majorHAnsi" w:cstheme="majorHAnsi"/>
          <w:vertAlign w:val="superscript"/>
        </w:rPr>
        <w:t>2</w:t>
      </w:r>
      <w:r>
        <w:rPr>
          <w:rFonts w:asciiTheme="majorHAnsi" w:hAnsiTheme="majorHAnsi" w:cstheme="majorHAnsi"/>
        </w:rPr>
        <w:t xml:space="preserve"> = 0.02, p = 0.41), shown in Figure 1B.</w:t>
      </w:r>
    </w:p>
    <w:p w14:paraId="15AF9B25" w14:textId="3A69F833" w:rsidR="008B3A17" w:rsidRPr="001F7E99" w:rsidRDefault="0058710D" w:rsidP="0058710D">
      <w:pPr>
        <w:jc w:val="both"/>
        <w:rPr>
          <w:rFonts w:asciiTheme="majorHAnsi" w:hAnsiTheme="majorHAnsi" w:cstheme="majorHAnsi"/>
        </w:rPr>
      </w:pPr>
      <w:r>
        <w:rPr>
          <w:rFonts w:asciiTheme="majorHAnsi" w:hAnsiTheme="majorHAnsi" w:cstheme="majorHAnsi"/>
        </w:rPr>
        <w:tab/>
        <w:t>Based on an earlier analysis suggesting that western overwintering numbers may be correlated with the previous year’s eastern population (</w:t>
      </w:r>
      <w:proofErr w:type="spellStart"/>
      <w:r>
        <w:rPr>
          <w:rFonts w:asciiTheme="majorHAnsi" w:hAnsiTheme="majorHAnsi" w:cstheme="majorHAnsi"/>
        </w:rPr>
        <w:t>Vandenbosch</w:t>
      </w:r>
      <w:proofErr w:type="spellEnd"/>
      <w:r>
        <w:rPr>
          <w:rFonts w:asciiTheme="majorHAnsi" w:hAnsiTheme="majorHAnsi" w:cstheme="majorHAnsi"/>
        </w:rPr>
        <w:t xml:space="preserve"> 2007), we conducted a similar analysis, shown below in Figure S1. We also found that western overwintering numbers are significantly positively correlated with eastern overwintering numbers in the preceding year (R</w:t>
      </w:r>
      <w:r>
        <w:rPr>
          <w:rFonts w:asciiTheme="majorHAnsi" w:hAnsiTheme="majorHAnsi" w:cstheme="majorHAnsi"/>
          <w:vertAlign w:val="superscript"/>
        </w:rPr>
        <w:t>2</w:t>
      </w:r>
      <w:r>
        <w:rPr>
          <w:rFonts w:asciiTheme="majorHAnsi" w:hAnsiTheme="majorHAnsi" w:cstheme="majorHAnsi"/>
        </w:rPr>
        <w:t xml:space="preserve"> = 0.50, p &lt; 0.001), consistent with </w:t>
      </w:r>
      <w:proofErr w:type="spellStart"/>
      <w:r>
        <w:rPr>
          <w:rFonts w:asciiTheme="majorHAnsi" w:hAnsiTheme="majorHAnsi" w:cstheme="majorHAnsi"/>
        </w:rPr>
        <w:t>Vandenbosch</w:t>
      </w:r>
      <w:proofErr w:type="spellEnd"/>
      <w:r>
        <w:rPr>
          <w:rFonts w:asciiTheme="majorHAnsi" w:hAnsiTheme="majorHAnsi" w:cstheme="majorHAnsi"/>
        </w:rPr>
        <w:t xml:space="preserve"> (2007). However, we note that this analysis is driven almost entirely by </w:t>
      </w:r>
      <w:r w:rsidRPr="001F7E99">
        <w:rPr>
          <w:rFonts w:asciiTheme="majorHAnsi" w:hAnsiTheme="majorHAnsi" w:cstheme="majorHAnsi"/>
        </w:rPr>
        <w:t xml:space="preserve">two years of high abundance in western North America (1996 and 1997) that also correspond to years with high uncertainty in overwintering estimates (Schultz et al. 2017). When these two years are omitted from analysis, the correlation is no longer significant (Figure S2). </w:t>
      </w:r>
      <w:r w:rsidR="00873766" w:rsidRPr="001F7E99">
        <w:rPr>
          <w:rFonts w:asciiTheme="majorHAnsi" w:hAnsiTheme="majorHAnsi" w:cstheme="majorHAnsi"/>
        </w:rPr>
        <w:t xml:space="preserve">The positive correlation between eastern and western overwintering numbers (both within years and using a one-year time lag) may also </w:t>
      </w:r>
      <w:r w:rsidR="00482461">
        <w:rPr>
          <w:rFonts w:asciiTheme="majorHAnsi" w:hAnsiTheme="majorHAnsi" w:cstheme="majorHAnsi"/>
        </w:rPr>
        <w:t>reflect that both populations have declined over their monitoring periods, though likely for different</w:t>
      </w:r>
      <w:r w:rsidR="00365951">
        <w:rPr>
          <w:rFonts w:asciiTheme="majorHAnsi" w:hAnsiTheme="majorHAnsi" w:cstheme="majorHAnsi"/>
        </w:rPr>
        <w:t xml:space="preserve"> underlying</w:t>
      </w:r>
      <w:r w:rsidR="00482461">
        <w:rPr>
          <w:rFonts w:asciiTheme="majorHAnsi" w:hAnsiTheme="majorHAnsi" w:cstheme="majorHAnsi"/>
        </w:rPr>
        <w:t xml:space="preserve"> reasons (</w:t>
      </w:r>
      <w:r w:rsidR="00365951">
        <w:rPr>
          <w:rFonts w:asciiTheme="majorHAnsi" w:hAnsiTheme="majorHAnsi" w:cstheme="majorHAnsi"/>
        </w:rPr>
        <w:t xml:space="preserve">Pleasants and </w:t>
      </w:r>
      <w:proofErr w:type="spellStart"/>
      <w:r w:rsidR="00365951">
        <w:rPr>
          <w:rFonts w:asciiTheme="majorHAnsi" w:hAnsiTheme="majorHAnsi" w:cstheme="majorHAnsi"/>
        </w:rPr>
        <w:t>Oberhauser</w:t>
      </w:r>
      <w:proofErr w:type="spellEnd"/>
      <w:r w:rsidR="00365951">
        <w:rPr>
          <w:rFonts w:asciiTheme="majorHAnsi" w:hAnsiTheme="majorHAnsi" w:cstheme="majorHAnsi"/>
        </w:rPr>
        <w:t xml:space="preserve"> 2013, Agrawal and Inamine 2018, </w:t>
      </w:r>
      <w:r w:rsidR="00482461">
        <w:rPr>
          <w:rFonts w:asciiTheme="majorHAnsi" w:hAnsiTheme="majorHAnsi" w:cstheme="majorHAnsi"/>
        </w:rPr>
        <w:t>Crone et al. 2019)</w:t>
      </w:r>
      <w:r w:rsidR="00365951">
        <w:rPr>
          <w:rFonts w:asciiTheme="majorHAnsi" w:hAnsiTheme="majorHAnsi" w:cstheme="majorHAnsi"/>
        </w:rPr>
        <w:t>.</w:t>
      </w:r>
    </w:p>
    <w:p w14:paraId="6815F0EC" w14:textId="2CC88266" w:rsidR="008B3A17" w:rsidRPr="001F7E99" w:rsidRDefault="008B3A17" w:rsidP="0058710D">
      <w:pPr>
        <w:jc w:val="both"/>
        <w:rPr>
          <w:rFonts w:asciiTheme="majorHAnsi" w:hAnsiTheme="majorHAnsi" w:cstheme="majorHAnsi"/>
        </w:rPr>
      </w:pPr>
    </w:p>
    <w:p w14:paraId="233F55C7" w14:textId="03C4FC75" w:rsidR="008B3A17" w:rsidRPr="001F7E99" w:rsidRDefault="008B3A17" w:rsidP="008B3A17">
      <w:pPr>
        <w:jc w:val="center"/>
        <w:rPr>
          <w:rFonts w:asciiTheme="majorHAnsi" w:hAnsiTheme="majorHAnsi" w:cstheme="majorHAnsi"/>
          <w:b/>
          <w:bCs/>
        </w:rPr>
      </w:pPr>
      <w:r w:rsidRPr="001F7E99">
        <w:rPr>
          <w:rFonts w:asciiTheme="majorHAnsi" w:hAnsiTheme="majorHAnsi" w:cstheme="majorHAnsi"/>
          <w:b/>
          <w:bCs/>
        </w:rPr>
        <w:t>References</w:t>
      </w:r>
    </w:p>
    <w:p w14:paraId="3715D013" w14:textId="5ADC2BE3" w:rsidR="008B3A17" w:rsidRPr="001F7E99" w:rsidRDefault="008B3A17" w:rsidP="008B3A17">
      <w:pPr>
        <w:jc w:val="center"/>
        <w:rPr>
          <w:rFonts w:asciiTheme="majorHAnsi" w:hAnsiTheme="majorHAnsi" w:cstheme="majorHAnsi"/>
        </w:rPr>
      </w:pPr>
    </w:p>
    <w:p w14:paraId="093DFD2B" w14:textId="39F393E0" w:rsidR="00365951" w:rsidRPr="00365951" w:rsidRDefault="00365951" w:rsidP="00365951">
      <w:pPr>
        <w:pStyle w:val="ListParagraph"/>
        <w:numPr>
          <w:ilvl w:val="0"/>
          <w:numId w:val="1"/>
        </w:numPr>
        <w:rPr>
          <w:rFonts w:asciiTheme="majorHAnsi" w:hAnsiTheme="majorHAnsi" w:cstheme="majorHAnsi"/>
        </w:rPr>
      </w:pPr>
      <w:r w:rsidRPr="00365951">
        <w:rPr>
          <w:rFonts w:asciiTheme="majorHAnsi" w:hAnsiTheme="majorHAnsi" w:cstheme="majorHAnsi"/>
        </w:rPr>
        <w:t xml:space="preserve">Agrawal, A.A. &amp; Inamine, H. (2018). Mechanisms behind the monarch’s decline. </w:t>
      </w:r>
      <w:r w:rsidRPr="00365951">
        <w:rPr>
          <w:rFonts w:asciiTheme="majorHAnsi" w:hAnsiTheme="majorHAnsi" w:cstheme="majorHAnsi"/>
          <w:i/>
          <w:iCs/>
        </w:rPr>
        <w:t>Science</w:t>
      </w:r>
      <w:r w:rsidRPr="00365951">
        <w:rPr>
          <w:rFonts w:asciiTheme="majorHAnsi" w:hAnsiTheme="majorHAnsi" w:cstheme="majorHAnsi"/>
        </w:rPr>
        <w:t>, 360, 1294–1296.</w:t>
      </w:r>
    </w:p>
    <w:p w14:paraId="2E3A46A7" w14:textId="7701559A" w:rsidR="00482461" w:rsidRPr="00365951" w:rsidRDefault="00482461" w:rsidP="00482461">
      <w:pPr>
        <w:pStyle w:val="ListParagraph"/>
        <w:numPr>
          <w:ilvl w:val="0"/>
          <w:numId w:val="1"/>
        </w:numPr>
        <w:rPr>
          <w:rFonts w:asciiTheme="majorHAnsi" w:hAnsiTheme="majorHAnsi" w:cstheme="majorHAnsi"/>
        </w:rPr>
      </w:pPr>
      <w:r w:rsidRPr="00365951">
        <w:rPr>
          <w:rFonts w:asciiTheme="majorHAnsi" w:hAnsiTheme="majorHAnsi" w:cstheme="majorHAnsi"/>
        </w:rPr>
        <w:t xml:space="preserve">Crone, E.E., Pelton, E.M., Brown, L.M., Thomas, C.C. &amp; Schultz, C.B. (2019). Why are monarch butterflies declining in the West? Understanding the importance of multiple correlated drivers. </w:t>
      </w:r>
      <w:r w:rsidRPr="00365951">
        <w:rPr>
          <w:rFonts w:asciiTheme="majorHAnsi" w:hAnsiTheme="majorHAnsi" w:cstheme="majorHAnsi"/>
          <w:i/>
          <w:iCs/>
        </w:rPr>
        <w:t>Ecol. Appl.</w:t>
      </w:r>
      <w:r w:rsidRPr="00365951">
        <w:rPr>
          <w:rFonts w:asciiTheme="majorHAnsi" w:hAnsiTheme="majorHAnsi" w:cstheme="majorHAnsi"/>
        </w:rPr>
        <w:t>, 29, e01975.</w:t>
      </w:r>
    </w:p>
    <w:p w14:paraId="3596C57E" w14:textId="0E79F038" w:rsidR="00365951" w:rsidRPr="00365951" w:rsidRDefault="00365951" w:rsidP="00365951">
      <w:pPr>
        <w:pStyle w:val="ListParagraph"/>
        <w:numPr>
          <w:ilvl w:val="0"/>
          <w:numId w:val="1"/>
        </w:numPr>
        <w:rPr>
          <w:rFonts w:asciiTheme="majorHAnsi" w:hAnsiTheme="majorHAnsi" w:cstheme="majorHAnsi"/>
        </w:rPr>
      </w:pPr>
      <w:r w:rsidRPr="00365951">
        <w:rPr>
          <w:rFonts w:asciiTheme="majorHAnsi" w:hAnsiTheme="majorHAnsi" w:cstheme="majorHAnsi"/>
        </w:rPr>
        <w:t xml:space="preserve">Pleasants, J.M. &amp; </w:t>
      </w:r>
      <w:proofErr w:type="spellStart"/>
      <w:r w:rsidRPr="00365951">
        <w:rPr>
          <w:rFonts w:asciiTheme="majorHAnsi" w:hAnsiTheme="majorHAnsi" w:cstheme="majorHAnsi"/>
        </w:rPr>
        <w:t>Oberhauser</w:t>
      </w:r>
      <w:proofErr w:type="spellEnd"/>
      <w:r w:rsidRPr="00365951">
        <w:rPr>
          <w:rFonts w:asciiTheme="majorHAnsi" w:hAnsiTheme="majorHAnsi" w:cstheme="majorHAnsi"/>
        </w:rPr>
        <w:t xml:space="preserve">, K.S. (2013). Milkweed loss in agricultural fields because of herbicide use: effect on the monarch butterfly population. </w:t>
      </w:r>
      <w:r w:rsidRPr="00365951">
        <w:rPr>
          <w:rFonts w:asciiTheme="majorHAnsi" w:hAnsiTheme="majorHAnsi" w:cstheme="majorHAnsi"/>
          <w:i/>
          <w:iCs/>
        </w:rPr>
        <w:t xml:space="preserve">Insect </w:t>
      </w:r>
      <w:proofErr w:type="spellStart"/>
      <w:r w:rsidRPr="00365951">
        <w:rPr>
          <w:rFonts w:asciiTheme="majorHAnsi" w:hAnsiTheme="majorHAnsi" w:cstheme="majorHAnsi"/>
          <w:i/>
          <w:iCs/>
        </w:rPr>
        <w:t>Conserv</w:t>
      </w:r>
      <w:proofErr w:type="spellEnd"/>
      <w:r w:rsidRPr="00365951">
        <w:rPr>
          <w:rFonts w:asciiTheme="majorHAnsi" w:hAnsiTheme="majorHAnsi" w:cstheme="majorHAnsi"/>
          <w:i/>
          <w:iCs/>
        </w:rPr>
        <w:t>. Divers.</w:t>
      </w:r>
      <w:r w:rsidRPr="00365951">
        <w:rPr>
          <w:rFonts w:asciiTheme="majorHAnsi" w:hAnsiTheme="majorHAnsi" w:cstheme="majorHAnsi"/>
        </w:rPr>
        <w:t>, 6, 135–144.</w:t>
      </w:r>
    </w:p>
    <w:p w14:paraId="195DA3EE" w14:textId="663584F3" w:rsidR="008B3A17" w:rsidRPr="00365951" w:rsidRDefault="008B3A17" w:rsidP="008B3A17">
      <w:pPr>
        <w:pStyle w:val="ListParagraph"/>
        <w:numPr>
          <w:ilvl w:val="0"/>
          <w:numId w:val="1"/>
        </w:numPr>
        <w:rPr>
          <w:rFonts w:asciiTheme="majorHAnsi" w:hAnsiTheme="majorHAnsi" w:cstheme="majorHAnsi"/>
        </w:rPr>
      </w:pPr>
      <w:r w:rsidRPr="00365951">
        <w:rPr>
          <w:rFonts w:asciiTheme="majorHAnsi" w:hAnsiTheme="majorHAnsi" w:cstheme="majorHAnsi"/>
        </w:rPr>
        <w:t xml:space="preserve">Schultz, C.B., Brown, L.M., Pelton, E. &amp; Crone, E.E. (2017). Citizen science monitoring demonstrates dramatic declines of monarch butterflies in western North America. </w:t>
      </w:r>
      <w:r w:rsidRPr="00365951">
        <w:rPr>
          <w:rFonts w:asciiTheme="majorHAnsi" w:hAnsiTheme="majorHAnsi" w:cstheme="majorHAnsi"/>
          <w:i/>
          <w:iCs/>
        </w:rPr>
        <w:t xml:space="preserve">Biol. </w:t>
      </w:r>
      <w:proofErr w:type="spellStart"/>
      <w:r w:rsidRPr="00365951">
        <w:rPr>
          <w:rFonts w:asciiTheme="majorHAnsi" w:hAnsiTheme="majorHAnsi" w:cstheme="majorHAnsi"/>
          <w:i/>
          <w:iCs/>
        </w:rPr>
        <w:t>Conserv</w:t>
      </w:r>
      <w:proofErr w:type="spellEnd"/>
      <w:r w:rsidRPr="00365951">
        <w:rPr>
          <w:rFonts w:asciiTheme="majorHAnsi" w:hAnsiTheme="majorHAnsi" w:cstheme="majorHAnsi"/>
          <w:i/>
          <w:iCs/>
        </w:rPr>
        <w:t>.</w:t>
      </w:r>
      <w:r w:rsidRPr="00365951">
        <w:rPr>
          <w:rFonts w:asciiTheme="majorHAnsi" w:hAnsiTheme="majorHAnsi" w:cstheme="majorHAnsi"/>
        </w:rPr>
        <w:t>, 214, 343–346.</w:t>
      </w:r>
    </w:p>
    <w:p w14:paraId="6EFD6147" w14:textId="62B1B562" w:rsidR="008B3A17" w:rsidRPr="00365951" w:rsidRDefault="008B3A17" w:rsidP="008B3A17">
      <w:pPr>
        <w:pStyle w:val="ListParagraph"/>
        <w:numPr>
          <w:ilvl w:val="0"/>
          <w:numId w:val="1"/>
        </w:numPr>
        <w:rPr>
          <w:rFonts w:asciiTheme="majorHAnsi" w:hAnsiTheme="majorHAnsi" w:cstheme="majorHAnsi"/>
        </w:rPr>
      </w:pPr>
      <w:proofErr w:type="spellStart"/>
      <w:r w:rsidRPr="00365951">
        <w:rPr>
          <w:rFonts w:asciiTheme="majorHAnsi" w:hAnsiTheme="majorHAnsi" w:cstheme="majorHAnsi"/>
        </w:rPr>
        <w:t>Thogmartin</w:t>
      </w:r>
      <w:proofErr w:type="spellEnd"/>
      <w:r w:rsidRPr="00365951">
        <w:rPr>
          <w:rFonts w:asciiTheme="majorHAnsi" w:hAnsiTheme="majorHAnsi" w:cstheme="majorHAnsi"/>
        </w:rPr>
        <w:t xml:space="preserve">, W.E., </w:t>
      </w:r>
      <w:proofErr w:type="spellStart"/>
      <w:r w:rsidRPr="00365951">
        <w:rPr>
          <w:rFonts w:asciiTheme="majorHAnsi" w:hAnsiTheme="majorHAnsi" w:cstheme="majorHAnsi"/>
        </w:rPr>
        <w:t>Diffendorfer</w:t>
      </w:r>
      <w:proofErr w:type="spellEnd"/>
      <w:r w:rsidRPr="00365951">
        <w:rPr>
          <w:rFonts w:asciiTheme="majorHAnsi" w:hAnsiTheme="majorHAnsi" w:cstheme="majorHAnsi"/>
        </w:rPr>
        <w:t xml:space="preserve">, J.E., López-Hoffman, L., </w:t>
      </w:r>
      <w:proofErr w:type="spellStart"/>
      <w:r w:rsidRPr="00365951">
        <w:rPr>
          <w:rFonts w:asciiTheme="majorHAnsi" w:hAnsiTheme="majorHAnsi" w:cstheme="majorHAnsi"/>
        </w:rPr>
        <w:t>Oberhauser</w:t>
      </w:r>
      <w:proofErr w:type="spellEnd"/>
      <w:r w:rsidRPr="00365951">
        <w:rPr>
          <w:rFonts w:asciiTheme="majorHAnsi" w:hAnsiTheme="majorHAnsi" w:cstheme="majorHAnsi"/>
        </w:rPr>
        <w:t xml:space="preserve">, K., Pleasants, J., Semmens, B.X., </w:t>
      </w:r>
      <w:r w:rsidRPr="00365951">
        <w:rPr>
          <w:rFonts w:asciiTheme="majorHAnsi" w:hAnsiTheme="majorHAnsi" w:cstheme="majorHAnsi"/>
          <w:i/>
          <w:iCs/>
        </w:rPr>
        <w:t>et al.</w:t>
      </w:r>
      <w:r w:rsidRPr="00365951">
        <w:rPr>
          <w:rFonts w:asciiTheme="majorHAnsi" w:hAnsiTheme="majorHAnsi" w:cstheme="majorHAnsi"/>
        </w:rPr>
        <w:t xml:space="preserve"> (2017). Density estimates of monarch butterflies overwintering in central Mexico. </w:t>
      </w:r>
      <w:proofErr w:type="spellStart"/>
      <w:r w:rsidRPr="00365951">
        <w:rPr>
          <w:rFonts w:asciiTheme="majorHAnsi" w:hAnsiTheme="majorHAnsi" w:cstheme="majorHAnsi"/>
          <w:i/>
          <w:iCs/>
        </w:rPr>
        <w:t>PeerJ</w:t>
      </w:r>
      <w:proofErr w:type="spellEnd"/>
      <w:r w:rsidRPr="00365951">
        <w:rPr>
          <w:rFonts w:asciiTheme="majorHAnsi" w:hAnsiTheme="majorHAnsi" w:cstheme="majorHAnsi"/>
        </w:rPr>
        <w:t>, 5, e3221.</w:t>
      </w:r>
    </w:p>
    <w:p w14:paraId="080559C5" w14:textId="2BFBF9D1" w:rsidR="008B3A17" w:rsidRPr="00365951" w:rsidRDefault="008B3A17" w:rsidP="001F7E99">
      <w:pPr>
        <w:pStyle w:val="ListParagraph"/>
        <w:numPr>
          <w:ilvl w:val="0"/>
          <w:numId w:val="1"/>
        </w:numPr>
        <w:rPr>
          <w:rFonts w:asciiTheme="majorHAnsi" w:hAnsiTheme="majorHAnsi" w:cstheme="majorHAnsi"/>
        </w:rPr>
      </w:pPr>
      <w:proofErr w:type="spellStart"/>
      <w:r w:rsidRPr="00365951">
        <w:rPr>
          <w:rFonts w:asciiTheme="majorHAnsi" w:hAnsiTheme="majorHAnsi" w:cstheme="majorHAnsi"/>
        </w:rPr>
        <w:t>Vandenbosch</w:t>
      </w:r>
      <w:proofErr w:type="spellEnd"/>
      <w:r w:rsidRPr="00365951">
        <w:rPr>
          <w:rFonts w:asciiTheme="majorHAnsi" w:hAnsiTheme="majorHAnsi" w:cstheme="majorHAnsi"/>
        </w:rPr>
        <w:t xml:space="preserve">, R. </w:t>
      </w:r>
      <w:r w:rsidR="001F7E99" w:rsidRPr="00365951">
        <w:rPr>
          <w:rFonts w:asciiTheme="majorHAnsi" w:hAnsiTheme="majorHAnsi" w:cstheme="majorHAnsi"/>
        </w:rPr>
        <w:t xml:space="preserve">(2007). What do monarch population time series tell us about eastern and western population mixing? </w:t>
      </w:r>
      <w:r w:rsidR="001F7E99" w:rsidRPr="00365951">
        <w:rPr>
          <w:rFonts w:asciiTheme="majorHAnsi" w:hAnsiTheme="majorHAnsi" w:cstheme="majorHAnsi"/>
          <w:i/>
          <w:iCs/>
        </w:rPr>
        <w:t xml:space="preserve">J. </w:t>
      </w:r>
      <w:proofErr w:type="spellStart"/>
      <w:r w:rsidR="001F7E99" w:rsidRPr="00365951">
        <w:rPr>
          <w:rFonts w:asciiTheme="majorHAnsi" w:hAnsiTheme="majorHAnsi" w:cstheme="majorHAnsi"/>
          <w:i/>
          <w:iCs/>
        </w:rPr>
        <w:t>Lep</w:t>
      </w:r>
      <w:proofErr w:type="spellEnd"/>
      <w:r w:rsidR="001F7E99" w:rsidRPr="00365951">
        <w:rPr>
          <w:rFonts w:asciiTheme="majorHAnsi" w:hAnsiTheme="majorHAnsi" w:cstheme="majorHAnsi"/>
          <w:i/>
          <w:iCs/>
        </w:rPr>
        <w:t>. Soc.</w:t>
      </w:r>
      <w:r w:rsidR="001F7E99" w:rsidRPr="00365951">
        <w:rPr>
          <w:rFonts w:asciiTheme="majorHAnsi" w:hAnsiTheme="majorHAnsi" w:cstheme="majorHAnsi"/>
        </w:rPr>
        <w:t>, 61, 28-31.</w:t>
      </w:r>
    </w:p>
    <w:p w14:paraId="4B8C8C24" w14:textId="77777777" w:rsidR="008B3A17" w:rsidRDefault="008B3A17" w:rsidP="008B3A17">
      <w:pPr>
        <w:jc w:val="both"/>
        <w:rPr>
          <w:rFonts w:asciiTheme="majorHAnsi" w:hAnsiTheme="majorHAnsi" w:cstheme="majorHAnsi"/>
        </w:rPr>
      </w:pPr>
    </w:p>
    <w:p w14:paraId="78EC6FAD" w14:textId="32FBF75E" w:rsidR="008B3A17" w:rsidRDefault="008B3A17" w:rsidP="0058710D">
      <w:pPr>
        <w:jc w:val="both"/>
        <w:rPr>
          <w:rFonts w:asciiTheme="majorHAnsi" w:hAnsiTheme="majorHAnsi" w:cstheme="majorHAnsi"/>
        </w:rPr>
      </w:pPr>
      <w:r>
        <w:rPr>
          <w:noProof/>
        </w:rPr>
        <w:lastRenderedPageBreak/>
        <w:drawing>
          <wp:anchor distT="0" distB="0" distL="114300" distR="114300" simplePos="0" relativeHeight="251658240" behindDoc="0" locked="0" layoutInCell="1" allowOverlap="1" wp14:anchorId="523FAC62" wp14:editId="01822701">
            <wp:simplePos x="0" y="0"/>
            <wp:positionH relativeFrom="column">
              <wp:posOffset>0</wp:posOffset>
            </wp:positionH>
            <wp:positionV relativeFrom="paragraph">
              <wp:posOffset>363</wp:posOffset>
            </wp:positionV>
            <wp:extent cx="5943600" cy="4457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C1425" w14:textId="5460FDFF" w:rsidR="008B3A17" w:rsidRDefault="000B5AAF" w:rsidP="008B3A17">
      <w:r>
        <w:rPr>
          <w:noProof/>
        </w:rPr>
        <mc:AlternateContent>
          <mc:Choice Requires="wps">
            <w:drawing>
              <wp:anchor distT="0" distB="0" distL="114300" distR="114300" simplePos="0" relativeHeight="251659264" behindDoc="0" locked="0" layoutInCell="1" allowOverlap="1" wp14:anchorId="1096899D" wp14:editId="7915EC1C">
                <wp:simplePos x="0" y="0"/>
                <wp:positionH relativeFrom="column">
                  <wp:posOffset>104931</wp:posOffset>
                </wp:positionH>
                <wp:positionV relativeFrom="paragraph">
                  <wp:posOffset>153097</wp:posOffset>
                </wp:positionV>
                <wp:extent cx="5951095" cy="1079292"/>
                <wp:effectExtent l="0" t="0" r="5715" b="635"/>
                <wp:wrapNone/>
                <wp:docPr id="9" name="Text Box 9"/>
                <wp:cNvGraphicFramePr/>
                <a:graphic xmlns:a="http://schemas.openxmlformats.org/drawingml/2006/main">
                  <a:graphicData uri="http://schemas.microsoft.com/office/word/2010/wordprocessingShape">
                    <wps:wsp>
                      <wps:cNvSpPr txBox="1"/>
                      <wps:spPr>
                        <a:xfrm>
                          <a:off x="0" y="0"/>
                          <a:ext cx="5951095" cy="1079292"/>
                        </a:xfrm>
                        <a:prstGeom prst="rect">
                          <a:avLst/>
                        </a:prstGeom>
                        <a:solidFill>
                          <a:schemeClr val="lt1"/>
                        </a:solidFill>
                        <a:ln w="6350">
                          <a:noFill/>
                        </a:ln>
                      </wps:spPr>
                      <wps:txbx>
                        <w:txbxContent>
                          <w:p w14:paraId="25E19EB1" w14:textId="61B75800" w:rsidR="000B5AAF" w:rsidRPr="000B5AAF" w:rsidRDefault="000B5AAF" w:rsidP="000B5AAF">
                            <w:pPr>
                              <w:jc w:val="both"/>
                              <w:rPr>
                                <w:rFonts w:asciiTheme="majorHAnsi" w:hAnsiTheme="majorHAnsi" w:cstheme="majorHAnsi"/>
                              </w:rPr>
                            </w:pPr>
                            <w:r w:rsidRPr="000B5AAF">
                              <w:rPr>
                                <w:rFonts w:asciiTheme="majorHAnsi" w:hAnsiTheme="majorHAnsi" w:cstheme="majorHAnsi"/>
                                <w:b/>
                                <w:bCs/>
                              </w:rPr>
                              <w:t>Figure S1 –</w:t>
                            </w:r>
                            <w:r w:rsidRPr="000B5AAF">
                              <w:rPr>
                                <w:rFonts w:asciiTheme="majorHAnsi" w:hAnsiTheme="majorHAnsi" w:cstheme="majorHAnsi"/>
                              </w:rPr>
                              <w:t xml:space="preserve"> When overwintering populations are plotted using a one-year time lag, eastern and western North American monarchs are strongly positively correlated </w:t>
                            </w:r>
                            <w:r w:rsidRPr="000B5AAF">
                              <w:rPr>
                                <w:rFonts w:asciiTheme="majorHAnsi" w:hAnsiTheme="majorHAnsi" w:cstheme="majorHAnsi"/>
                              </w:rPr>
                              <w:t>(R</w:t>
                            </w:r>
                            <w:r w:rsidRPr="000B5AAF">
                              <w:rPr>
                                <w:rFonts w:asciiTheme="majorHAnsi" w:hAnsiTheme="majorHAnsi" w:cstheme="majorHAnsi"/>
                                <w:vertAlign w:val="superscript"/>
                              </w:rPr>
                              <w:t>2</w:t>
                            </w:r>
                            <w:r w:rsidRPr="000B5AAF">
                              <w:rPr>
                                <w:rFonts w:asciiTheme="majorHAnsi" w:hAnsiTheme="majorHAnsi" w:cstheme="majorHAnsi"/>
                              </w:rPr>
                              <w:t xml:space="preserve"> = 0.50, p &lt; 0.001)</w:t>
                            </w:r>
                            <w:r w:rsidRPr="000B5AAF">
                              <w:rPr>
                                <w:rFonts w:asciiTheme="majorHAnsi" w:hAnsiTheme="majorHAnsi" w:cstheme="majorHAnsi"/>
                              </w:rPr>
                              <w:t>. In the plot above, a given point corresponds to eastern overwintering abundance in a particular year, and the western overwintering abundance in the following year (e.g. the point labeled 2003 corresponds to the year 2003 in the east, and 2004 in the 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96899D" id="_x0000_t202" coordsize="21600,21600" o:spt="202" path="m,l,21600r21600,l21600,xe">
                <v:stroke joinstyle="miter"/>
                <v:path gradientshapeok="t" o:connecttype="rect"/>
              </v:shapetype>
              <v:shape id="Text Box 9" o:spid="_x0000_s1026" type="#_x0000_t202" style="position:absolute;margin-left:8.25pt;margin-top:12.05pt;width:468.6pt;height: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" fillcolor="white [3201]" stroked="f" strokeweight=".5pt">
                <v:textbox>
                  <w:txbxContent>
                    <w:p w14:paraId="25E19EB1" w14:textId="61B75800" w:rsidR="000B5AAF" w:rsidRPr="000B5AAF" w:rsidRDefault="000B5AAF" w:rsidP="000B5AAF">
                      <w:pPr>
                        <w:jc w:val="both"/>
                        <w:rPr>
                          <w:rFonts w:asciiTheme="majorHAnsi" w:hAnsiTheme="majorHAnsi" w:cstheme="majorHAnsi"/>
                        </w:rPr>
                      </w:pPr>
                      <w:r w:rsidRPr="000B5AAF">
                        <w:rPr>
                          <w:rFonts w:asciiTheme="majorHAnsi" w:hAnsiTheme="majorHAnsi" w:cstheme="majorHAnsi"/>
                          <w:b/>
                          <w:bCs/>
                        </w:rPr>
                        <w:t>Figure S1 –</w:t>
                      </w:r>
                      <w:r w:rsidRPr="000B5AAF">
                        <w:rPr>
                          <w:rFonts w:asciiTheme="majorHAnsi" w:hAnsiTheme="majorHAnsi" w:cstheme="majorHAnsi"/>
                        </w:rPr>
                        <w:t xml:space="preserve"> When overwintering populations are plotted using a one-year time lag, eastern and western North American monarchs are strongly positively correlated </w:t>
                      </w:r>
                      <w:r w:rsidRPr="000B5AAF">
                        <w:rPr>
                          <w:rFonts w:asciiTheme="majorHAnsi" w:hAnsiTheme="majorHAnsi" w:cstheme="majorHAnsi"/>
                        </w:rPr>
                        <w:t>(R</w:t>
                      </w:r>
                      <w:r w:rsidRPr="000B5AAF">
                        <w:rPr>
                          <w:rFonts w:asciiTheme="majorHAnsi" w:hAnsiTheme="majorHAnsi" w:cstheme="majorHAnsi"/>
                          <w:vertAlign w:val="superscript"/>
                        </w:rPr>
                        <w:t>2</w:t>
                      </w:r>
                      <w:r w:rsidRPr="000B5AAF">
                        <w:rPr>
                          <w:rFonts w:asciiTheme="majorHAnsi" w:hAnsiTheme="majorHAnsi" w:cstheme="majorHAnsi"/>
                        </w:rPr>
                        <w:t xml:space="preserve"> = 0.50, p &lt; 0.001)</w:t>
                      </w:r>
                      <w:r w:rsidRPr="000B5AAF">
                        <w:rPr>
                          <w:rFonts w:asciiTheme="majorHAnsi" w:hAnsiTheme="majorHAnsi" w:cstheme="majorHAnsi"/>
                        </w:rPr>
                        <w:t>. In the plot above, a given point corresponds to eastern overwintering abundance in a particular year, and the western overwintering abundance in the following year (e.g. the point labeled 2003 corresponds to the year 2003 in the east, and 2004 in the west).</w:t>
                      </w:r>
                    </w:p>
                  </w:txbxContent>
                </v:textbox>
              </v:shape>
            </w:pict>
          </mc:Fallback>
        </mc:AlternateContent>
      </w:r>
    </w:p>
    <w:p w14:paraId="7D08FB0A" w14:textId="22E07B80" w:rsidR="008B3A17" w:rsidRDefault="008B3A17" w:rsidP="008B3A17">
      <w:r>
        <w:fldChar w:fldCharType="begin"/>
      </w:r>
      <w:r>
        <w:instrText xml:space="preserve"> INCLUDEPICTURE "/var/folders/6w/39nb01v51g98fkzpmnm1nwfc0000gn/T/com.microsoft.Word/WebArchiveCopyPasteTempFiles/plot_zoom_png?width=633&amp;height=480" \* MERGEFORMATINET </w:instrText>
      </w:r>
      <w:r>
        <w:fldChar w:fldCharType="separate"/>
      </w:r>
      <w:r>
        <w:fldChar w:fldCharType="end"/>
      </w:r>
    </w:p>
    <w:p w14:paraId="15B2861A" w14:textId="12D36820" w:rsidR="008B3A17" w:rsidRDefault="008B3A17" w:rsidP="008B3A17"/>
    <w:p w14:paraId="28BE7464" w14:textId="763635C7" w:rsidR="008B3A17" w:rsidRDefault="008B3A17" w:rsidP="008B3A17"/>
    <w:p w14:paraId="1E530F9A" w14:textId="11B2D276" w:rsidR="008B3A17" w:rsidRDefault="0058710D" w:rsidP="008B3A17">
      <w:r>
        <w:rPr>
          <w:rFonts w:asciiTheme="majorHAnsi" w:hAnsiTheme="majorHAnsi" w:cstheme="majorHAnsi"/>
        </w:rPr>
        <w:t xml:space="preserve"> </w:t>
      </w:r>
      <w:r w:rsidR="008B3A17">
        <w:fldChar w:fldCharType="begin"/>
      </w:r>
      <w:r w:rsidR="008B3A17">
        <w:instrText xml:space="preserve"> INCLUDEPICTURE "/var/folders/6w/39nb01v51g98fkzpmnm1nwfc0000gn/T/com.microsoft.Word/WebArchiveCopyPasteTempFiles/plot_zoom_png?width=633&amp;height=480" \* MERGEFORMATINET </w:instrText>
      </w:r>
      <w:r w:rsidR="008B3A17">
        <w:fldChar w:fldCharType="separate"/>
      </w:r>
      <w:r w:rsidR="008B3A17">
        <w:fldChar w:fldCharType="end"/>
      </w:r>
    </w:p>
    <w:p w14:paraId="20D67A0A" w14:textId="732EF0E3" w:rsidR="008B3A17" w:rsidRDefault="008B3A17">
      <w:r>
        <w:br w:type="page"/>
      </w:r>
    </w:p>
    <w:p w14:paraId="6F938B29" w14:textId="55544157" w:rsidR="008B3A17" w:rsidRDefault="008B3A17" w:rsidP="008B3A17">
      <w:r>
        <w:lastRenderedPageBreak/>
        <w:fldChar w:fldCharType="begin"/>
      </w:r>
      <w:r>
        <w:instrText xml:space="preserve"> INCLUDEPICTURE "/var/folders/6w/39nb01v51g98fkzpmnm1nwfc0000gn/T/com.microsoft.Word/WebArchiveCopyPasteTempFiles/plot_zoom_png?width=633&amp;height=492" \* MERGEFORMATINET </w:instrText>
      </w:r>
      <w:r>
        <w:fldChar w:fldCharType="separate"/>
      </w:r>
      <w:r>
        <w:rPr>
          <w:noProof/>
        </w:rPr>
        <w:drawing>
          <wp:inline distT="0" distB="0" distL="0" distR="0" wp14:anchorId="325E87FC" wp14:editId="0D78829E">
            <wp:extent cx="5943600" cy="4451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r>
        <w:fldChar w:fldCharType="end"/>
      </w:r>
    </w:p>
    <w:p w14:paraId="48D686E5" w14:textId="1C5B8458" w:rsidR="0058710D" w:rsidRPr="0058710D" w:rsidRDefault="000B5AAF" w:rsidP="0058710D">
      <w:pPr>
        <w:jc w:val="both"/>
      </w:pPr>
      <w:r>
        <w:rPr>
          <w:noProof/>
        </w:rPr>
        <mc:AlternateContent>
          <mc:Choice Requires="wps">
            <w:drawing>
              <wp:anchor distT="0" distB="0" distL="114300" distR="114300" simplePos="0" relativeHeight="251661312" behindDoc="0" locked="0" layoutInCell="1" allowOverlap="1" wp14:anchorId="6ED089B4" wp14:editId="29E416C6">
                <wp:simplePos x="0" y="0"/>
                <wp:positionH relativeFrom="column">
                  <wp:posOffset>0</wp:posOffset>
                </wp:positionH>
                <wp:positionV relativeFrom="paragraph">
                  <wp:posOffset>114299</wp:posOffset>
                </wp:positionV>
                <wp:extent cx="5951095" cy="794479"/>
                <wp:effectExtent l="0" t="0" r="5715" b="5715"/>
                <wp:wrapNone/>
                <wp:docPr id="10" name="Text Box 10"/>
                <wp:cNvGraphicFramePr/>
                <a:graphic xmlns:a="http://schemas.openxmlformats.org/drawingml/2006/main">
                  <a:graphicData uri="http://schemas.microsoft.com/office/word/2010/wordprocessingShape">
                    <wps:wsp>
                      <wps:cNvSpPr txBox="1"/>
                      <wps:spPr>
                        <a:xfrm>
                          <a:off x="0" y="0"/>
                          <a:ext cx="5951095" cy="794479"/>
                        </a:xfrm>
                        <a:prstGeom prst="rect">
                          <a:avLst/>
                        </a:prstGeom>
                        <a:solidFill>
                          <a:schemeClr val="lt1"/>
                        </a:solidFill>
                        <a:ln w="6350">
                          <a:noFill/>
                        </a:ln>
                      </wps:spPr>
                      <wps:txbx>
                        <w:txbxContent>
                          <w:p w14:paraId="13DEB8AC" w14:textId="1F1F362C" w:rsidR="000B5AAF" w:rsidRPr="000B5AAF" w:rsidRDefault="000B5AAF" w:rsidP="000B5AAF">
                            <w:pPr>
                              <w:jc w:val="both"/>
                              <w:rPr>
                                <w:rFonts w:asciiTheme="majorHAnsi" w:hAnsiTheme="majorHAnsi" w:cstheme="majorHAnsi"/>
                              </w:rPr>
                            </w:pPr>
                            <w:r w:rsidRPr="000B5AAF">
                              <w:rPr>
                                <w:rFonts w:asciiTheme="majorHAnsi" w:hAnsiTheme="majorHAnsi" w:cstheme="majorHAnsi"/>
                                <w:b/>
                                <w:bCs/>
                              </w:rPr>
                              <w:t>Figure S</w:t>
                            </w:r>
                            <w:r>
                              <w:rPr>
                                <w:rFonts w:asciiTheme="majorHAnsi" w:hAnsiTheme="majorHAnsi" w:cstheme="majorHAnsi"/>
                                <w:b/>
                                <w:bCs/>
                              </w:rPr>
                              <w:t>2</w:t>
                            </w:r>
                            <w:r w:rsidRPr="000B5AAF">
                              <w:rPr>
                                <w:rFonts w:asciiTheme="majorHAnsi" w:hAnsiTheme="majorHAnsi" w:cstheme="majorHAnsi"/>
                                <w:b/>
                                <w:bCs/>
                              </w:rPr>
                              <w:t>–</w:t>
                            </w:r>
                            <w:r w:rsidRPr="000B5AAF">
                              <w:rPr>
                                <w:rFonts w:asciiTheme="majorHAnsi" w:hAnsiTheme="majorHAnsi" w:cstheme="majorHAnsi"/>
                              </w:rPr>
                              <w:t xml:space="preserve"> </w:t>
                            </w:r>
                            <w:r>
                              <w:rPr>
                                <w:rFonts w:asciiTheme="majorHAnsi" w:hAnsiTheme="majorHAnsi" w:cstheme="majorHAnsi"/>
                              </w:rPr>
                              <w:t>When t</w:t>
                            </w:r>
                            <w:r w:rsidR="004D39BB">
                              <w:rPr>
                                <w:rFonts w:asciiTheme="majorHAnsi" w:hAnsiTheme="majorHAnsi" w:cstheme="majorHAnsi"/>
                              </w:rPr>
                              <w:t xml:space="preserve">wo years (1995 and 1996 in the east, 1996 and 1997 in the west) are omitted from time series, the correlation between eastern and western overwintering numbers using a one year time lag is no longer significant </w:t>
                            </w:r>
                            <w:r w:rsidR="004D39BB" w:rsidRPr="000B5AAF">
                              <w:rPr>
                                <w:rFonts w:asciiTheme="majorHAnsi" w:hAnsiTheme="majorHAnsi" w:cstheme="majorHAnsi"/>
                              </w:rPr>
                              <w:t>(R</w:t>
                            </w:r>
                            <w:r w:rsidR="004D39BB" w:rsidRPr="000B5AAF">
                              <w:rPr>
                                <w:rFonts w:asciiTheme="majorHAnsi" w:hAnsiTheme="majorHAnsi" w:cstheme="majorHAnsi"/>
                                <w:vertAlign w:val="superscript"/>
                              </w:rPr>
                              <w:t>2</w:t>
                            </w:r>
                            <w:r w:rsidR="004D39BB" w:rsidRPr="000B5AAF">
                              <w:rPr>
                                <w:rFonts w:asciiTheme="majorHAnsi" w:hAnsiTheme="majorHAnsi" w:cstheme="majorHAnsi"/>
                              </w:rPr>
                              <w:t xml:space="preserve"> = 0.</w:t>
                            </w:r>
                            <w:r w:rsidR="004D39BB">
                              <w:rPr>
                                <w:rFonts w:asciiTheme="majorHAnsi" w:hAnsiTheme="majorHAnsi" w:cstheme="majorHAnsi"/>
                              </w:rPr>
                              <w:t>06</w:t>
                            </w:r>
                            <w:r w:rsidR="004D39BB" w:rsidRPr="000B5AAF">
                              <w:rPr>
                                <w:rFonts w:asciiTheme="majorHAnsi" w:hAnsiTheme="majorHAnsi" w:cstheme="majorHAnsi"/>
                              </w:rPr>
                              <w:t xml:space="preserve">, p </w:t>
                            </w:r>
                            <w:r w:rsidR="004D39BB">
                              <w:rPr>
                                <w:rFonts w:asciiTheme="majorHAnsi" w:hAnsiTheme="majorHAnsi" w:cstheme="majorHAnsi"/>
                              </w:rPr>
                              <w:t>= 0.275</w:t>
                            </w:r>
                            <w:r w:rsidR="004D39BB" w:rsidRPr="000B5AAF">
                              <w:rPr>
                                <w:rFonts w:asciiTheme="majorHAnsi" w:hAnsiTheme="majorHAnsi" w:cstheme="majorHAnsi"/>
                              </w:rPr>
                              <w:t>)</w:t>
                            </w:r>
                            <w:r w:rsidR="004D39BB">
                              <w:rPr>
                                <w:rFonts w:asciiTheme="majorHAnsi" w:hAnsiTheme="majorHAnsi" w:cstheme="maj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D089B4" id="Text Box 10" o:spid="_x0000_s1027" type="#_x0000_t202" style="position:absolute;left:0;text-align:left;margin-left:0;margin-top:9pt;width:468.6pt;height:6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" fillcolor="white [3201]" stroked="f" strokeweight=".5pt">
                <v:textbox>
                  <w:txbxContent>
                    <w:p w14:paraId="13DEB8AC" w14:textId="1F1F362C" w:rsidR="000B5AAF" w:rsidRPr="000B5AAF" w:rsidRDefault="000B5AAF" w:rsidP="000B5AAF">
                      <w:pPr>
                        <w:jc w:val="both"/>
                        <w:rPr>
                          <w:rFonts w:asciiTheme="majorHAnsi" w:hAnsiTheme="majorHAnsi" w:cstheme="majorHAnsi"/>
                        </w:rPr>
                      </w:pPr>
                      <w:r w:rsidRPr="000B5AAF">
                        <w:rPr>
                          <w:rFonts w:asciiTheme="majorHAnsi" w:hAnsiTheme="majorHAnsi" w:cstheme="majorHAnsi"/>
                          <w:b/>
                          <w:bCs/>
                        </w:rPr>
                        <w:t>Figure S</w:t>
                      </w:r>
                      <w:r>
                        <w:rPr>
                          <w:rFonts w:asciiTheme="majorHAnsi" w:hAnsiTheme="majorHAnsi" w:cstheme="majorHAnsi"/>
                          <w:b/>
                          <w:bCs/>
                        </w:rPr>
                        <w:t>2</w:t>
                      </w:r>
                      <w:r w:rsidRPr="000B5AAF">
                        <w:rPr>
                          <w:rFonts w:asciiTheme="majorHAnsi" w:hAnsiTheme="majorHAnsi" w:cstheme="majorHAnsi"/>
                          <w:b/>
                          <w:bCs/>
                        </w:rPr>
                        <w:t>–</w:t>
                      </w:r>
                      <w:r w:rsidRPr="000B5AAF">
                        <w:rPr>
                          <w:rFonts w:asciiTheme="majorHAnsi" w:hAnsiTheme="majorHAnsi" w:cstheme="majorHAnsi"/>
                        </w:rPr>
                        <w:t xml:space="preserve"> </w:t>
                      </w:r>
                      <w:r>
                        <w:rPr>
                          <w:rFonts w:asciiTheme="majorHAnsi" w:hAnsiTheme="majorHAnsi" w:cstheme="majorHAnsi"/>
                        </w:rPr>
                        <w:t>When t</w:t>
                      </w:r>
                      <w:r w:rsidR="004D39BB">
                        <w:rPr>
                          <w:rFonts w:asciiTheme="majorHAnsi" w:hAnsiTheme="majorHAnsi" w:cstheme="majorHAnsi"/>
                        </w:rPr>
                        <w:t xml:space="preserve">wo years (1995 and 1996 in the east, 1996 and 1997 in the west) are omitted from time series, the correlation between eastern and western overwintering numbers using a one year time lag is no longer significant </w:t>
                      </w:r>
                      <w:r w:rsidR="004D39BB" w:rsidRPr="000B5AAF">
                        <w:rPr>
                          <w:rFonts w:asciiTheme="majorHAnsi" w:hAnsiTheme="majorHAnsi" w:cstheme="majorHAnsi"/>
                        </w:rPr>
                        <w:t>(R</w:t>
                      </w:r>
                      <w:r w:rsidR="004D39BB" w:rsidRPr="000B5AAF">
                        <w:rPr>
                          <w:rFonts w:asciiTheme="majorHAnsi" w:hAnsiTheme="majorHAnsi" w:cstheme="majorHAnsi"/>
                          <w:vertAlign w:val="superscript"/>
                        </w:rPr>
                        <w:t>2</w:t>
                      </w:r>
                      <w:r w:rsidR="004D39BB" w:rsidRPr="000B5AAF">
                        <w:rPr>
                          <w:rFonts w:asciiTheme="majorHAnsi" w:hAnsiTheme="majorHAnsi" w:cstheme="majorHAnsi"/>
                        </w:rPr>
                        <w:t xml:space="preserve"> = 0.</w:t>
                      </w:r>
                      <w:r w:rsidR="004D39BB">
                        <w:rPr>
                          <w:rFonts w:asciiTheme="majorHAnsi" w:hAnsiTheme="majorHAnsi" w:cstheme="majorHAnsi"/>
                        </w:rPr>
                        <w:t>06</w:t>
                      </w:r>
                      <w:r w:rsidR="004D39BB" w:rsidRPr="000B5AAF">
                        <w:rPr>
                          <w:rFonts w:asciiTheme="majorHAnsi" w:hAnsiTheme="majorHAnsi" w:cstheme="majorHAnsi"/>
                        </w:rPr>
                        <w:t xml:space="preserve">, p </w:t>
                      </w:r>
                      <w:r w:rsidR="004D39BB">
                        <w:rPr>
                          <w:rFonts w:asciiTheme="majorHAnsi" w:hAnsiTheme="majorHAnsi" w:cstheme="majorHAnsi"/>
                        </w:rPr>
                        <w:t>= 0.275</w:t>
                      </w:r>
                      <w:r w:rsidR="004D39BB" w:rsidRPr="000B5AAF">
                        <w:rPr>
                          <w:rFonts w:asciiTheme="majorHAnsi" w:hAnsiTheme="majorHAnsi" w:cstheme="majorHAnsi"/>
                        </w:rPr>
                        <w:t>)</w:t>
                      </w:r>
                      <w:r w:rsidR="004D39BB">
                        <w:rPr>
                          <w:rFonts w:asciiTheme="majorHAnsi" w:hAnsiTheme="majorHAnsi" w:cstheme="majorHAnsi"/>
                        </w:rPr>
                        <w:t>.</w:t>
                      </w:r>
                    </w:p>
                  </w:txbxContent>
                </v:textbox>
              </v:shape>
            </w:pict>
          </mc:Fallback>
        </mc:AlternateContent>
      </w:r>
    </w:p>
    <w:sectPr w:rsidR="0058710D" w:rsidRPr="0058710D"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AA5FC6"/>
    <w:multiLevelType w:val="hybridMultilevel"/>
    <w:tmpl w:val="0A524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0D"/>
    <w:rsid w:val="000B5AAF"/>
    <w:rsid w:val="001F7E99"/>
    <w:rsid w:val="00365951"/>
    <w:rsid w:val="00482461"/>
    <w:rsid w:val="004D39BB"/>
    <w:rsid w:val="0058710D"/>
    <w:rsid w:val="00873766"/>
    <w:rsid w:val="008B3A17"/>
    <w:rsid w:val="00C8563A"/>
    <w:rsid w:val="00EA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8753"/>
  <w15:chartTrackingRefBased/>
  <w15:docId w15:val="{DD82BA30-9938-7E4C-9158-CE75B992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1413">
      <w:bodyDiv w:val="1"/>
      <w:marLeft w:val="0"/>
      <w:marRight w:val="0"/>
      <w:marTop w:val="0"/>
      <w:marBottom w:val="0"/>
      <w:divBdr>
        <w:top w:val="none" w:sz="0" w:space="0" w:color="auto"/>
        <w:left w:val="none" w:sz="0" w:space="0" w:color="auto"/>
        <w:bottom w:val="none" w:sz="0" w:space="0" w:color="auto"/>
        <w:right w:val="none" w:sz="0" w:space="0" w:color="auto"/>
      </w:divBdr>
    </w:div>
    <w:div w:id="29888334">
      <w:bodyDiv w:val="1"/>
      <w:marLeft w:val="0"/>
      <w:marRight w:val="0"/>
      <w:marTop w:val="0"/>
      <w:marBottom w:val="0"/>
      <w:divBdr>
        <w:top w:val="none" w:sz="0" w:space="0" w:color="auto"/>
        <w:left w:val="none" w:sz="0" w:space="0" w:color="auto"/>
        <w:bottom w:val="none" w:sz="0" w:space="0" w:color="auto"/>
        <w:right w:val="none" w:sz="0" w:space="0" w:color="auto"/>
      </w:divBdr>
    </w:div>
    <w:div w:id="179322136">
      <w:bodyDiv w:val="1"/>
      <w:marLeft w:val="0"/>
      <w:marRight w:val="0"/>
      <w:marTop w:val="0"/>
      <w:marBottom w:val="0"/>
      <w:divBdr>
        <w:top w:val="none" w:sz="0" w:space="0" w:color="auto"/>
        <w:left w:val="none" w:sz="0" w:space="0" w:color="auto"/>
        <w:bottom w:val="none" w:sz="0" w:space="0" w:color="auto"/>
        <w:right w:val="none" w:sz="0" w:space="0" w:color="auto"/>
      </w:divBdr>
    </w:div>
    <w:div w:id="219173217">
      <w:bodyDiv w:val="1"/>
      <w:marLeft w:val="0"/>
      <w:marRight w:val="0"/>
      <w:marTop w:val="0"/>
      <w:marBottom w:val="0"/>
      <w:divBdr>
        <w:top w:val="none" w:sz="0" w:space="0" w:color="auto"/>
        <w:left w:val="none" w:sz="0" w:space="0" w:color="auto"/>
        <w:bottom w:val="none" w:sz="0" w:space="0" w:color="auto"/>
        <w:right w:val="none" w:sz="0" w:space="0" w:color="auto"/>
      </w:divBdr>
    </w:div>
    <w:div w:id="258753032">
      <w:bodyDiv w:val="1"/>
      <w:marLeft w:val="0"/>
      <w:marRight w:val="0"/>
      <w:marTop w:val="0"/>
      <w:marBottom w:val="0"/>
      <w:divBdr>
        <w:top w:val="none" w:sz="0" w:space="0" w:color="auto"/>
        <w:left w:val="none" w:sz="0" w:space="0" w:color="auto"/>
        <w:bottom w:val="none" w:sz="0" w:space="0" w:color="auto"/>
        <w:right w:val="none" w:sz="0" w:space="0" w:color="auto"/>
      </w:divBdr>
    </w:div>
    <w:div w:id="339085565">
      <w:bodyDiv w:val="1"/>
      <w:marLeft w:val="0"/>
      <w:marRight w:val="0"/>
      <w:marTop w:val="0"/>
      <w:marBottom w:val="0"/>
      <w:divBdr>
        <w:top w:val="none" w:sz="0" w:space="0" w:color="auto"/>
        <w:left w:val="none" w:sz="0" w:space="0" w:color="auto"/>
        <w:bottom w:val="none" w:sz="0" w:space="0" w:color="auto"/>
        <w:right w:val="none" w:sz="0" w:space="0" w:color="auto"/>
      </w:divBdr>
    </w:div>
    <w:div w:id="637956668">
      <w:bodyDiv w:val="1"/>
      <w:marLeft w:val="0"/>
      <w:marRight w:val="0"/>
      <w:marTop w:val="0"/>
      <w:marBottom w:val="0"/>
      <w:divBdr>
        <w:top w:val="none" w:sz="0" w:space="0" w:color="auto"/>
        <w:left w:val="none" w:sz="0" w:space="0" w:color="auto"/>
        <w:bottom w:val="none" w:sz="0" w:space="0" w:color="auto"/>
        <w:right w:val="none" w:sz="0" w:space="0" w:color="auto"/>
      </w:divBdr>
    </w:div>
    <w:div w:id="1639265044">
      <w:bodyDiv w:val="1"/>
      <w:marLeft w:val="0"/>
      <w:marRight w:val="0"/>
      <w:marTop w:val="0"/>
      <w:marBottom w:val="0"/>
      <w:divBdr>
        <w:top w:val="none" w:sz="0" w:space="0" w:color="auto"/>
        <w:left w:val="none" w:sz="0" w:space="0" w:color="auto"/>
        <w:bottom w:val="none" w:sz="0" w:space="0" w:color="auto"/>
        <w:right w:val="none" w:sz="0" w:space="0" w:color="auto"/>
      </w:divBdr>
    </w:div>
    <w:div w:id="1708140450">
      <w:bodyDiv w:val="1"/>
      <w:marLeft w:val="0"/>
      <w:marRight w:val="0"/>
      <w:marTop w:val="0"/>
      <w:marBottom w:val="0"/>
      <w:divBdr>
        <w:top w:val="none" w:sz="0" w:space="0" w:color="auto"/>
        <w:left w:val="none" w:sz="0" w:space="0" w:color="auto"/>
        <w:bottom w:val="none" w:sz="0" w:space="0" w:color="auto"/>
        <w:right w:val="none" w:sz="0" w:space="0" w:color="auto"/>
      </w:divBdr>
    </w:div>
    <w:div w:id="1763379967">
      <w:bodyDiv w:val="1"/>
      <w:marLeft w:val="0"/>
      <w:marRight w:val="0"/>
      <w:marTop w:val="0"/>
      <w:marBottom w:val="0"/>
      <w:divBdr>
        <w:top w:val="none" w:sz="0" w:space="0" w:color="auto"/>
        <w:left w:val="none" w:sz="0" w:space="0" w:color="auto"/>
        <w:bottom w:val="none" w:sz="0" w:space="0" w:color="auto"/>
        <w:right w:val="none" w:sz="0" w:space="0" w:color="auto"/>
      </w:divBdr>
    </w:div>
    <w:div w:id="1921787373">
      <w:bodyDiv w:val="1"/>
      <w:marLeft w:val="0"/>
      <w:marRight w:val="0"/>
      <w:marTop w:val="0"/>
      <w:marBottom w:val="0"/>
      <w:divBdr>
        <w:top w:val="none" w:sz="0" w:space="0" w:color="auto"/>
        <w:left w:val="none" w:sz="0" w:space="0" w:color="auto"/>
        <w:bottom w:val="none" w:sz="0" w:space="0" w:color="auto"/>
        <w:right w:val="none" w:sz="0" w:space="0" w:color="auto"/>
      </w:divBdr>
    </w:div>
    <w:div w:id="2097818693">
      <w:bodyDiv w:val="1"/>
      <w:marLeft w:val="0"/>
      <w:marRight w:val="0"/>
      <w:marTop w:val="0"/>
      <w:marBottom w:val="0"/>
      <w:divBdr>
        <w:top w:val="none" w:sz="0" w:space="0" w:color="auto"/>
        <w:left w:val="none" w:sz="0" w:space="0" w:color="auto"/>
        <w:bottom w:val="none" w:sz="0" w:space="0" w:color="auto"/>
        <w:right w:val="none" w:sz="0" w:space="0" w:color="auto"/>
      </w:divBdr>
    </w:div>
    <w:div w:id="214199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4</cp:revision>
  <dcterms:created xsi:type="dcterms:W3CDTF">2020-09-12T23:58:00Z</dcterms:created>
  <dcterms:modified xsi:type="dcterms:W3CDTF">2020-09-13T00:45:00Z</dcterms:modified>
</cp:coreProperties>
</file>