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154FC" w14:textId="77777777" w:rsidR="008A5EFD" w:rsidRPr="00463DFB" w:rsidRDefault="008A5EFD" w:rsidP="008A5EFD">
      <w:pPr>
        <w:pStyle w:val="SemEspaamento"/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63DFB">
        <w:rPr>
          <w:rFonts w:ascii="Times New Roman" w:hAnsi="Times New Roman" w:cs="Times New Roman"/>
          <w:b/>
          <w:sz w:val="26"/>
          <w:szCs w:val="26"/>
        </w:rPr>
        <w:t>AO SR PREGOEIRO DA PREFEITURA MUNICIPAL DE SÃO LUIS</w:t>
      </w:r>
    </w:p>
    <w:p w14:paraId="47F5FC72" w14:textId="77777777" w:rsidR="008A5EFD" w:rsidRPr="00463DFB" w:rsidRDefault="008A5EFD" w:rsidP="008A5EFD">
      <w:pPr>
        <w:pStyle w:val="SemEspaamento"/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63DFB">
        <w:rPr>
          <w:rFonts w:ascii="Times New Roman" w:hAnsi="Times New Roman" w:cs="Times New Roman"/>
          <w:b/>
          <w:sz w:val="26"/>
          <w:szCs w:val="26"/>
        </w:rPr>
        <w:t xml:space="preserve">CENTRAL PERMANENTE DE LICITAÇÃO – CPL </w:t>
      </w:r>
    </w:p>
    <w:p w14:paraId="42E28465" w14:textId="77777777" w:rsidR="008A5EFD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6FDEE83" w14:textId="77777777" w:rsidR="008A5EFD" w:rsidRPr="00463DFB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3C692" w14:textId="77777777" w:rsidR="008A5EFD" w:rsidRPr="00463DFB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9D5A49B" w14:textId="77777777" w:rsidR="008A5EFD" w:rsidRPr="00463DFB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63DFB">
        <w:rPr>
          <w:rFonts w:ascii="Times New Roman" w:hAnsi="Times New Roman" w:cs="Times New Roman"/>
          <w:b/>
          <w:sz w:val="26"/>
          <w:szCs w:val="26"/>
        </w:rPr>
        <w:t xml:space="preserve">ASSUNTO: </w:t>
      </w:r>
      <w:r w:rsidRPr="00463DFB">
        <w:rPr>
          <w:rFonts w:ascii="Times New Roman" w:hAnsi="Times New Roman" w:cs="Times New Roman"/>
          <w:sz w:val="26"/>
          <w:szCs w:val="26"/>
        </w:rPr>
        <w:t xml:space="preserve">Impugnação ao edital e seus anexos. </w:t>
      </w:r>
      <w:r w:rsidRPr="00463DFB">
        <w:rPr>
          <w:rFonts w:ascii="Times New Roman" w:hAnsi="Times New Roman" w:cs="Times New Roman"/>
          <w:b/>
          <w:sz w:val="26"/>
          <w:szCs w:val="26"/>
        </w:rPr>
        <w:t>Pregão Eletrônico nº 90.099/2025</w:t>
      </w:r>
    </w:p>
    <w:p w14:paraId="2418B8C9" w14:textId="77777777" w:rsidR="008A5EFD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75AEC4" w14:textId="77777777" w:rsidR="008A5EFD" w:rsidRPr="00463DFB" w:rsidRDefault="008A5EFD" w:rsidP="008A5EFD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4BE7470" w14:textId="77777777" w:rsidR="008A5EFD" w:rsidRDefault="008A5EFD" w:rsidP="008A5EF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3DFB">
        <w:rPr>
          <w:rFonts w:ascii="Times New Roman" w:hAnsi="Times New Roman" w:cs="Times New Roman"/>
          <w:b/>
          <w:bCs/>
          <w:sz w:val="26"/>
          <w:szCs w:val="26"/>
        </w:rPr>
        <w:t>GREEN SERVIÇOS LTDA</w:t>
      </w:r>
      <w:r w:rsidRPr="00463DFB">
        <w:rPr>
          <w:rFonts w:ascii="Times New Roman" w:hAnsi="Times New Roman" w:cs="Times New Roman"/>
          <w:sz w:val="26"/>
          <w:szCs w:val="26"/>
        </w:rPr>
        <w:t xml:space="preserve">, pessoa jurídica de direito privado inscrita no CNPJ sob nº </w:t>
      </w:r>
      <w:r w:rsidRPr="00463DFB">
        <w:rPr>
          <w:rFonts w:ascii="Times New Roman" w:hAnsi="Times New Roman" w:cs="Times New Roman"/>
          <w:b/>
          <w:bCs/>
          <w:sz w:val="26"/>
          <w:szCs w:val="26"/>
        </w:rPr>
        <w:t>19.752.891/0001-60</w:t>
      </w:r>
      <w:r w:rsidRPr="00463DFB">
        <w:rPr>
          <w:rFonts w:ascii="Times New Roman" w:hAnsi="Times New Roman" w:cs="Times New Roman"/>
          <w:sz w:val="26"/>
          <w:szCs w:val="26"/>
        </w:rPr>
        <w:t>, sediada na Rua Epitácio Pessoa, Nº 1079, Lourival Parente - Teresina/PI - CEP 64023-400</w:t>
      </w:r>
      <w:r>
        <w:rPr>
          <w:rFonts w:ascii="Times New Roman" w:hAnsi="Times New Roman" w:cs="Times New Roman"/>
          <w:sz w:val="26"/>
          <w:szCs w:val="26"/>
        </w:rPr>
        <w:t>, representada por seu</w:t>
      </w:r>
      <w:r w:rsidRPr="00463DFB">
        <w:rPr>
          <w:rFonts w:ascii="Times New Roman" w:hAnsi="Times New Roman" w:cs="Times New Roman"/>
          <w:sz w:val="26"/>
          <w:szCs w:val="26"/>
        </w:rPr>
        <w:t xml:space="preserve"> sócio administrador, Sergio Henrique Linhares Menezes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463DFB">
        <w:rPr>
          <w:rFonts w:ascii="Times New Roman" w:hAnsi="Times New Roman" w:cs="Times New Roman"/>
          <w:sz w:val="26"/>
          <w:szCs w:val="26"/>
        </w:rPr>
        <w:t xml:space="preserve"> portador do RG: 0000917742982 SESP-MA e </w:t>
      </w:r>
      <w:r>
        <w:rPr>
          <w:rFonts w:ascii="Times New Roman" w:hAnsi="Times New Roman" w:cs="Times New Roman"/>
          <w:sz w:val="26"/>
          <w:szCs w:val="26"/>
        </w:rPr>
        <w:t xml:space="preserve">do CPF: 632.371.643-72, </w:t>
      </w:r>
      <w:r w:rsidRPr="00F767EA">
        <w:rPr>
          <w:rFonts w:ascii="Times New Roman" w:hAnsi="Times New Roman" w:cs="Times New Roman"/>
          <w:b/>
          <w:sz w:val="26"/>
          <w:szCs w:val="26"/>
        </w:rPr>
        <w:t>vem tempestivamente</w:t>
      </w:r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apresentar impugnação ao edital do pregão eletrônico nº 90099/2025, nos termos do item 5 do instrumento convocatório, motivo pelo qual expõe o seguinte: </w:t>
      </w:r>
    </w:p>
    <w:p w14:paraId="0985C15C" w14:textId="77777777" w:rsidR="008A5EFD" w:rsidRPr="004B579F" w:rsidRDefault="008A5EFD" w:rsidP="008A5EFD">
      <w:pPr>
        <w:spacing w:line="360" w:lineRule="auto"/>
        <w:jc w:val="both"/>
        <w:rPr>
          <w:rFonts w:ascii="Times New Roman" w:hAnsi="Times New Roman" w:cs="Times New Roman"/>
          <w:sz w:val="8"/>
          <w:szCs w:val="26"/>
        </w:rPr>
      </w:pPr>
    </w:p>
    <w:p w14:paraId="6B57A3A3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 w:rsidRPr="00166207">
        <w:rPr>
          <w:rFonts w:ascii="Times New Roman" w:hAnsi="Times New Roman" w:cs="Times New Roman"/>
          <w:sz w:val="26"/>
          <w:szCs w:val="26"/>
        </w:rPr>
        <w:t xml:space="preserve">O edital pregão eletrônico n.º 90099/2025, do tipo menor preço, com sessão pública agendada para o dia 03 de setembro de 2025, possui como objeto </w:t>
      </w:r>
      <w:r w:rsidRPr="00166207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Registro de Preços para contratação de empresa especializada para a execução contínua dos serviços de limpeza, incluindo limpeza de cisterna e caixa d´água e roço, asseio e conservação das instalações físicas e mobiliárias da Secretaria Municipal de Educação, compreendendo o fornecimento de mão de obra qualificada, materiais, produtos saneantes, equipamentos e utensílios necessários.</w:t>
      </w:r>
    </w:p>
    <w:p w14:paraId="1C2D8D6B" w14:textId="77777777" w:rsidR="008A5EFD" w:rsidRPr="004B579F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16"/>
          <w:szCs w:val="16"/>
        </w:rPr>
      </w:pPr>
    </w:p>
    <w:p w14:paraId="1A96F640" w14:textId="77777777" w:rsidR="008A5EFD" w:rsidRDefault="008A5EFD" w:rsidP="008A5EFD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Ocorre que após a análise do edital e seus anexos, </w:t>
      </w:r>
      <w:r w:rsidRPr="00104F08">
        <w:rPr>
          <w:rFonts w:ascii="Times New Roman" w:hAnsi="Times New Roman" w:cs="Times New Roman"/>
          <w:sz w:val="26"/>
          <w:szCs w:val="26"/>
        </w:rPr>
        <w:t xml:space="preserve">observou-se </w:t>
      </w:r>
      <w:r>
        <w:rPr>
          <w:rFonts w:ascii="Times New Roman" w:hAnsi="Times New Roman" w:cs="Times New Roman"/>
          <w:sz w:val="26"/>
          <w:szCs w:val="26"/>
        </w:rPr>
        <w:t>questões pontuais que viciam o ato convocatório por restringirem a competitividade, condição esta essencial para validação de qualquer procedimento licitatório, contrariando a Lei Federal 14.133/2021, além de pontos importantes e equivocados que afetam diretamente o valor estimado da contratação, bem como, a proposta de preços, desconsiderando o princípio da legalidade, da isonomia e a escolha da proposta mais vantajosa, conforme especificações a seguir.</w:t>
      </w:r>
    </w:p>
    <w:p w14:paraId="2C71A774" w14:textId="77777777" w:rsidR="008A5EFD" w:rsidRDefault="008A5EFD" w:rsidP="008A5EFD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6"/>
          <w:szCs w:val="26"/>
        </w:rPr>
      </w:pPr>
    </w:p>
    <w:p w14:paraId="1F31DB71" w14:textId="77777777" w:rsidR="008A5EFD" w:rsidRDefault="008A5EFD" w:rsidP="008A5EFD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B579F">
        <w:rPr>
          <w:rFonts w:ascii="Times New Roman" w:hAnsi="Times New Roman" w:cs="Times New Roman"/>
          <w:b/>
          <w:sz w:val="26"/>
          <w:szCs w:val="26"/>
        </w:rPr>
        <w:lastRenderedPageBreak/>
        <w:t>1. DA</w:t>
      </w:r>
      <w:r>
        <w:rPr>
          <w:rFonts w:ascii="Times New Roman" w:hAnsi="Times New Roman" w:cs="Times New Roman"/>
          <w:b/>
          <w:sz w:val="26"/>
          <w:szCs w:val="26"/>
        </w:rPr>
        <w:t xml:space="preserve"> PREVISÃO EQUIVOCADA DA</w:t>
      </w:r>
      <w:r w:rsidRPr="004B579F">
        <w:rPr>
          <w:rFonts w:ascii="Times New Roman" w:hAnsi="Times New Roman" w:cs="Times New Roman"/>
          <w:b/>
          <w:sz w:val="26"/>
          <w:szCs w:val="26"/>
        </w:rPr>
        <w:t xml:space="preserve"> REPACTUAÇÃO</w:t>
      </w:r>
    </w:p>
    <w:p w14:paraId="56BC50C5" w14:textId="77777777" w:rsidR="008A5EFD" w:rsidRDefault="008A5EFD" w:rsidP="008A5EFD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17383CA" w14:textId="77777777" w:rsidR="008A5EFD" w:rsidRDefault="008A5EFD" w:rsidP="008A5EF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0C329A">
        <w:rPr>
          <w:rFonts w:ascii="Times New Roman" w:hAnsi="Times New Roman" w:cs="Times New Roman"/>
          <w:sz w:val="26"/>
          <w:szCs w:val="26"/>
        </w:rPr>
        <w:t>O item 32 do Termo de Referência e a Cláusula Vigésima Segunda da Minuta do Contrato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C329A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dispõe acerca do instituto da REPACTUAÇÃO que consiste no reajuste do valor contratado em face da variação dos </w:t>
      </w:r>
      <w:r w:rsidRPr="000C329A">
        <w:rPr>
          <w:rFonts w:ascii="Times New Roman" w:eastAsia="Times New Roman" w:hAnsi="Times New Roman" w:cs="Times New Roman"/>
          <w:b/>
          <w:sz w:val="26"/>
          <w:szCs w:val="26"/>
          <w:lang w:eastAsia="pt-BR"/>
        </w:rPr>
        <w:t>custos com a mão de obra decorrentes de Convenção Coletiva de Trabalho</w:t>
      </w:r>
      <w:r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. </w:t>
      </w:r>
    </w:p>
    <w:p w14:paraId="17939747" w14:textId="77777777" w:rsidR="008A5EFD" w:rsidRDefault="008A5EFD" w:rsidP="008A5EF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O referido item e a cláusula citada prevê o direito a repactuação do contrato da seguinte forma: </w:t>
      </w:r>
    </w:p>
    <w:p w14:paraId="141F4FCB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268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>A repactuação deverá observar o interregno mínimo de 1 (um) ano, contado da data da apresentação da proposta ou da data da última repactuação;</w:t>
      </w:r>
    </w:p>
    <w:p w14:paraId="1044DFC9" w14:textId="77777777" w:rsidR="008A5EFD" w:rsidRDefault="008A5EFD" w:rsidP="008A5E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D49EEF9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Ocorre que o interregno mínimo de 1 (um) ano para que ocorra a repactuação conforme previsto em lei, é</w:t>
      </w:r>
      <w:r w:rsidRPr="009B3AFF">
        <w:rPr>
          <w:rFonts w:ascii="Times New Roman" w:hAnsi="Times New Roman" w:cs="Times New Roman"/>
          <w:sz w:val="26"/>
          <w:szCs w:val="26"/>
          <w:u w:val="single"/>
        </w:rPr>
        <w:t xml:space="preserve"> contado da data base da convenção coletiva de trabalho a qual a proposta se refere</w:t>
      </w:r>
      <w:r>
        <w:rPr>
          <w:rFonts w:ascii="Times New Roman" w:hAnsi="Times New Roman" w:cs="Times New Roman"/>
          <w:sz w:val="26"/>
          <w:szCs w:val="26"/>
        </w:rPr>
        <w:t xml:space="preserve"> e, não a data da proposta de preços ou até mesmo da última repactuação como está previsto no instrumento convocatório. Essa previsão está em desconformidade com a Lei de Licitação 14.133/2021, que dispõe da seguinte forma:</w:t>
      </w:r>
    </w:p>
    <w:p w14:paraId="58618ED6" w14:textId="77777777" w:rsidR="008A5EFD" w:rsidRPr="006A224A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8"/>
          <w:szCs w:val="26"/>
        </w:rPr>
      </w:pPr>
    </w:p>
    <w:p w14:paraId="31B1936A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127"/>
        <w:jc w:val="both"/>
        <w:rPr>
          <w:rFonts w:ascii="Times New Roman" w:hAnsi="Times New Roman" w:cs="Times New Roman"/>
          <w:sz w:val="26"/>
          <w:szCs w:val="26"/>
        </w:rPr>
      </w:pPr>
      <w:r w:rsidRPr="007C454B">
        <w:rPr>
          <w:rFonts w:ascii="Times New Roman" w:hAnsi="Times New Roman" w:cs="Times New Roman"/>
          <w:sz w:val="26"/>
          <w:szCs w:val="26"/>
        </w:rPr>
        <w:t>Art. 135. Os preços dos contratos para serviços contínuos com regime de dedicação exclusiva de mão de obra ou com predominância de mão de obra serão repactuados para manutenção do equilíbrio econômico-financeiro, mediante demonstração analítica da variação dos custos contratuais, com data vinculada:</w:t>
      </w:r>
    </w:p>
    <w:p w14:paraId="04712406" w14:textId="77777777" w:rsidR="008A5EFD" w:rsidRPr="007C454B" w:rsidRDefault="008A5EFD" w:rsidP="008A5EFD">
      <w:pPr>
        <w:pStyle w:val="SemEspaamento"/>
        <w:spacing w:line="360" w:lineRule="auto"/>
        <w:ind w:left="2268"/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I 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- à da apresentação da proposta, para custos decorrentes do mercado;</w:t>
      </w:r>
    </w:p>
    <w:p w14:paraId="037FBDD8" w14:textId="77777777" w:rsidR="008A5EFD" w:rsidRPr="007C454B" w:rsidRDefault="008A5EFD" w:rsidP="008A5EFD">
      <w:pPr>
        <w:pStyle w:val="SemEspaamento"/>
        <w:spacing w:line="360" w:lineRule="auto"/>
        <w:ind w:left="2268"/>
        <w:rPr>
          <w:b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II 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 xml:space="preserve">- </w:t>
      </w:r>
      <w:r w:rsidRPr="007C454B">
        <w:rPr>
          <w:rStyle w:val="topic-law-referenceitemtexttflqp"/>
          <w:rFonts w:ascii="Times New Roman" w:hAnsi="Times New Roman" w:cs="Times New Roman"/>
          <w:b/>
          <w:color w:val="000000" w:themeColor="text1"/>
          <w:spacing w:val="6"/>
          <w:sz w:val="26"/>
          <w:szCs w:val="26"/>
        </w:rPr>
        <w:t>ao acordo, à convenção coletiva ou ao dissídio coletivo ao qual a proposta esteja vinculada, para os custos de mão de obra.</w:t>
      </w:r>
    </w:p>
    <w:p w14:paraId="56A2BBC5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6A224A">
        <w:rPr>
          <w:rFonts w:ascii="Times New Roman" w:eastAsia="Times New Roman" w:hAnsi="Times New Roman" w:cs="Times New Roman"/>
          <w:sz w:val="26"/>
          <w:szCs w:val="26"/>
          <w:lang w:eastAsia="pt-BR"/>
        </w:rPr>
        <w:t>Percebe-se que quanto às variações de custos decorrentes de Convenção Coletiva de Trabalho, </w:t>
      </w:r>
      <w:r w:rsidRPr="006A224A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a contagem de 1 ano deve ser da data base da convenção coletiva de trabalho</w:t>
      </w:r>
      <w:r w:rsidRPr="006A224A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3C0A462A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6A224A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Portanto, IMPUGNA-SE o edital e seus anexos para que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a</w:t>
      </w:r>
      <w:r w:rsidRPr="006A224A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repactuação do contrato ocorra após o intervalo mínimo de 1 ano a contar da data da Convenção Coletiva de Trabalho </w:t>
      </w:r>
      <w:r w:rsidRPr="006A224A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lastRenderedPageBreak/>
        <w:t>vigente à época da apresentação da proposta na hipótese de variação dos custos da mão de obra.</w:t>
      </w:r>
    </w:p>
    <w:p w14:paraId="71328BAD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6A224A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2. DA PREVISÃO EQUIVOCADA DO REAJUSTE PELO IPCA DA ATA DE REGISTRO DE PREÇOS</w:t>
      </w:r>
    </w:p>
    <w:p w14:paraId="3B25648F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A Lei n° 14.133/2021 conceitua 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  <w:t>reajustamento em sentido estrito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como sendo a forma de manutenção do equilíbrio econômico-financeiro de contrato consistente na aplicação do índice de correção monetária previsto no contrato, que deve retratar a variação efetiva do custo de produção, admitida a adoção de índices específicos ou setoriais (art. 6°, LVIII).</w:t>
      </w:r>
    </w:p>
    <w:p w14:paraId="248F8D67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Conceitua também o instituto da repactuação, forma de manutenção do equilíbrio econômico-financeiro de contrato utilizada 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  <w:t>para serviços contínuos com regime de dedicação exclusiva de mão de obra ou predominância de mão de obra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, por meio da análise da variação dos custos contratuais, </w:t>
      </w:r>
      <w:r w:rsidRPr="0021236D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devendo estar prevista no edital com data vinculada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à apresentação das propostas, 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  <w:t>para os custos decorrentes do mercado, e com data vinculada ao acordo, à convenção coletiva ou ao dissídio coletivo ao qual o orçamento esteja vinculado</w:t>
      </w:r>
      <w:r w:rsidRPr="0021236D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, para os custos decorrentes da mão de obra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. </w:t>
      </w:r>
    </w:p>
    <w:p w14:paraId="32307EE3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Conforme objeto da licitação em questão, observa-se tratar de contratação de serviços contínuos de limpeza com dedicação exclusiva de mão de obra, que por si, é suficiente para que seja refutada a opção de Reajuste pelo IPCA, </w:t>
      </w:r>
      <w:r w:rsidRPr="0021236D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devendo ser aplicado a Repactuação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dos preços registrados em Ata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, por se tratar de variação de custos decorrentes de mão de obra, conforme tratamos nas alegações do item 1 desta impugnação. Tendo sua previsão na Lei 14.133/2021, vejamos: </w:t>
      </w:r>
    </w:p>
    <w:p w14:paraId="09809579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127"/>
        <w:jc w:val="both"/>
        <w:rPr>
          <w:rFonts w:ascii="Times New Roman" w:hAnsi="Times New Roman" w:cs="Times New Roman"/>
          <w:sz w:val="26"/>
          <w:szCs w:val="26"/>
        </w:rPr>
      </w:pPr>
      <w:r w:rsidRPr="007C454B">
        <w:rPr>
          <w:rFonts w:ascii="Times New Roman" w:hAnsi="Times New Roman" w:cs="Times New Roman"/>
          <w:sz w:val="26"/>
          <w:szCs w:val="26"/>
        </w:rPr>
        <w:t>Art. 135. Os preços dos contratos para serviços contínuos com regime de dedicação exclusiva de mão de obra ou com predominância de mão de obra serão repactuados para manutenção do equilíbrio econômico-financeiro, mediante demonstração analítica da variação dos custos contratuais, com data vinculada:</w:t>
      </w:r>
    </w:p>
    <w:p w14:paraId="24F2EF9E" w14:textId="77777777" w:rsidR="008A5EFD" w:rsidRPr="007C454B" w:rsidRDefault="008A5EFD" w:rsidP="008A5EFD">
      <w:pPr>
        <w:pStyle w:val="SemEspaamento"/>
        <w:spacing w:line="360" w:lineRule="auto"/>
        <w:ind w:left="2268"/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I 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- à da apresentação da proposta, para custos decorrentes do mercado;</w:t>
      </w:r>
    </w:p>
    <w:p w14:paraId="16DF3DC4" w14:textId="77777777" w:rsidR="008A5EFD" w:rsidRPr="007C454B" w:rsidRDefault="008A5EFD" w:rsidP="008A5EFD">
      <w:pPr>
        <w:pStyle w:val="SemEspaamento"/>
        <w:spacing w:line="360" w:lineRule="auto"/>
        <w:ind w:left="2268"/>
        <w:rPr>
          <w:b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lastRenderedPageBreak/>
        <w:t>II 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 xml:space="preserve">- </w:t>
      </w:r>
      <w:r w:rsidRPr="007C454B">
        <w:rPr>
          <w:rStyle w:val="topic-law-referenceitemtexttflqp"/>
          <w:rFonts w:ascii="Times New Roman" w:hAnsi="Times New Roman" w:cs="Times New Roman"/>
          <w:b/>
          <w:color w:val="000000" w:themeColor="text1"/>
          <w:spacing w:val="6"/>
          <w:sz w:val="26"/>
          <w:szCs w:val="26"/>
        </w:rPr>
        <w:t>ao acordo, à convenção coletiva ou ao dissídio coletivo ao qual a proposta esteja vinculada, para os custos de mão de obra.</w:t>
      </w:r>
    </w:p>
    <w:p w14:paraId="0D5158FB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6A224A">
        <w:rPr>
          <w:rFonts w:ascii="Times New Roman" w:eastAsia="Times New Roman" w:hAnsi="Times New Roman" w:cs="Times New Roman"/>
          <w:sz w:val="26"/>
          <w:szCs w:val="26"/>
          <w:lang w:eastAsia="pt-BR"/>
        </w:rPr>
        <w:t>Portanto, IMPUGNA-SE o edital e seus anexos para que</w:t>
      </w:r>
      <w:r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 atualização dos preços referente aos custos decorrentes da mão de obra seja com base na Repactuação.</w:t>
      </w:r>
    </w:p>
    <w:p w14:paraId="04CF4152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B74CC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3. DA LIMPEZA E DESINFECÇÃO DE CAIXA D’ÁGUAS E CISTERNAS</w:t>
      </w:r>
    </w:p>
    <w:p w14:paraId="1E0999BE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Em análise ao referido edital e seus anexos, percebemos que além da prestação de serviços contínuos de limpeza, constata-se no objeto da licitação a limpeza de caixas d’águas e cisternas, incluindo o serviços de cloração, análise bacteriológica e análise físico-química, conforme item 20.8.2 do Termo de Referência: </w:t>
      </w:r>
    </w:p>
    <w:p w14:paraId="715BD547" w14:textId="77777777" w:rsidR="008A5EFD" w:rsidRPr="007C454B" w:rsidRDefault="008A5EFD" w:rsidP="008A5EFD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7C454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Além dos serviços de limpeza</w:t>
      </w: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e desinfecção, </w:t>
      </w:r>
      <w:r w:rsidRPr="007C454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os prestadores deverão garantir a realização dos procedimentos técnicos de cloração, análise bacteriológica e análise físico-química,</w:t>
      </w: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respeitando os prazos e metodologias recomendadas pelas normas vigentes e validadas pelos órgãos competentes.</w:t>
      </w:r>
    </w:p>
    <w:p w14:paraId="6B11FB07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Constata-se que, os serventes de limpeza irão prestar os serviços de limpezas comuns e, ainda </w:t>
      </w:r>
      <w:r w:rsidRPr="00841A08">
        <w:rPr>
          <w:rFonts w:ascii="Times New Roman" w:hAnsi="Times New Roman" w:cs="Times New Roman"/>
          <w:sz w:val="26"/>
          <w:szCs w:val="26"/>
        </w:rPr>
        <w:t>irão ter que presta</w:t>
      </w:r>
      <w:r>
        <w:rPr>
          <w:rFonts w:ascii="Times New Roman" w:hAnsi="Times New Roman" w:cs="Times New Roman"/>
          <w:sz w:val="26"/>
          <w:szCs w:val="26"/>
        </w:rPr>
        <w:t>r</w:t>
      </w:r>
      <w:r w:rsidRPr="00841A08">
        <w:rPr>
          <w:rFonts w:ascii="Times New Roman" w:hAnsi="Times New Roman" w:cs="Times New Roman"/>
          <w:sz w:val="26"/>
          <w:szCs w:val="26"/>
        </w:rPr>
        <w:t xml:space="preserve"> o serviço de limpeza de reservatório de água,</w:t>
      </w:r>
      <w:r>
        <w:rPr>
          <w:rFonts w:ascii="Times New Roman" w:hAnsi="Times New Roman" w:cs="Times New Roman"/>
          <w:sz w:val="26"/>
          <w:szCs w:val="26"/>
        </w:rPr>
        <w:t xml:space="preserve"> e cisternas, i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ncluindo o serviços de cloração, análise bacteriológica e análise físico-química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841A08">
        <w:rPr>
          <w:rFonts w:ascii="Times New Roman" w:hAnsi="Times New Roman" w:cs="Times New Roman"/>
          <w:sz w:val="26"/>
          <w:szCs w:val="26"/>
        </w:rPr>
        <w:t xml:space="preserve"> fato este que conforme legislações </w:t>
      </w:r>
      <w:r>
        <w:rPr>
          <w:rFonts w:ascii="Times New Roman" w:hAnsi="Times New Roman" w:cs="Times New Roman"/>
          <w:sz w:val="26"/>
          <w:szCs w:val="26"/>
        </w:rPr>
        <w:t>não é</w:t>
      </w:r>
      <w:r w:rsidRPr="00841A08">
        <w:rPr>
          <w:rFonts w:ascii="Times New Roman" w:hAnsi="Times New Roman" w:cs="Times New Roman"/>
          <w:sz w:val="26"/>
          <w:szCs w:val="26"/>
        </w:rPr>
        <w:t xml:space="preserve"> permitido para a categoria de Servente de Limpeza.</w:t>
      </w:r>
    </w:p>
    <w:p w14:paraId="2BD82DA9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As</w:t>
      </w:r>
      <w:r w:rsidRPr="00EF63B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atribuição de tarefas de limpeza de reservatórios de água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e cisternas</w:t>
      </w:r>
      <w:r w:rsidRPr="00EF63B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 profissionais da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categoria de auxiliar de limpeza/servente de limpeza</w:t>
      </w:r>
      <w:r w:rsidRPr="00EF63B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é </w:t>
      </w:r>
      <w:r w:rsidRPr="00EF63B4">
        <w:rPr>
          <w:rFonts w:ascii="Times New Roman" w:hAnsi="Times New Roman" w:cs="Times New Roman"/>
          <w:sz w:val="26"/>
          <w:szCs w:val="26"/>
          <w:shd w:val="clear" w:color="auto" w:fill="FFFFFF"/>
        </w:rPr>
        <w:t>uma prática que contraria o entendimento legal e de normas técnicas aplicáveis, vez que a higienização desses reservatórios exige um nível de conhecimento e especialização que vai além das atribuições comuns da função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1F5C7873" w14:textId="77777777" w:rsidR="008A5EFD" w:rsidRDefault="008A5EFD" w:rsidP="008A5EFD">
      <w:pPr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Como poder constatar através da p</w:t>
      </w:r>
      <w:r w:rsidRPr="000A09EF">
        <w:rPr>
          <w:rFonts w:ascii="Times New Roman" w:hAnsi="Times New Roman" w:cs="Times New Roman"/>
          <w:sz w:val="26"/>
          <w:szCs w:val="26"/>
        </w:rPr>
        <w:t>ortaria GM/MS Nº 888, de 4 de maio de 2021, que estabelece os requisitos e procedimentos para o controle e a vigilância da qualidade da água para consumo humano, incluindo a qualidade da água e a manutenção dos reservatórios.</w:t>
      </w:r>
    </w:p>
    <w:p w14:paraId="39859544" w14:textId="77777777" w:rsidR="008A5EFD" w:rsidRPr="007C454B" w:rsidRDefault="008A5EFD" w:rsidP="008A5EFD">
      <w:pPr>
        <w:adjustRightInd w:val="0"/>
        <w:spacing w:line="360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C454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Art. 30 Para sistemas e soluções alternativas coletivas de abastecimento de água com captação em mananciais superficiais, no controle do 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processo de desinfecção da água por meio da cloração, </w:t>
      </w:r>
      <w:proofErr w:type="spellStart"/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cloraminação</w:t>
      </w:r>
      <w:proofErr w:type="spellEnd"/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, da aplicação de dióxido de cloro ou de </w:t>
      </w:r>
      <w:proofErr w:type="spellStart"/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isocianuratos</w:t>
      </w:r>
      <w:proofErr w:type="spellEnd"/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 clorados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devem ser observados os tempos de contato e as concentrações residuais de 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desinfetante na saída do tanque de contato, em função, quando cabível, dos valores de pH e temperatura, expressos nos Anexos 3, 4 e 5.</w:t>
      </w:r>
    </w:p>
    <w:p w14:paraId="54BC221A" w14:textId="77777777" w:rsidR="008A5EFD" w:rsidRDefault="008A5EFD" w:rsidP="008A5EFD">
      <w:pPr>
        <w:pStyle w:val="SemEspaamento"/>
        <w:spacing w:line="360" w:lineRule="auto"/>
        <w:ind w:left="2268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50751576" w14:textId="77777777" w:rsidR="008A5EFD" w:rsidRDefault="008A5EFD" w:rsidP="008A5EFD">
      <w:pPr>
        <w:adjustRightInd w:val="0"/>
        <w:spacing w:line="360" w:lineRule="auto"/>
        <w:ind w:firstLine="709"/>
        <w:jc w:val="both"/>
        <w:rPr>
          <w:rFonts w:ascii="Arial Narrow" w:hAnsi="Arial Narrow" w:cs="Arial Narrow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Perc</w:t>
      </w:r>
      <w:r w:rsidRPr="00EF63B4">
        <w:rPr>
          <w:rFonts w:ascii="Times New Roman" w:hAnsi="Times New Roman" w:cs="Times New Roman"/>
          <w:color w:val="000000"/>
          <w:sz w:val="26"/>
          <w:szCs w:val="26"/>
        </w:rPr>
        <w:t>e</w:t>
      </w:r>
      <w:r>
        <w:rPr>
          <w:rFonts w:ascii="Times New Roman" w:hAnsi="Times New Roman" w:cs="Times New Roman"/>
          <w:color w:val="000000"/>
          <w:sz w:val="26"/>
          <w:szCs w:val="26"/>
        </w:rPr>
        <w:t>be</w:t>
      </w:r>
      <w:r w:rsidRPr="00EF63B4">
        <w:rPr>
          <w:rFonts w:ascii="Times New Roman" w:hAnsi="Times New Roman" w:cs="Times New Roman"/>
          <w:color w:val="000000"/>
          <w:sz w:val="26"/>
          <w:szCs w:val="26"/>
        </w:rPr>
        <w:t>-se que a limpeza de caixa d’água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e cisternas,</w:t>
      </w:r>
      <w:r w:rsidRPr="00EF63B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EF63B4">
        <w:rPr>
          <w:rFonts w:ascii="Times New Roman" w:hAnsi="Times New Roman" w:cs="Times New Roman"/>
          <w:b/>
          <w:color w:val="000000"/>
          <w:sz w:val="26"/>
          <w:szCs w:val="26"/>
        </w:rPr>
        <w:t>requer procedimentos especiais com vistas a não causar problemas posteriores à saúde dos usuários</w:t>
      </w:r>
      <w:r w:rsidRPr="00EF63B4">
        <w:rPr>
          <w:rFonts w:ascii="Times New Roman" w:hAnsi="Times New Roman" w:cs="Times New Roman"/>
          <w:color w:val="000000"/>
          <w:sz w:val="26"/>
          <w:szCs w:val="26"/>
        </w:rPr>
        <w:t xml:space="preserve">, devendo assim atender à requisitos específicos, não podendo ser realizada por qualquer profissional. </w:t>
      </w:r>
      <w:r w:rsidRPr="00EF63B4">
        <w:rPr>
          <w:rFonts w:ascii="Times New Roman" w:hAnsi="Times New Roman" w:cs="Times New Roman"/>
          <w:b/>
          <w:color w:val="000000"/>
          <w:sz w:val="26"/>
          <w:szCs w:val="26"/>
        </w:rPr>
        <w:t>Além disso, o processo de desinfecção deve seguir protocolo específico conforme normativa do Ministério da Saúde, inclusive com a emissão de certificado</w:t>
      </w:r>
      <w:r w:rsidRPr="00EF63B4">
        <w:rPr>
          <w:rFonts w:ascii="Arial Narrow" w:hAnsi="Arial Narrow" w:cs="Arial Narrow"/>
          <w:b/>
          <w:color w:val="000000"/>
          <w:sz w:val="24"/>
          <w:szCs w:val="24"/>
        </w:rPr>
        <w:t>.</w:t>
      </w:r>
    </w:p>
    <w:p w14:paraId="36C53DCA" w14:textId="77777777" w:rsidR="008A5EFD" w:rsidRPr="00055E1E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</w:pPr>
      <w:r w:rsidRPr="00055E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 xml:space="preserve">Portanto, dada a clareza com que se apresentam os fatos, IMPUGNA-SE o edital e seus anexos, pois percebe-se a caracterização da necessidade de realizar o parcelamento do objeto desta licitação, uma vez que se tratam de objetos e atividades econômicas distintas, além de cumprir o princípio da ampla concorrência </w:t>
      </w:r>
    </w:p>
    <w:p w14:paraId="47E033C4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pt-BR"/>
        </w:rPr>
      </w:pPr>
      <w:r w:rsidRPr="00D2725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pt-BR"/>
        </w:rPr>
        <w:t xml:space="preserve">4. DO AGRUPAMENTO DA LICITAÇÃO EM UM ÚNICO LOTE 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pt-BR"/>
        </w:rPr>
        <w:t>RESTRINGINDO A AMPLA CONCORRENCIA</w:t>
      </w:r>
    </w:p>
    <w:p w14:paraId="7F2EC7AE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</w:pPr>
      <w:r w:rsidRPr="001F537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>Primeiramente, cumpre ressaltar que a licitação refere-se a um Registro de Preços envolvendo três serviços de áreas d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>istintas, Limpeza e Conservação, Limpeza de Caixa d’água e Limpeza de Cisterna, como percebe-se e, também como está no termo de referência, no item 12.4, quando da justificativa para a subcontratação, dispõe que:</w:t>
      </w:r>
    </w:p>
    <w:p w14:paraId="40AF6A7A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12.4. </w:t>
      </w:r>
      <w:r w:rsidRPr="007C454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Com base nas três áreas de prestação de serviços contidas neste Termo de Referência</w:t>
      </w: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, e </w:t>
      </w:r>
      <w:r w:rsidRPr="007C454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diante da complexidade técnica diferenciada</w:t>
      </w: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de algumas atividades, a subcontratação poderá ser efetivada nas seguintes situações: Serviços de roçagem e limpeza, desinfecção e análises em caixas d’água e cisternas.</w:t>
      </w:r>
    </w:p>
    <w:p w14:paraId="2494A55C" w14:textId="77777777" w:rsidR="008A5EFD" w:rsidRDefault="008A5EFD" w:rsidP="008A5EF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7598887F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lastRenderedPageBreak/>
        <w:t xml:space="preserve">Percebe-se que </w:t>
      </w:r>
      <w:r w:rsidRPr="0078560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>essa aglutinação viola a Lei de Licitações (Lei 14.133/2021), limitando a competição ao impedir a participação de empresas especializadas em ape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>nas um dos serviços, prejudicando</w:t>
      </w:r>
      <w:r w:rsidRPr="0078560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 xml:space="preserve"> a competitivida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pt-BR"/>
        </w:rPr>
        <w:t xml:space="preserve">de e a economicidade do certame, conforme vemos no Art.40 da lei de Licitações: </w:t>
      </w:r>
    </w:p>
    <w:p w14:paraId="77B95450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eastAsia="pt-BR"/>
        </w:rPr>
      </w:pPr>
      <w:r w:rsidRPr="007C454B">
        <w:rPr>
          <w:rFonts w:ascii="Times New Roman" w:hAnsi="Times New Roman" w:cs="Times New Roman"/>
          <w:b/>
          <w:color w:val="000000" w:themeColor="text1"/>
          <w:sz w:val="26"/>
          <w:szCs w:val="26"/>
          <w:lang w:eastAsia="pt-BR"/>
        </w:rPr>
        <w:t>Art. 40. O planejamento de compras deverá considerar a expectativa de consumo anual e observar o seguinte:</w:t>
      </w:r>
    </w:p>
    <w:p w14:paraId="1BE47BB9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V 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- atendimento aos princípios:</w:t>
      </w:r>
    </w:p>
    <w:p w14:paraId="276B2906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a)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 da padronização, considerada a compatibilidade de especificações estéticas, técnicas ou de desempenho;</w:t>
      </w:r>
    </w:p>
    <w:p w14:paraId="5511833A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b)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 </w:t>
      </w:r>
      <w:r w:rsidRPr="007C454B">
        <w:rPr>
          <w:rStyle w:val="topic-law-referenceitemtexttflqp"/>
          <w:rFonts w:ascii="Times New Roman" w:hAnsi="Times New Roman" w:cs="Times New Roman"/>
          <w:b/>
          <w:color w:val="000000" w:themeColor="text1"/>
          <w:spacing w:val="6"/>
          <w:sz w:val="26"/>
          <w:szCs w:val="26"/>
        </w:rPr>
        <w:t>do parcelamento, quando for tecnicamente viável e economicamente vantajoso;</w:t>
      </w:r>
    </w:p>
    <w:p w14:paraId="1BE41CD1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C454B">
        <w:rPr>
          <w:rStyle w:val="Forte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c)</w:t>
      </w:r>
      <w:r w:rsidRPr="007C454B">
        <w:rPr>
          <w:rStyle w:val="topic-law-referenceitemtexttflqp"/>
          <w:rFonts w:ascii="Times New Roman" w:hAnsi="Times New Roman" w:cs="Times New Roman"/>
          <w:color w:val="000000" w:themeColor="text1"/>
          <w:spacing w:val="6"/>
          <w:sz w:val="26"/>
          <w:szCs w:val="26"/>
        </w:rPr>
        <w:t> da responsabilidade fiscal, mediante a comparação da despesa estimada com a prevista no orçamento.</w:t>
      </w:r>
    </w:p>
    <w:p w14:paraId="1932421D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pt-BR"/>
        </w:rPr>
      </w:pPr>
    </w:p>
    <w:p w14:paraId="381F1140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eastAsia="pt-BR"/>
        </w:rPr>
      </w:pPr>
      <w:r>
        <w:rPr>
          <w:rFonts w:ascii="Times New Roman" w:hAnsi="Times New Roman" w:cs="Times New Roman"/>
          <w:sz w:val="26"/>
          <w:szCs w:val="26"/>
          <w:lang w:eastAsia="pt-BR"/>
        </w:rPr>
        <w:t>Essa</w:t>
      </w:r>
      <w:r w:rsidRPr="00785601">
        <w:rPr>
          <w:rFonts w:ascii="Times New Roman" w:hAnsi="Times New Roman" w:cs="Times New Roman"/>
          <w:sz w:val="26"/>
          <w:szCs w:val="26"/>
          <w:lang w:eastAsia="pt-BR"/>
        </w:rPr>
        <w:t xml:space="preserve"> aglutinação de serviços de naturezas distintas, como a limpeza geral e a limpeza de caixas d’águas e limpeza de </w:t>
      </w:r>
      <w:r>
        <w:rPr>
          <w:rFonts w:ascii="Times New Roman" w:hAnsi="Times New Roman" w:cs="Times New Roman"/>
          <w:sz w:val="26"/>
          <w:szCs w:val="26"/>
          <w:lang w:eastAsia="pt-BR"/>
        </w:rPr>
        <w:t>cisternas, afasta as</w:t>
      </w:r>
      <w:r w:rsidRPr="00785601">
        <w:rPr>
          <w:rFonts w:ascii="Times New Roman" w:hAnsi="Times New Roman" w:cs="Times New Roman"/>
          <w:sz w:val="26"/>
          <w:szCs w:val="26"/>
          <w:lang w:eastAsia="pt-BR"/>
        </w:rPr>
        <w:t xml:space="preserve"> empresas que são especialistas em apenas um dos serviços, mas não em ambos. </w:t>
      </w:r>
      <w:r w:rsidRPr="00E626A1">
        <w:rPr>
          <w:rFonts w:ascii="Times New Roman" w:hAnsi="Times New Roman" w:cs="Times New Roman"/>
          <w:sz w:val="26"/>
          <w:szCs w:val="26"/>
          <w:u w:val="single"/>
          <w:lang w:eastAsia="pt-BR"/>
        </w:rPr>
        <w:t>Isso reduz o número de participantes e, consequentemente, a competição, que é um dos pilares da licitação</w:t>
      </w:r>
      <w:r>
        <w:rPr>
          <w:rFonts w:ascii="Times New Roman" w:hAnsi="Times New Roman" w:cs="Times New Roman"/>
          <w:sz w:val="26"/>
          <w:szCs w:val="26"/>
          <w:lang w:eastAsia="pt-BR"/>
        </w:rPr>
        <w:t xml:space="preserve">, ainda mais em se tratar de um Sistema de Registro de Preços. </w:t>
      </w:r>
    </w:p>
    <w:p w14:paraId="1AE59F5E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eastAsia="pt-BR"/>
        </w:rPr>
      </w:pPr>
      <w:r>
        <w:rPr>
          <w:rFonts w:ascii="Times New Roman" w:hAnsi="Times New Roman" w:cs="Times New Roman"/>
          <w:sz w:val="26"/>
          <w:szCs w:val="26"/>
          <w:lang w:eastAsia="pt-BR"/>
        </w:rPr>
        <w:t xml:space="preserve">Vale ressaltar, que esse agrupamento impede que a administração pública selecione a proposta mais vantajosa, RESTRINGINDO A COMPETITIVIDADE entre os participantes, destacamos o que dispõe a Lei 14.133/2021: </w:t>
      </w:r>
    </w:p>
    <w:p w14:paraId="761F87D3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sz w:val="26"/>
          <w:szCs w:val="26"/>
        </w:rPr>
      </w:pPr>
      <w:r w:rsidRPr="007C454B">
        <w:rPr>
          <w:rFonts w:ascii="Times New Roman" w:hAnsi="Times New Roman" w:cs="Times New Roman"/>
          <w:sz w:val="26"/>
          <w:szCs w:val="26"/>
        </w:rPr>
        <w:t xml:space="preserve">Art. 11. </w:t>
      </w:r>
      <w:r w:rsidRPr="007C454B">
        <w:rPr>
          <w:rFonts w:ascii="Times New Roman" w:hAnsi="Times New Roman" w:cs="Times New Roman"/>
          <w:sz w:val="26"/>
          <w:szCs w:val="26"/>
          <w:u w:val="single"/>
        </w:rPr>
        <w:t>O processo licitatório tem por objetivos</w:t>
      </w:r>
      <w:r w:rsidRPr="007C454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AAB013" w14:textId="77777777" w:rsidR="008A5EFD" w:rsidRPr="007C454B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sz w:val="26"/>
          <w:szCs w:val="26"/>
          <w:lang w:eastAsia="pt-BR"/>
        </w:rPr>
      </w:pPr>
      <w:r w:rsidRPr="007C454B">
        <w:rPr>
          <w:rFonts w:ascii="Times New Roman" w:hAnsi="Times New Roman" w:cs="Times New Roman"/>
          <w:sz w:val="26"/>
          <w:szCs w:val="26"/>
        </w:rPr>
        <w:t xml:space="preserve">I - </w:t>
      </w:r>
      <w:r w:rsidRPr="007C454B">
        <w:rPr>
          <w:rFonts w:ascii="Times New Roman" w:hAnsi="Times New Roman" w:cs="Times New Roman"/>
          <w:b/>
          <w:sz w:val="26"/>
          <w:szCs w:val="26"/>
        </w:rPr>
        <w:t>assegurar a seleção da proposta apta a gerar o resultado de contratação mais vantajoso para a Administração Pública</w:t>
      </w:r>
      <w:r w:rsidRPr="007C454B">
        <w:rPr>
          <w:rFonts w:ascii="Times New Roman" w:hAnsi="Times New Roman" w:cs="Times New Roman"/>
          <w:sz w:val="26"/>
          <w:szCs w:val="26"/>
        </w:rPr>
        <w:t>, inclusive no que se refere ao ciclo de vida do objeto;</w:t>
      </w:r>
    </w:p>
    <w:p w14:paraId="59319DA5" w14:textId="77777777" w:rsidR="008A5EFD" w:rsidRPr="00B20694" w:rsidRDefault="008A5EFD" w:rsidP="008A5EFD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26"/>
          <w:lang w:eastAsia="pt-BR"/>
        </w:rPr>
      </w:pPr>
    </w:p>
    <w:p w14:paraId="5F79AD7D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</w:pPr>
      <w:r w:rsidRPr="00B20694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 xml:space="preserve">Diante disso, não resta dúvidas quanto a restrição </w:t>
      </w: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>d</w:t>
      </w:r>
      <w:r w:rsidRPr="00B20694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>a ampla concorrência</w:t>
      </w: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 xml:space="preserve"> nesse processo licitatório, e a quebra da isonomia, consubstanciada no Art. 37 da Constituição Federal: </w:t>
      </w:r>
    </w:p>
    <w:p w14:paraId="5A01797D" w14:textId="77777777" w:rsidR="008A5EFD" w:rsidRDefault="008A5EFD" w:rsidP="008A5EFD">
      <w:pPr>
        <w:shd w:val="clear" w:color="auto" w:fill="FFFFFF"/>
        <w:spacing w:before="100" w:beforeAutospacing="1" w:after="100" w:afterAutospacing="1" w:line="276" w:lineRule="auto"/>
        <w:ind w:left="2268"/>
        <w:jc w:val="both"/>
        <w:rPr>
          <w:rFonts w:ascii="Times New Roman" w:hAnsi="Times New Roman" w:cs="Times New Roman"/>
          <w:sz w:val="26"/>
          <w:szCs w:val="26"/>
        </w:rPr>
      </w:pPr>
      <w:r w:rsidRPr="00B0122E">
        <w:rPr>
          <w:rFonts w:ascii="Times New Roman" w:hAnsi="Times New Roman" w:cs="Times New Roman"/>
          <w:sz w:val="26"/>
          <w:szCs w:val="26"/>
        </w:rPr>
        <w:t xml:space="preserve">Art. 37 (...) (...) XXI - ressalvados os casos especificados na legislação, as obras, serviços, compras e alienações serão contratados mediante processo de licitação pública que </w:t>
      </w:r>
      <w:r w:rsidRPr="00B0122E">
        <w:rPr>
          <w:rFonts w:ascii="Times New Roman" w:hAnsi="Times New Roman" w:cs="Times New Roman"/>
          <w:b/>
          <w:sz w:val="26"/>
          <w:szCs w:val="26"/>
        </w:rPr>
        <w:t>assegure igualdade de condições a todos os concorrentes,</w:t>
      </w:r>
      <w:r w:rsidRPr="00B0122E">
        <w:rPr>
          <w:rFonts w:ascii="Times New Roman" w:hAnsi="Times New Roman" w:cs="Times New Roman"/>
          <w:sz w:val="26"/>
          <w:szCs w:val="26"/>
        </w:rPr>
        <w:t xml:space="preserve"> com cláusulas que estabeleçam obrigações de </w:t>
      </w:r>
      <w:r w:rsidRPr="00B0122E">
        <w:rPr>
          <w:rFonts w:ascii="Times New Roman" w:hAnsi="Times New Roman" w:cs="Times New Roman"/>
          <w:sz w:val="26"/>
          <w:szCs w:val="26"/>
        </w:rPr>
        <w:lastRenderedPageBreak/>
        <w:t>pagamento, mantidas as condições efetivas da proposta, nos termos da lei, o qual somente permitirá as exigências de qualificação técnica e econômica indispensáveis à garantia do cumprimento das obrigações;”</w:t>
      </w:r>
    </w:p>
    <w:p w14:paraId="059E8B87" w14:textId="77777777" w:rsidR="008A5EFD" w:rsidRDefault="008A5EFD" w:rsidP="008A5EFD">
      <w:pPr>
        <w:shd w:val="clear" w:color="auto" w:fill="FFFFFF"/>
        <w:spacing w:before="100" w:beforeAutospacing="1" w:after="100" w:afterAutospacing="1" w:line="276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 xml:space="preserve">Ante a todo esse exposto, IMPUGNA-SE o edital e seus anexos por quebrar o princípio da ampla concorrência e a isonomia entre as concorrentes, devendo ocorrer o parcelamento do objeto até mesmo como forma de ressaltar o princípio da boa-fé. </w:t>
      </w:r>
    </w:p>
    <w:p w14:paraId="2E5B68BA" w14:textId="77777777" w:rsidR="008A5EFD" w:rsidRPr="00705C3C" w:rsidRDefault="008A5EFD" w:rsidP="008A5EFD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pt-BR"/>
        </w:rPr>
      </w:pPr>
      <w:r w:rsidRPr="00705C3C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pt-BR"/>
        </w:rPr>
        <w:t>5. DA QUALIFICAÇÃO TÉCNICA – CONTRATADA E SUBCONTRATADA</w:t>
      </w:r>
    </w:p>
    <w:p w14:paraId="03CD6145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O edital em comento, nos traz as seguintes diretrizes quanto a Qualificação Técnica, em seu item 20.21.9, para ser atendida: </w:t>
      </w:r>
    </w:p>
    <w:p w14:paraId="7919424B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</w:pPr>
      <w:r w:rsidRPr="007C454B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O caso em análise, a prestação de serviços de limpeza, conservação, roçagem e </w:t>
      </w:r>
      <w:r w:rsidRPr="007C454B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higienização de caixas d’água e cisternas exige a comprovação de experiência prévia</w:t>
      </w:r>
      <w:r w:rsidRPr="007C454B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, considerando </w:t>
      </w:r>
      <w:r w:rsidRPr="007C454B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o vulto, a complexidade e a natureza continuada do objeto</w:t>
      </w:r>
      <w:r w:rsidRPr="007C454B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. </w:t>
      </w:r>
      <w:r w:rsidRPr="007C454B">
        <w:rPr>
          <w:rFonts w:ascii="Times New Roman" w:hAnsi="Times New Roman" w:cs="Times New Roman"/>
          <w:bCs/>
          <w:color w:val="000000"/>
          <w:kern w:val="0"/>
          <w:sz w:val="26"/>
          <w:szCs w:val="26"/>
          <w:u w:val="single"/>
        </w:rPr>
        <w:t>Trata-se de atividades que demandam mão de obra especializada, utilização de equipamentos específicos, observância a normas técnicas de segurança do trabalho e requisitos sanitários, bem como capacidade de organização e gestão operacional em larga escala.</w:t>
      </w:r>
    </w:p>
    <w:p w14:paraId="59113A38" w14:textId="77777777" w:rsidR="008A5EFD" w:rsidRDefault="008A5EFD" w:rsidP="008A5EFD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</w:p>
    <w:p w14:paraId="04F363AB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Também é percebido a exigência de Atestado de Capacidade Técnica, quando da contratação da empresa Subcontratada, conforme dispõe o item 12.2 do Termo de Referência: </w:t>
      </w:r>
    </w:p>
    <w:p w14:paraId="08434B20" w14:textId="77777777" w:rsidR="008A5EFD" w:rsidRPr="007C454B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12.2 A subcontratação dependerá de prévia autorização da Administração, mediante deliberação formal, </w:t>
      </w:r>
      <w:r w:rsidRPr="007C454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e estará condicionada à comprovação da capacidade técnica e da regularidade jurídica, fiscal e trabalhista da subcontratada,</w:t>
      </w:r>
      <w:r w:rsidRPr="007C454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sem prejuízo da responsabilidade integral da contratada principal (art. 122 da Lei nº 14.133/2021).</w:t>
      </w:r>
    </w:p>
    <w:p w14:paraId="18A5C05A" w14:textId="77777777" w:rsidR="008A5EFD" w:rsidRDefault="008A5EFD" w:rsidP="008A5EFD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</w:p>
    <w:p w14:paraId="29D0F93D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Pois bem, analisando as citações extraídas do edital e termo de referência, percebemos que são contraditórias e impossíveis, pois caso a empresa licitante participe da licitação, deverá comprovar a qualificação técnica na fase de julgamento da habilitação, Todavia, optando esta por subcontratar, só conseguirá comprovar a expertise (qualificação técnica) da empresa subcontratada quando realizar a contratação dos serviços de limpeza e higienização de caixa d’águas e cisternas. </w:t>
      </w:r>
    </w:p>
    <w:p w14:paraId="50F66A02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lastRenderedPageBreak/>
        <w:t>Observa-se que, a licitação seguindo o percurso normal, que em síntese, será, cadastro de proposta, rodada de lances, julgamento de proposta, julgamento de habilitação, homologação e contratação, é impossível comprovar a qualificação técnica e ser habilitada, pois a fase de julgamento dos documentos de habilitação antecede e muito a fase de contratação (momento em que se apresenta a subcontratada).</w:t>
      </w:r>
    </w:p>
    <w:p w14:paraId="184DA832" w14:textId="77777777" w:rsidR="008A5EFD" w:rsidRDefault="008A5EFD" w:rsidP="008A5EFD">
      <w:pPr>
        <w:pStyle w:val="SemEspaamento"/>
        <w:spacing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Portanto, visando dizimar a ambiguidade nesta licitação e as suas consequências, IMPUGNA-SE o instrumento convocatório, para que seja extinguido o duplo sentido quanto ao momento de comprovar os requisitos de habilitação da subcontratada, tornando a licitação transparente e dentro da legalidade.</w:t>
      </w:r>
    </w:p>
    <w:p w14:paraId="763A34FE" w14:textId="77777777" w:rsidR="008A5EFD" w:rsidRDefault="008A5EFD" w:rsidP="008A5EFD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</w:p>
    <w:p w14:paraId="320FE245" w14:textId="77777777" w:rsidR="008A5EFD" w:rsidRDefault="008A5EFD" w:rsidP="008A5EFD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2F4C06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6. DO SEGURO GARANTIA</w:t>
      </w:r>
    </w:p>
    <w:p w14:paraId="26683D6C" w14:textId="77777777" w:rsidR="008A5EFD" w:rsidRPr="002F4C06" w:rsidRDefault="008A5EFD" w:rsidP="008A5EFD">
      <w:pPr>
        <w:pStyle w:val="SemEspaamento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26"/>
          <w:lang w:eastAsia="pt-BR"/>
        </w:rPr>
      </w:pPr>
    </w:p>
    <w:p w14:paraId="08090F3C" w14:textId="77777777" w:rsidR="008A5EFD" w:rsidRPr="002F4C06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</w:pPr>
      <w:r w:rsidRPr="002F4C06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No item 13 do termo de Referência e na Cláusula Nona da Minuta do Contrato, a licitação trata acerca do Seguro Garantia, nos informando que </w:t>
      </w:r>
      <w:r w:rsidRPr="002F4C06">
        <w:rPr>
          <w:rFonts w:ascii="Times New Roman" w:eastAsia="Times New Roman" w:hAnsi="Times New Roman" w:cs="Times New Roman"/>
          <w:bCs/>
          <w:sz w:val="26"/>
          <w:szCs w:val="26"/>
          <w:u w:val="single"/>
          <w:lang w:eastAsia="pt-BR"/>
        </w:rPr>
        <w:t>“</w:t>
      </w:r>
      <w:r w:rsidRPr="002F4C06">
        <w:rPr>
          <w:rFonts w:ascii="Times New Roman" w:hAnsi="Times New Roman" w:cs="Times New Roman"/>
          <w:color w:val="000000"/>
          <w:kern w:val="0"/>
          <w:sz w:val="26"/>
          <w:szCs w:val="26"/>
          <w:u w:val="single"/>
        </w:rPr>
        <w:t>O valor da garantia será de até 5% do valor inicial do contrato, podendo ser elevado para até 10%, quando justificado tecnicamente.”</w:t>
      </w:r>
    </w:p>
    <w:p w14:paraId="5E9A30B6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Ocorre que a Lei de Licitações, a 14.133/2021, em seu art. 96 prevê que o valor da garantia de até 5%, podendo chegar até 10%, quando justificado tecnicamente. A administração Pública quando justificado, pode escolher o percentual de seguro garantia contratual a ser praticado na contratação, todavia, deve ser especificado o percentual escolhido no edital, e minuta do contrato. </w:t>
      </w:r>
    </w:p>
    <w:p w14:paraId="5C4B8DA2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Portanto, IMPUGNA-SE o instrumento convocatório e seus anexos, tendo em vista a falta de fixação do percentual de seguro garantia para a contratação. Vale ressaltar que dada a contratação o percentual a ser exigido deve ser o de 5% sobre o valor da contratação. </w:t>
      </w:r>
    </w:p>
    <w:p w14:paraId="59855FAF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45A2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7. DA PLANILHA DE CUSTOS E FORMAÇÃO DE PREÇOS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REFERENCIAL </w:t>
      </w:r>
    </w:p>
    <w:p w14:paraId="6CB4A2A0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545A21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Inicialmente cumpre advertir que as Planilha de Custos e formação de preços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apresentados como anexo do edital,</w:t>
      </w:r>
      <w:r w:rsidRPr="00545A21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fo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ra instrumento principal para a composição do </w:t>
      </w:r>
      <w:r w:rsidRPr="00545A21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Valor Estimado da Contratação. </w:t>
      </w:r>
    </w:p>
    <w:p w14:paraId="68CFBD19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 w:rsidRPr="00545A21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lastRenderedPageBreak/>
        <w:t>Observa-se no item 19.5.3.1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que </w:t>
      </w:r>
      <w:r w:rsidRPr="00545A2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</w:t>
      </w:r>
      <w:r w:rsidRPr="00545A21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s preços propostos não poderão ser superiores aos valores estabelecidos no Termo de Referência – Anexo I deste Edital, sob pena de desclassificação;</w:t>
      </w:r>
    </w:p>
    <w:p w14:paraId="0496545B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3E1B90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Ao analisar as planilhas de custos e formação de preços, em 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anexo ao edital, </w:t>
      </w:r>
      <w:r w:rsidRPr="003E1B90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constatou-se</w:t>
      </w:r>
      <w:r w:rsidRPr="003E1B9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erros gravíssimos que comprometem a integridade da licitação e a apresentação de uma proposta de preços com o menor preço e de forma vantajosa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, conforme segue. </w:t>
      </w:r>
    </w:p>
    <w:p w14:paraId="162EEC98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</w:p>
    <w:p w14:paraId="21374C47" w14:textId="77777777" w:rsidR="008A5EFD" w:rsidRPr="003E1B90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3E1B9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7.1 CUSTO E LUCRO ZERADOS NA PLANILHA ESTIMATIVA DE CUSTO. </w:t>
      </w:r>
    </w:p>
    <w:p w14:paraId="6175F717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1999901B" wp14:editId="333A0B8A">
            <wp:simplePos x="0" y="0"/>
            <wp:positionH relativeFrom="margin">
              <wp:align>left</wp:align>
            </wp:positionH>
            <wp:positionV relativeFrom="paragraph">
              <wp:posOffset>1887855</wp:posOffset>
            </wp:positionV>
            <wp:extent cx="6188710" cy="1081405"/>
            <wp:effectExtent l="0" t="0" r="2540" b="444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O custo administrativo e o Lucro são elementos na Planilha de Custos que dizem respeito a remuneração da empresa licitante. Ao realizar uma licitação com percentual de Custo (0%) e Lucro (0%) como valor estimado, a administração pública está </w:t>
      </w:r>
      <w:r w:rsidRPr="00547BB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desrespeitando o direito da licitante à remuneração p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elo trabalho. </w:t>
      </w:r>
      <w:r w:rsidRPr="00547BB0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É preciso que as exigências do edital permitam a participação de diversos interessados, o que não aconteceria caso a exigência de lucro fosse nula, já que isso tornaria a atividade insustentável para os licitantes.</w:t>
      </w:r>
    </w:p>
    <w:p w14:paraId="05950926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547BB0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O edital pode ser específico quanto aos custos de mão de obra, mas deve </w:t>
      </w:r>
      <w:r w:rsidRPr="00547BB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respeitar a realidade do mercado</w:t>
      </w:r>
      <w:r w:rsidRPr="00547BB0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e permitir que o licitante apresente uma proposta que seja viável financeiramente. </w:t>
      </w:r>
      <w:r w:rsidRPr="00547BB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custo e o </w:t>
      </w:r>
      <w:r w:rsidRPr="00547BB0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lucro, mesmo que mínimo, é um elemento legítimo da formação do preço e deve ser considerado para não inviabilizar a participação na licitação</w:t>
      </w:r>
      <w:r w:rsidRPr="00547BB0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.</w:t>
      </w:r>
    </w:p>
    <w:p w14:paraId="418C9779" w14:textId="77777777" w:rsidR="008A5EFD" w:rsidRDefault="008A5EFD" w:rsidP="008A5EFD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A Instrução Normativa 05/2017 e 07/2018 do Ministério do Planejamento, Desenvolvimento e Gestão, em seu Anexo I- Definições, traz os seguintes entendimentos sobre Custo e lucro, que dispõe:</w:t>
      </w:r>
    </w:p>
    <w:p w14:paraId="499BDE4A" w14:textId="77777777" w:rsidR="008A5EFD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547BB0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VI - CUSTOS INDIRETOS:</w:t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7C454B">
        <w:rPr>
          <w:rFonts w:ascii="Times New Roman" w:hAnsi="Times New Roman" w:cs="Times New Roman"/>
          <w:sz w:val="26"/>
          <w:szCs w:val="26"/>
          <w:u w:val="single"/>
          <w:shd w:val="clear" w:color="auto" w:fill="FFFFFF"/>
        </w:rPr>
        <w:t xml:space="preserve">os custos envolvidos na execução contratual decorrentes dos gastos da contratada com sua estrutura </w:t>
      </w:r>
      <w:r w:rsidRPr="007C454B">
        <w:rPr>
          <w:rFonts w:ascii="Times New Roman" w:hAnsi="Times New Roman" w:cs="Times New Roman"/>
          <w:sz w:val="26"/>
          <w:szCs w:val="26"/>
          <w:u w:val="single"/>
          <w:shd w:val="clear" w:color="auto" w:fill="FFFFFF"/>
        </w:rPr>
        <w:lastRenderedPageBreak/>
        <w:t>administrativa, organizacional e gerenciamento de seus contratos,</w:t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calculados mediante incidência de um percentual sobre o somatório do efetivamente executado pela empresa, a exemplo da remuneração, benefícios mensais e diários, insumos diversos, encargos sociais e trabalhistas, tais como os dispêndios relativos a:</w:t>
      </w:r>
      <w:r w:rsidRPr="00547BB0">
        <w:rPr>
          <w:rFonts w:ascii="Times New Roman" w:hAnsi="Times New Roman" w:cs="Times New Roman"/>
          <w:sz w:val="26"/>
          <w:szCs w:val="26"/>
        </w:rPr>
        <w:br/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a) funcionamento e manutenção da sede, aluguel, água, luz, telefone, Imposto Predial Territorial Urbano (IPTU), dentre outros;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b) pessoal administrativo;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c) material e equipamentos de escritório;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d) preposto; e</w:t>
      </w:r>
      <w:r w:rsidRPr="00547BB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e</w:t>
      </w:r>
      <w:proofErr w:type="spellEnd"/>
      <w:r w:rsidRPr="00547BB0">
        <w:rPr>
          <w:rFonts w:ascii="Times New Roman" w:hAnsi="Times New Roman" w:cs="Times New Roman"/>
          <w:sz w:val="26"/>
          <w:szCs w:val="26"/>
          <w:shd w:val="clear" w:color="auto" w:fill="FFFFFF"/>
        </w:rPr>
        <w:t>) seguros.</w:t>
      </w:r>
    </w:p>
    <w:p w14:paraId="7BAB94D8" w14:textId="77777777" w:rsidR="008A5EFD" w:rsidRDefault="008A5EFD" w:rsidP="008A5EFD">
      <w:pPr>
        <w:pStyle w:val="SemEspaamento"/>
        <w:spacing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7C454B"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>XI - LUCRO: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  <w:u w:val="single"/>
          <w:shd w:val="clear" w:color="auto" w:fill="FFFFFF"/>
        </w:rPr>
        <w:t>ganho decorrente da exploração da atividade econômica,</w:t>
      </w:r>
      <w:r w:rsidRPr="007C454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calculado mediante incidência percentual sobre o efetivamente executado pela empresa, a exemplo da remuneração, benefícios mensais e diários, encargos sociais e trabalhistas, insumos diversos e custos indiretos.</w:t>
      </w:r>
    </w:p>
    <w:p w14:paraId="007A2C1E" w14:textId="77777777" w:rsidR="008A5EFD" w:rsidRDefault="008A5EFD" w:rsidP="008A5EFD">
      <w:pPr>
        <w:pStyle w:val="SemEspaamento"/>
        <w:spacing w:line="276" w:lineRule="auto"/>
        <w:ind w:firstLine="851"/>
        <w:rPr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</w:pPr>
    </w:p>
    <w:p w14:paraId="69FB21EF" w14:textId="77777777" w:rsidR="008A5EFD" w:rsidRDefault="008A5EFD" w:rsidP="008A5EFD">
      <w:pPr>
        <w:pStyle w:val="SemEspaamento"/>
        <w:spacing w:line="276" w:lineRule="auto"/>
        <w:ind w:firstLine="851"/>
        <w:jc w:val="both"/>
        <w:rPr>
          <w:rStyle w:val="uv3um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pt-BR"/>
        </w:rPr>
        <w:t>Desconsiderar a parcela da empresa quando da elaboração do preços estimado, é desrespeitoso e ilegal, não reflete a realidade de mercado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. </w:t>
      </w:r>
      <w:r w:rsidRPr="007B69E5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 parcela do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custo e</w:t>
      </w:r>
      <w:r w:rsidRPr="007B69E5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lucro na licitação é o valor que a empresa determina para aumentar seus </w:t>
      </w:r>
      <w:r w:rsidRPr="007B69E5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shd w:val="clear" w:color="auto" w:fill="FFFFFF"/>
        </w:rPr>
        <w:t>lucros e é uma parte essencial da sua estratégia de formação de preços, que busca o lucro e a competitividade na licitação pública</w:t>
      </w:r>
      <w:r w:rsidRPr="007B69E5">
        <w:rPr>
          <w:rFonts w:ascii="Times New Roman" w:hAnsi="Times New Roman" w:cs="Times New Roman"/>
          <w:color w:val="000000" w:themeColor="text1"/>
          <w:sz w:val="26"/>
          <w:szCs w:val="26"/>
          <w:u w:val="single"/>
          <w:shd w:val="clear" w:color="auto" w:fill="FFFFFF"/>
        </w:rPr>
        <w:t>.</w:t>
      </w:r>
      <w:r w:rsidRPr="007B69E5">
        <w:rPr>
          <w:rStyle w:val="uv3um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 </w:t>
      </w:r>
    </w:p>
    <w:p w14:paraId="6251C004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i/>
          <w:color w:val="000000"/>
          <w:kern w:val="0"/>
          <w:sz w:val="26"/>
          <w:szCs w:val="26"/>
        </w:rPr>
      </w:pPr>
      <w:r>
        <w:rPr>
          <w:rStyle w:val="uv3um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Além de não prevê essas rubricas na planilha de custo e formação de preços, esta administração pública impossibilitou de as licitante preverem esse percentual conforme a sua realidade, visto que foi determinado que </w:t>
      </w:r>
      <w:r w:rsidRPr="007B69E5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pt-BR"/>
        </w:rPr>
        <w:t>o</w:t>
      </w:r>
      <w:r w:rsidRPr="007B69E5">
        <w:rPr>
          <w:rFonts w:ascii="Times New Roman" w:hAnsi="Times New Roman" w:cs="Times New Roman"/>
          <w:b/>
          <w:bCs/>
          <w:i/>
          <w:color w:val="000000"/>
          <w:kern w:val="0"/>
          <w:sz w:val="26"/>
          <w:szCs w:val="26"/>
        </w:rPr>
        <w:t>s preços propostos não poderão ser superiores aos valores estabelecidos no Termo de Referência – Anexo I deste Edital, sob pena de desclassificação;</w:t>
      </w:r>
    </w:p>
    <w:p w14:paraId="754037DC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14:paraId="3BABEE08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7.2 PIS E COFINS DE LUCRO PRESUMIDO NA PLANILHA REFERENCIAL</w:t>
      </w:r>
    </w:p>
    <w:p w14:paraId="4DD76D2A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A Planilha de Custos e Formação de Preços referencial, além de ter custo e lucro zerado, como dito acima, ainda inseriu percentual de Pis e </w:t>
      </w:r>
      <w:proofErr w:type="spellStart"/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Cofins</w:t>
      </w:r>
      <w:proofErr w:type="spellEnd"/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 de lucro presumido, que são respectivamente 0,65% e 3,0%. </w:t>
      </w:r>
    </w:p>
    <w:p w14:paraId="5C83D04E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Ao estimar o valor referencial da licitação com base na tributação de lucro presumido, as empresa que são tributadas pelo Lucro Real foram prejudicadas, visto que a alíquota de imposto pago são respectivamente 1,65% e 7,60%, superiores às orçadas, o que faz com que seu preços fique acima do estimado, e consequentemente, fora da licitação.</w:t>
      </w:r>
    </w:p>
    <w:p w14:paraId="47DB1754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lastRenderedPageBreak/>
        <w:t xml:space="preserve">Além de ter zerado os percentuais de custo e lucro, ainda orçou em suas planilhas estimativas, tributos inferiores aos pagos pelas empresas de Lucro Real, ferindo o princípio da isonomia entre as empresas e, afrontando a ampla concorrência na licitação. </w:t>
      </w:r>
    </w:p>
    <w:p w14:paraId="3B1AC6EF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</w:p>
    <w:p w14:paraId="0D4E9B5D" w14:textId="77777777" w:rsidR="008A5EFD" w:rsidRPr="00FD4633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 w:rsidRPr="00FD4633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7.3 DA OMISSÃO A QUANTIDADE DE MATERIAIS E EQUIPAMENTOS</w:t>
      </w:r>
    </w:p>
    <w:p w14:paraId="1BAAFEC7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 w:rsidRPr="00657C8B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Trata-se de licitação para serviços de limpeza com fornecimento de materiais e equipamentos, conforme consta no item 16 do Termo de Referência</w:t>
      </w: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:</w:t>
      </w:r>
    </w:p>
    <w:p w14:paraId="09FCD06B" w14:textId="77777777" w:rsidR="008A5EFD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 </w:t>
      </w:r>
      <w:r w:rsidRPr="00657C8B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“</w:t>
      </w:r>
      <w:r w:rsidRPr="00657C8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Deverá ser atribuída à CONTRATADA </w:t>
      </w:r>
      <w:r w:rsidRPr="00657C8B">
        <w:rPr>
          <w:rFonts w:ascii="Times New Roman" w:hAnsi="Times New Roman" w:cs="Times New Roman"/>
          <w:b/>
          <w:color w:val="000000"/>
          <w:kern w:val="0"/>
          <w:sz w:val="26"/>
          <w:szCs w:val="26"/>
        </w:rPr>
        <w:t>a responsabilidade integral pelo fornecimento, manutenção e reposição de todos os materiais de limpeza,</w:t>
      </w:r>
      <w:r w:rsidRPr="00657C8B">
        <w:rPr>
          <w:rFonts w:ascii="Times New Roman" w:hAnsi="Times New Roman" w:cs="Times New Roman"/>
          <w:color w:val="000000"/>
          <w:kern w:val="0"/>
          <w:sz w:val="26"/>
          <w:szCs w:val="26"/>
        </w:rPr>
        <w:t xml:space="preserve"> conservação e higiene necessários à adequada prestação dos serviços, conforme a planilha de materiais descrita neste termo de referência.”</w:t>
      </w:r>
    </w:p>
    <w:p w14:paraId="42D44E38" w14:textId="77777777" w:rsidR="008A5EFD" w:rsidRPr="009C5682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bCs/>
          <w:color w:val="000000"/>
          <w:kern w:val="0"/>
          <w:sz w:val="14"/>
          <w:szCs w:val="26"/>
        </w:rPr>
      </w:pPr>
    </w:p>
    <w:p w14:paraId="65C9A0C5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Quando da análise do edital, foi constatado que na relação de materiais e equipamentos, não possui a quantidade a ser solicitada mensalmente. Vale ressaltar que na composição do preço da proposta é fundamental a inclusão dos valores de materiais e equipamentos, e que a ausência dessas informações prejudica a seleção da proposta mais vantajosa e fere a isonomia entre as participantes, tendo em vista, que atualmente o serviços vem sendo prestado por uma empresa, e que esta detém toda informação, e consequentemente se beneficiará.</w:t>
      </w:r>
    </w:p>
    <w:p w14:paraId="03298B06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6"/>
          <w:szCs w:val="26"/>
          <w:u w:val="single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Entendimentos do TCU e orientações demonstram que </w:t>
      </w:r>
      <w:r w:rsidRPr="009C0D1F">
        <w:rPr>
          <w:rFonts w:ascii="Times New Roman" w:hAnsi="Times New Roman" w:cs="Times New Roman"/>
          <w:color w:val="000000" w:themeColor="text1"/>
          <w:sz w:val="26"/>
          <w:szCs w:val="26"/>
          <w:u w:val="single"/>
          <w:shd w:val="clear" w:color="auto" w:fill="FFFFFF"/>
        </w:rPr>
        <w:t>A estimativa das quantidades é elemento obrigatório do ETP e, juntamente com a estimativa de preços, forma a versão inicial do orçamento estimado, o qual tem o propósito de avaliar a viabilidade econômica da futura contratação.</w:t>
      </w:r>
    </w:p>
    <w:p w14:paraId="6BC71668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Conforme dispõe a </w:t>
      </w:r>
      <w:r w:rsidRPr="009C0D1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Lei 14.133/2021, art. 18, § 1º, inciso IV e § 2º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:</w:t>
      </w:r>
    </w:p>
    <w:p w14:paraId="4FB37A96" w14:textId="77777777" w:rsidR="008A5EFD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9C0D1F"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 xml:space="preserve">Deve ser apresentada a </w:t>
      </w:r>
      <w:r w:rsidRPr="009C0D1F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shd w:val="clear" w:color="auto" w:fill="FFFFFF"/>
        </w:rPr>
        <w:t>relação entre a demanda prevista e os quantitativos a serem contratados</w:t>
      </w:r>
      <w:r w:rsidRPr="009C0D1F"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 xml:space="preserve">, </w:t>
      </w:r>
      <w:r w:rsidRPr="009C0D1F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shd w:val="clear" w:color="auto" w:fill="FFFFFF"/>
        </w:rPr>
        <w:t>com as respectivas memórias de cálculo</w:t>
      </w:r>
      <w:r w:rsidRPr="009C0D1F"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>, nos autos do processo de contratação, acompanhadas dos documentos que lhes dão suporte</w:t>
      </w:r>
      <w:r w:rsidRPr="009C0D1F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</w:p>
    <w:p w14:paraId="33729F24" w14:textId="77777777" w:rsidR="008A5EFD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4F4FE8F7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Ainda sobre o tema, dispõe a </w:t>
      </w:r>
      <w:r w:rsidRPr="009C0D1F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Lei 14.133/2021, art. 24; e IN – Seges/ME 65/2021, art. 10</w:t>
      </w:r>
      <w:r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:</w:t>
      </w:r>
    </w:p>
    <w:p w14:paraId="47A9311C" w14:textId="77777777" w:rsidR="008A5EFD" w:rsidRDefault="008A5EFD" w:rsidP="008A5EFD">
      <w:pPr>
        <w:autoSpaceDE w:val="0"/>
        <w:autoSpaceDN w:val="0"/>
        <w:adjustRightInd w:val="0"/>
        <w:spacing w:after="0" w:line="276" w:lineRule="auto"/>
        <w:ind w:left="2268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>O</w:t>
      </w:r>
      <w:r w:rsidRPr="009C0D1F"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9C0D1F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shd w:val="clear" w:color="auto" w:fill="FFFFFF"/>
        </w:rPr>
        <w:t>detalhamento dos quantitativos deverá ser divulgado</w:t>
      </w:r>
      <w:r w:rsidRPr="009C0D1F">
        <w:rPr>
          <w:rFonts w:ascii="Times New Roman" w:hAnsi="Times New Roman" w:cs="Times New Roman"/>
          <w:i/>
          <w:color w:val="000000" w:themeColor="text1"/>
          <w:sz w:val="26"/>
          <w:szCs w:val="26"/>
          <w:shd w:val="clear" w:color="auto" w:fill="FFFFFF"/>
        </w:rPr>
        <w:t xml:space="preserve"> ainda que o orçamento estimado tenha caráter sigiloso.</w:t>
      </w:r>
    </w:p>
    <w:p w14:paraId="40CDCFCC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 w:rsidRPr="009C0D1F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lastRenderedPageBreak/>
        <w:t>Diante disso, percebe-se que a divulgação das quantidades dos materiais e equipamentos previstos na licitação, possu</w:t>
      </w: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em</w:t>
      </w:r>
      <w:r w:rsidRPr="009C0D1F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 previsão legal e, que a omissão dessas informações contrariam o </w:t>
      </w: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que está </w:t>
      </w:r>
      <w:r w:rsidRPr="009C0D1F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dis</w:t>
      </w: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posto na lei.</w:t>
      </w:r>
    </w:p>
    <w:p w14:paraId="32A989AB" w14:textId="77777777" w:rsidR="008A5EFD" w:rsidRPr="009C5682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6"/>
          <w:szCs w:val="26"/>
        </w:rPr>
      </w:pPr>
      <w:r w:rsidRPr="009C5682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Ao</w:t>
      </w:r>
      <w:r w:rsidRPr="009C5682">
        <w:rPr>
          <w:rFonts w:ascii="Times New Roman" w:hAnsi="Times New Roman" w:cs="Times New Roman"/>
          <w:color w:val="000000" w:themeColor="text1"/>
          <w:spacing w:val="2"/>
          <w:sz w:val="26"/>
          <w:szCs w:val="26"/>
          <w:shd w:val="clear" w:color="auto" w:fill="FFFFFF"/>
        </w:rPr>
        <w:t xml:space="preserve"> fornecer a lista detalhada dos materiais e suas quantidades, </w:t>
      </w:r>
      <w:r w:rsidRPr="009C5682">
        <w:rPr>
          <w:rFonts w:ascii="Times New Roman" w:hAnsi="Times New Roman" w:cs="Times New Roman"/>
          <w:b/>
          <w:color w:val="000000" w:themeColor="text1"/>
          <w:spacing w:val="2"/>
          <w:sz w:val="26"/>
          <w:szCs w:val="26"/>
          <w:shd w:val="clear" w:color="auto" w:fill="FFFFFF"/>
        </w:rPr>
        <w:t>o órgão garante que todos os potenciais fornecedores tenham a mesma informação, promovendo a concorrência justa e a transparência.</w:t>
      </w:r>
      <w:r w:rsidRPr="009C5682">
        <w:rPr>
          <w:rStyle w:val="uv3um"/>
          <w:rFonts w:ascii="Times New Roman" w:hAnsi="Times New Roman" w:cs="Times New Roman"/>
          <w:b/>
          <w:color w:val="000000" w:themeColor="text1"/>
          <w:spacing w:val="2"/>
          <w:sz w:val="26"/>
          <w:szCs w:val="26"/>
          <w:shd w:val="clear" w:color="auto" w:fill="FFFFFF"/>
        </w:rPr>
        <w:t> </w:t>
      </w:r>
    </w:p>
    <w:p w14:paraId="2D1346AE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 xml:space="preserve">Portanto, diante do exposto acima, acerca das Planilhas de Custos e Formação de Preços Referencial, IMPUGNA-SE o edital e seus anexos, para que sejam apresentada as relações de materiais e equipamentos com suas quantidades, para que sejam ofertadas propostas de preços com maior precisão, garantindo que a licitação ocorra dentro da legalidade e transparência. </w:t>
      </w:r>
    </w:p>
    <w:p w14:paraId="578B47B8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</w:p>
    <w:p w14:paraId="154B34C3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  <w:r w:rsidRPr="00276179"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DOS PEDIDOS</w:t>
      </w:r>
    </w:p>
    <w:p w14:paraId="0133EB4B" w14:textId="77777777" w:rsidR="008A5EFD" w:rsidRPr="007D5EA9" w:rsidRDefault="008A5EFD" w:rsidP="008A5EFD">
      <w:pPr>
        <w:pStyle w:val="PargrafodaLista"/>
        <w:spacing w:line="360" w:lineRule="auto"/>
        <w:ind w:left="0" w:firstLine="851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D5EA9">
        <w:rPr>
          <w:rFonts w:ascii="Times New Roman" w:hAnsi="Times New Roman" w:cs="Times New Roman"/>
          <w:color w:val="000000"/>
          <w:sz w:val="24"/>
          <w:szCs w:val="24"/>
        </w:rPr>
        <w:t>Ante o exposto, é a presente para requerer a retificação do edital e seus anexos com base nos pontos expostos, inclusive com o reflexo n</w:t>
      </w: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7D5EA9">
        <w:rPr>
          <w:rFonts w:ascii="Times New Roman" w:hAnsi="Times New Roman" w:cs="Times New Roman"/>
          <w:color w:val="000000"/>
          <w:sz w:val="24"/>
          <w:szCs w:val="24"/>
        </w:rPr>
        <w:t xml:space="preserve"> valor estimado da licitação</w:t>
      </w:r>
      <w:r>
        <w:rPr>
          <w:rFonts w:ascii="Times New Roman" w:hAnsi="Times New Roman" w:cs="Times New Roman"/>
          <w:color w:val="000000"/>
          <w:sz w:val="24"/>
          <w:szCs w:val="24"/>
        </w:rPr>
        <w:t>, bem como,</w:t>
      </w:r>
      <w:r w:rsidRPr="007D5EA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5EA9">
        <w:rPr>
          <w:rFonts w:ascii="Times New Roman" w:hAnsi="Times New Roman" w:cs="Times New Roman"/>
          <w:color w:val="000000"/>
          <w:sz w:val="24"/>
          <w:szCs w:val="24"/>
          <w:u w:val="single"/>
        </w:rPr>
        <w:t>requer adequações ao edital, revisando os itens equivocados indicados nesta petição, para que o referido certame obedeça os princípios que norteiam as contratações públicas e à lei.</w:t>
      </w:r>
    </w:p>
    <w:p w14:paraId="3FD6568A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14:paraId="1CC2D21D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14:paraId="790369A4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14:paraId="12F8A0E2" w14:textId="77777777" w:rsidR="008A5EFD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</w:pPr>
    </w:p>
    <w:p w14:paraId="6740AB95" w14:textId="77777777" w:rsidR="008A5EFD" w:rsidRPr="009668E4" w:rsidRDefault="008A5EFD" w:rsidP="008A5EF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 w:rsidRPr="009668E4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Nestes termos,</w:t>
      </w:r>
    </w:p>
    <w:p w14:paraId="370356C9" w14:textId="77777777" w:rsidR="008A5EFD" w:rsidRPr="009668E4" w:rsidRDefault="008A5EFD" w:rsidP="008A5EF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  <w:r w:rsidRPr="009668E4"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  <w:t>Pede deferimento</w:t>
      </w:r>
    </w:p>
    <w:p w14:paraId="162526D4" w14:textId="77777777" w:rsidR="008A5EFD" w:rsidRPr="0094312E" w:rsidRDefault="008A5EFD" w:rsidP="008A5EFD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kern w:val="0"/>
          <w:sz w:val="26"/>
          <w:szCs w:val="26"/>
        </w:rPr>
      </w:pPr>
    </w:p>
    <w:p w14:paraId="2A4F4345" w14:textId="77777777" w:rsidR="008A5EFD" w:rsidRPr="002D49F7" w:rsidRDefault="008A5EFD" w:rsidP="008A5EFD">
      <w:pPr>
        <w:jc w:val="center"/>
        <w:rPr>
          <w:rFonts w:ascii="Times New Roman" w:hAnsi="Times New Roman" w:cs="Times New Roman"/>
          <w:sz w:val="24"/>
          <w:szCs w:val="24"/>
        </w:rPr>
      </w:pPr>
      <w:r w:rsidRPr="002D49F7">
        <w:rPr>
          <w:rFonts w:ascii="Times New Roman" w:hAnsi="Times New Roman" w:cs="Times New Roman"/>
          <w:sz w:val="24"/>
          <w:szCs w:val="24"/>
        </w:rPr>
        <w:t xml:space="preserve">Teresina, PI 29 de </w:t>
      </w:r>
      <w:r>
        <w:rPr>
          <w:rFonts w:ascii="Times New Roman" w:hAnsi="Times New Roman" w:cs="Times New Roman"/>
          <w:sz w:val="24"/>
          <w:szCs w:val="24"/>
        </w:rPr>
        <w:t>agosto</w:t>
      </w:r>
      <w:r w:rsidRPr="002D49F7">
        <w:rPr>
          <w:rFonts w:ascii="Times New Roman" w:hAnsi="Times New Roman" w:cs="Times New Roman"/>
          <w:sz w:val="24"/>
          <w:szCs w:val="24"/>
        </w:rPr>
        <w:t xml:space="preserve"> de 2025.</w:t>
      </w:r>
    </w:p>
    <w:p w14:paraId="3DD48702" w14:textId="1B0C73A3" w:rsidR="008A5EFD" w:rsidRPr="002D49F7" w:rsidRDefault="008A5EFD" w:rsidP="008A5EFD">
      <w:pPr>
        <w:rPr>
          <w:rFonts w:ascii="Times New Roman" w:hAnsi="Times New Roman" w:cs="Times New Roman"/>
          <w:sz w:val="24"/>
          <w:szCs w:val="24"/>
        </w:rPr>
      </w:pPr>
    </w:p>
    <w:p w14:paraId="1D4C2282" w14:textId="77777777" w:rsidR="008A5EFD" w:rsidRPr="002D49F7" w:rsidRDefault="008A5EFD" w:rsidP="008A5EFD">
      <w:pPr>
        <w:rPr>
          <w:rFonts w:ascii="Times New Roman" w:hAnsi="Times New Roman" w:cs="Times New Roman"/>
          <w:sz w:val="24"/>
          <w:szCs w:val="24"/>
        </w:rPr>
      </w:pPr>
    </w:p>
    <w:p w14:paraId="0CD49358" w14:textId="77777777" w:rsidR="008A5EFD" w:rsidRPr="002D49F7" w:rsidRDefault="008A5EFD" w:rsidP="008A5EFD">
      <w:pPr>
        <w:rPr>
          <w:rFonts w:ascii="Times New Roman" w:hAnsi="Times New Roman" w:cs="Times New Roman"/>
          <w:sz w:val="24"/>
          <w:szCs w:val="24"/>
        </w:rPr>
      </w:pPr>
    </w:p>
    <w:p w14:paraId="522560B3" w14:textId="77777777" w:rsidR="008A5EFD" w:rsidRPr="002D49F7" w:rsidRDefault="008A5EFD" w:rsidP="008A5EFD">
      <w:pPr>
        <w:rPr>
          <w:rFonts w:ascii="Times New Roman" w:hAnsi="Times New Roman" w:cs="Times New Roman"/>
          <w:sz w:val="24"/>
          <w:szCs w:val="24"/>
        </w:rPr>
      </w:pPr>
    </w:p>
    <w:p w14:paraId="7EFB82AC" w14:textId="77777777" w:rsidR="008A5EFD" w:rsidRPr="002D49F7" w:rsidRDefault="008A5EFD" w:rsidP="008A5EFD">
      <w:pPr>
        <w:rPr>
          <w:rFonts w:ascii="Times New Roman" w:hAnsi="Times New Roman" w:cs="Times New Roman"/>
          <w:sz w:val="24"/>
          <w:szCs w:val="24"/>
        </w:rPr>
      </w:pPr>
    </w:p>
    <w:p w14:paraId="11D103E9" w14:textId="77777777" w:rsidR="008A5EFD" w:rsidRPr="002D49F7" w:rsidRDefault="008A5EFD" w:rsidP="008A5EF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A5EFD" w:rsidRPr="002D49F7" w:rsidSect="002D49F7">
      <w:pgSz w:w="11906" w:h="16838"/>
      <w:pgMar w:top="1560" w:right="1080" w:bottom="1440" w:left="1080" w:header="708" w:footer="6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B2F3E" w14:textId="77777777" w:rsidR="008A5EFD" w:rsidRDefault="008A5EFD" w:rsidP="008A5EFD">
      <w:pPr>
        <w:spacing w:after="0" w:line="240" w:lineRule="auto"/>
      </w:pPr>
      <w:r>
        <w:separator/>
      </w:r>
    </w:p>
  </w:endnote>
  <w:endnote w:type="continuationSeparator" w:id="0">
    <w:p w14:paraId="0985F34B" w14:textId="77777777" w:rsidR="008A5EFD" w:rsidRDefault="008A5EFD" w:rsidP="008A5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3E5E4" w14:textId="77777777" w:rsidR="008A5EFD" w:rsidRDefault="008A5EFD" w:rsidP="008A5EFD">
      <w:pPr>
        <w:spacing w:after="0" w:line="240" w:lineRule="auto"/>
      </w:pPr>
      <w:r>
        <w:separator/>
      </w:r>
    </w:p>
  </w:footnote>
  <w:footnote w:type="continuationSeparator" w:id="0">
    <w:p w14:paraId="35FAA644" w14:textId="77777777" w:rsidR="008A5EFD" w:rsidRDefault="008A5EFD" w:rsidP="008A5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EFD"/>
    <w:rsid w:val="005519BE"/>
    <w:rsid w:val="005A747D"/>
    <w:rsid w:val="008A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EB1C6"/>
  <w15:chartTrackingRefBased/>
  <w15:docId w15:val="{B3A00F58-67DB-43C5-9111-789A2E2E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EFD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5EFD"/>
    <w:rPr>
      <w:kern w:val="2"/>
      <w14:ligatures w14:val="standardContextual"/>
    </w:rPr>
  </w:style>
  <w:style w:type="paragraph" w:styleId="Rodap">
    <w:name w:val="footer"/>
    <w:basedOn w:val="Normal"/>
    <w:link w:val="RodapChar"/>
    <w:uiPriority w:val="99"/>
    <w:unhideWhenUsed/>
    <w:rsid w:val="008A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5EFD"/>
    <w:rPr>
      <w:kern w:val="2"/>
      <w14:ligatures w14:val="standardContextual"/>
    </w:rPr>
  </w:style>
  <w:style w:type="paragraph" w:styleId="SemEspaamento">
    <w:name w:val="No Spacing"/>
    <w:uiPriority w:val="1"/>
    <w:qFormat/>
    <w:rsid w:val="008A5EFD"/>
    <w:pPr>
      <w:spacing w:after="0" w:line="240" w:lineRule="auto"/>
    </w:pPr>
    <w:rPr>
      <w:kern w:val="2"/>
      <w14:ligatures w14:val="standardContextual"/>
    </w:rPr>
  </w:style>
  <w:style w:type="paragraph" w:styleId="PargrafodaLista">
    <w:name w:val="List Paragraph"/>
    <w:basedOn w:val="Normal"/>
    <w:uiPriority w:val="34"/>
    <w:qFormat/>
    <w:rsid w:val="008A5EFD"/>
    <w:pPr>
      <w:ind w:left="720"/>
      <w:contextualSpacing/>
    </w:pPr>
  </w:style>
  <w:style w:type="character" w:customStyle="1" w:styleId="topic-law-referenceitemtexttflqp">
    <w:name w:val="topic-law-reference_itemtext__tflqp"/>
    <w:basedOn w:val="Fontepargpadro"/>
    <w:rsid w:val="008A5EFD"/>
  </w:style>
  <w:style w:type="character" w:styleId="Forte">
    <w:name w:val="Strong"/>
    <w:basedOn w:val="Fontepargpadro"/>
    <w:uiPriority w:val="22"/>
    <w:qFormat/>
    <w:rsid w:val="008A5EFD"/>
    <w:rPr>
      <w:b/>
      <w:bCs/>
    </w:rPr>
  </w:style>
  <w:style w:type="character" w:customStyle="1" w:styleId="uv3um">
    <w:name w:val="uv3um"/>
    <w:basedOn w:val="Fontepargpadro"/>
    <w:rsid w:val="008A5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3495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PC134</dc:creator>
  <cp:keywords/>
  <dc:description/>
  <cp:lastModifiedBy>Servfaz</cp:lastModifiedBy>
  <cp:revision>3</cp:revision>
  <dcterms:created xsi:type="dcterms:W3CDTF">2025-08-29T22:02:00Z</dcterms:created>
  <dcterms:modified xsi:type="dcterms:W3CDTF">2026-09-16T13:06:00Z</dcterms:modified>
</cp:coreProperties>
</file>