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5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7160" cy="784987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8490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\timing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CREATE INDEX v_idx ON t (v);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SELECT count(*) FROM t WHERE v=1;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REINDEX INDEX v_idx;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ab/>
                            </w:r>
                          </w:p>
                          <w:tbl>
                            <w:tblPr>
                              <w:tblW w:w="10216" w:type="dxa"/>
                              <w:jc w:val="left"/>
                              <w:tblInd w:w="55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insideH w:val="single" w:sz="8" w:space="0" w:color="000000"/>
                              </w:tblBorders>
                              <w:tblCellMar>
                                <w:top w:w="55" w:type="dxa"/>
                                <w:left w:w="4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3405"/>
                              <w:gridCol w:w="3405"/>
                              <w:gridCol w:w="3406"/>
                            </w:tblGrid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quantidade de tuplas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tempo gasto para re-criar um índice para o atributo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10.000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2,967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156,934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10.000.000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366,185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left w:w="4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19448,764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7pt;height:618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\timing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CREATE INDEX v_idx ON t (v);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SELECT count(*) FROM t WHERE v=1;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REINDEX INDEX v_idx;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ab/>
                      </w:r>
                    </w:p>
                    <w:tbl>
                      <w:tblPr>
                        <w:tblW w:w="10216" w:type="dxa"/>
                        <w:jc w:val="left"/>
                        <w:tblInd w:w="55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insideH w:val="single" w:sz="8" w:space="0" w:color="000000"/>
                        </w:tblBorders>
                        <w:tblCellMar>
                          <w:top w:w="55" w:type="dxa"/>
                          <w:left w:w="4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3405"/>
                        <w:gridCol w:w="3405"/>
                        <w:gridCol w:w="3406"/>
                      </w:tblGrid>
                      <w:tr>
                        <w:trPr/>
                        <w:tc>
                          <w:tcPr>
                            <w:tcW w:w="34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quantidade de tuplas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tempo gasto para re-criar um índice para o atributo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10.000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2,967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156,934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0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10.000.000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366,185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left w:w="4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19448,764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</TotalTime>
  <Application>LibreOffice/5.1.6.2$Linux_X86_64 LibreOffice_project/10m0$Build-2</Application>
  <Pages>1</Pages>
  <Words>80</Words>
  <Characters>411</Characters>
  <CharactersWithSpaces>474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2017-10-25T23:34:51Z</dcterms:modified>
  <cp:revision>11</cp:revision>
  <dc:subject/>
  <dc:title>DCC/UFAM - Tópicos Especiais em Bancos de Dado - 2005/01</dc:title>
</cp:coreProperties>
</file>