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</w:rPr>
              <w:t>7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7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8430" cy="785114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78505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12 refeita de acordo com o que se pede: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postgres=# SELECT relname, relpages, reltuples FROM pg_class WHERE relname='t';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relname | relpages | reltuples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---------+----------+-----------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  <w:t xml:space="preserve"> t       |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44248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|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1e+07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  <w:t>(1 row)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44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284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páginas com blocos foram criadas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bookmarkStart w:id="0" w:name="__DdeLink__441_143098474"/>
                            <w:bookmarkEnd w:id="0"/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13 refeita de acordo com o que se pede: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attname                | k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n_distinct             | -1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most_common_vals 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most_common_freqs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histogram_bounds       | {182,110551,211880,303876,387320,484897,591927,702629,789915,885853,984262,1080896,1176484,1275515,1368756,1455099,1559080,1667473,1768210,1878795,1978318,2066257,2155661,2258906,2361893,2459810,2575369,2667884,2766953,2866257,2961187,3062700,3173017,3266715,3358478,3456497,3568467,3668514,3758794,3844804,3944929,4040108,4134493,4230934,4328137,4439530,4557691,4662497,4753318,4860526,4967657,5088775,5196992,5302290,5404259,5495202,5594029,5690386,5795225,5894025,5985304,6084598,6174208,6281931,6383357,6470063,6565486,6670944,6784729,6889349,6997241,7100593,7191342,7293890,7392952,7497782,7587366,7682495,7796132,7903325,7992969,8092434,8200228,8291058,8402228,8489977,8589113,8685962,8779371,8877131,8987149,9095152,9194705,9287129,9394033,9492732,9596000,9691983,9788451,9897995,9999996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correlation            | 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elem_count_histogram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attname                | v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n_distinct             | 10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most_common_vals       | {4,6,0,7,9,5,3,1,2,8}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most_common_freqs      | {0.100933,0.100633,0.100467,0.100333,0.100333,0.100233,0.0997,0.0994667,0.0993333,0.0985667}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histogram_bounds 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correlation            | 0.0967634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b w:val="false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2"/>
                                <w:szCs w:val="12"/>
                              </w:rPr>
                              <w:t>elem_count_histogram   |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16"/>
                                <w:szCs w:val="16"/>
                              </w:rPr>
                              <w:t>Tarefa 14 refeita de acordo com o que se pede: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\timing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CREATE INDEX v_idxd ON t (v DESC NULLS FIRST);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b w:val="false"/>
                                <w:b w:val="false"/>
                                <w:bCs w:val="fals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SELECT count(*) FROM t WHERE v=1;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 w:val="false"/>
                                <w:bCs w:val="false"/>
                                <w:color w:val="00000A"/>
                                <w:sz w:val="16"/>
                                <w:szCs w:val="16"/>
                              </w:rPr>
                              <w:t>REINDEX INDEX v_idxd;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tbl>
                            <w:tblPr>
                              <w:tblW w:w="10216" w:type="dxa"/>
                              <w:jc w:val="left"/>
                              <w:tblInd w:w="36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2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3405"/>
                              <w:gridCol w:w="3405"/>
                              <w:gridCol w:w="3406"/>
                            </w:tblGrid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quantidade de tuplas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tempo gasto para re-criar um índice para o atOributo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8,235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168,334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10.000.000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1001,090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19935,746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Obs: dados da tarefa 14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8pt;height:618.1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12 refeita de acordo com o que se pede: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postgres=# SELECT relname, relpages, reltuples FROM pg_class WHERE relname='t';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relname | relpages | reltuples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---------+----------+-----------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  <w:t xml:space="preserve"> t       |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44248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|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1e+07</w:t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  <w:t>(1 row)</w:t>
                      </w:r>
                    </w:p>
                    <w:p>
                      <w:pPr>
                        <w:pStyle w:val="Normal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44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284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páginas com blocos foram criadas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color w:val="00000A"/>
                          <w:sz w:val="16"/>
                          <w:szCs w:val="16"/>
                        </w:rPr>
                      </w:pPr>
                      <w:bookmarkStart w:id="1" w:name="__DdeLink__441_143098474"/>
                      <w:bookmarkEnd w:id="1"/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13 refeita de acordo com o que se pede: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b/>
                          <w:b/>
                          <w:bCs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attname                | k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n_distinct             | -1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most_common_vals 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most_common_freqs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histogram_bounds       | {182,110551,211880,303876,387320,484897,591927,702629,789915,885853,984262,1080896,1176484,1275515,1368756,1455099,1559080,1667473,1768210,1878795,1978318,2066257,2155661,2258906,2361893,2459810,2575369,2667884,2766953,2866257,2961187,3062700,3173017,3266715,3358478,3456497,3568467,3668514,3758794,3844804,3944929,4040108,4134493,4230934,4328137,4439530,4557691,4662497,4753318,4860526,4967657,5088775,5196992,5302290,5404259,5495202,5594029,5690386,5795225,5894025,5985304,6084598,6174208,6281931,6383357,6470063,6565486,6670944,6784729,6889349,6997241,7100593,7191342,7293890,7392952,7497782,7587366,7682495,7796132,7903325,7992969,8092434,8200228,8291058,8402228,8489977,8589113,8685962,8779371,8877131,8987149,9095152,9194705,9287129,9394033,9492732,9596000,9691983,9788451,9897995,9999996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correlation            | 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elem_count_histogram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attname                | v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n_distinct             | 10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most_common_vals       | {4,6,0,7,9,5,3,1,2,8}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most_common_freqs      | {0.100933,0.100633,0.100467,0.100333,0.100333,0.100233,0.0997,0.0994667,0.0993333,0.0985667}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histogram_bounds 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correlation            | 0.0967634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b w:val="false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2"/>
                          <w:szCs w:val="12"/>
                        </w:rPr>
                        <w:t>elem_count_histogram   |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16"/>
                          <w:szCs w:val="16"/>
                        </w:rPr>
                        <w:t>Tarefa 14 refeita de acordo com o que se pede: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\timing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CREATE INDEX v_idxd ON t (v DESC NULLS FIRST);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b w:val="false"/>
                          <w:b w:val="false"/>
                          <w:bCs w:val="false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SELECT count(*) FROM t WHERE v=1;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b w:val="false"/>
                          <w:bCs w:val="false"/>
                          <w:color w:val="00000A"/>
                          <w:sz w:val="16"/>
                          <w:szCs w:val="16"/>
                        </w:rPr>
                        <w:t>REINDEX INDEX v_idxd;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tbl>
                      <w:tblPr>
                        <w:tblW w:w="10216" w:type="dxa"/>
                        <w:jc w:val="left"/>
                        <w:tblInd w:w="36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2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3405"/>
                        <w:gridCol w:w="3405"/>
                        <w:gridCol w:w="3406"/>
                      </w:tblGrid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quantidade de tuplas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tempo gasto para re-criar um índice para o atOributo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8,235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168,334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10.000.000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1001,090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19935,746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>Obs: dados da tarefa 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505</TotalTime>
  <Application>LibreOffice/5.0.3.2$Linux_X86_64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2017-10-27T10:51:37Z</dcterms:modified>
  <cp:revision>15</cp:revision>
  <dc:title>DCC/UFAM - Tópicos Especiais em Bancos de Dado - 2005/01</dc:title>
</cp:coreProperties>
</file>