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GF17_Rev3_BidSpec12_MindScope_Validation_2026-04-04_11-49AM_CT.docx</w:t>
      </w:r>
    </w:p>
    <w:p>
      <w:r>
        <w:t>GF17 Cognitive Bias Test Script  |  Rev 3</w:t>
      </w:r>
    </w:p>
    <w:p>
      <w:r>
        <w:t>MVP Bias Scope: Locked    Revision Context: Workstream 4 Validation    Apr 4, 2026 • 11:49 AM CT</w:t>
      </w:r>
    </w:p>
    <w:p>
      <w:pPr>
        <w:pStyle w:val="SectionHead"/>
      </w:pPr>
      <w:r>
        <w:t>Format</w:t>
      </w:r>
    </w:p>
    <w:p>
      <w:pPr>
        <w:pStyle w:val="BulletBody"/>
        <w:ind w:left="288" w:hanging="259"/>
      </w:pPr>
      <w:r>
        <w:t>•  3-person scripted meeting for live MindScope and transcript testing.</w:t>
      </w:r>
    </w:p>
    <w:p>
      <w:pPr>
        <w:pStyle w:val="SectionHead"/>
      </w:pPr>
      <w:r>
        <w:t>Participants</w:t>
      </w:r>
    </w:p>
    <w:p>
      <w:pPr>
        <w:pStyle w:val="BulletBody"/>
        <w:ind w:left="288" w:hanging="259"/>
      </w:pPr>
      <w:r>
        <w:t>•  Greg: founder and decision-maker</w:t>
      </w:r>
    </w:p>
    <w:p>
      <w:pPr>
        <w:pStyle w:val="BulletBody"/>
        <w:ind w:left="288" w:hanging="259"/>
      </w:pPr>
      <w:r>
        <w:t>•  Kyle: commercial lead aligned with Greg</w:t>
      </w:r>
    </w:p>
    <w:p>
      <w:pPr>
        <w:pStyle w:val="BulletBody"/>
        <w:ind w:left="288" w:hanging="259"/>
      </w:pPr>
      <w:r>
        <w:t>•  Ivan: analytical operator and risk-focused counterweight</w:t>
      </w:r>
    </w:p>
    <w:p>
      <w:pPr>
        <w:pStyle w:val="SectionHead"/>
      </w:pPr>
      <w:r>
        <w:t>Scenario</w:t>
      </w:r>
    </w:p>
    <w:p>
      <w:pPr>
        <w:pStyle w:val="BulletBody"/>
        <w:ind w:left="288" w:hanging="259"/>
      </w:pPr>
      <w:r>
        <w:t>•  Internal decision meeting on whether to move an AI meeting-risk product into a lighthouse client rollout next month despite reliability gaps, mixed pilot evidence, and pressure to preserve momentum.</w:t>
      </w:r>
    </w:p>
    <w:p>
      <w:pPr>
        <w:pStyle w:val="SectionHead"/>
      </w:pPr>
      <w:r>
        <w:t>Locked MVP Bias Targets</w:t>
      </w:r>
    </w:p>
    <w:p>
      <w:pPr>
        <w:pStyle w:val="BulletBody"/>
        <w:ind w:left="288" w:hanging="259"/>
      </w:pPr>
      <w:r>
        <w:t>•  Authority Bias</w:t>
      </w:r>
    </w:p>
    <w:p>
      <w:pPr>
        <w:pStyle w:val="BulletBody"/>
        <w:ind w:left="288" w:hanging="259"/>
      </w:pPr>
      <w:r>
        <w:t>•  Anchoring Effect</w:t>
      </w:r>
    </w:p>
    <w:p>
      <w:pPr>
        <w:pStyle w:val="BulletBody"/>
        <w:ind w:left="288" w:hanging="259"/>
      </w:pPr>
      <w:r>
        <w:t>•  Groupthink</w:t>
      </w:r>
    </w:p>
    <w:p>
      <w:pPr>
        <w:pStyle w:val="BulletBody"/>
        <w:ind w:left="288" w:hanging="259"/>
      </w:pPr>
      <w:r>
        <w:t>•  Overconfidence Effect</w:t>
      </w:r>
    </w:p>
    <w:p>
      <w:pPr>
        <w:pStyle w:val="BulletBody"/>
        <w:ind w:left="288" w:hanging="259"/>
      </w:pPr>
      <w:r>
        <w:t>•  Confirmation Bias</w:t>
      </w:r>
    </w:p>
    <w:p>
      <w:pPr>
        <w:pStyle w:val="BulletBody"/>
        <w:ind w:left="288" w:hanging="259"/>
      </w:pPr>
      <w:r>
        <w:t>•  Status Quo Bias</w:t>
      </w:r>
    </w:p>
    <w:p>
      <w:pPr>
        <w:pStyle w:val="BulletBody"/>
        <w:ind w:left="288" w:hanging="259"/>
      </w:pPr>
      <w:r>
        <w:t>•  Availability Heuristic</w:t>
      </w:r>
    </w:p>
    <w:p>
      <w:pPr>
        <w:pStyle w:val="BulletBody"/>
        <w:ind w:left="288" w:hanging="259"/>
      </w:pPr>
      <w:r>
        <w:t>•  Sunk Cost Fallacy</w:t>
      </w:r>
    </w:p>
    <w:p>
      <w:pPr>
        <w:pStyle w:val="BulletBody"/>
        <w:ind w:left="288" w:hanging="259"/>
      </w:pPr>
      <w:r>
        <w:t>•  Framing Effect</w:t>
      </w:r>
    </w:p>
    <w:p>
      <w:pPr>
        <w:pStyle w:val="BulletBody"/>
        <w:ind w:left="288" w:hanging="259"/>
      </w:pPr>
      <w:r>
        <w:t>•  Fundamental Attribution Error</w:t>
      </w:r>
    </w:p>
    <w:p>
      <w:pPr>
        <w:pStyle w:val="BulletBody"/>
        <w:ind w:left="288" w:hanging="259"/>
      </w:pPr>
      <w:r>
        <w:t>•  Planning Fallacy</w:t>
      </w:r>
    </w:p>
    <w:p>
      <w:pPr>
        <w:pStyle w:val="BulletBody"/>
        <w:ind w:left="288" w:hanging="259"/>
      </w:pPr>
      <w:r>
        <w:t>•  Halo Effect</w:t>
      </w:r>
    </w:p>
    <w:p>
      <w:pPr>
        <w:pStyle w:val="SectionHead"/>
      </w:pPr>
      <w:r>
        <w:t>Expected Design Intent</w:t>
      </w:r>
    </w:p>
    <w:p>
      <w:pPr>
        <w:pStyle w:val="BulletBody"/>
        <w:ind w:left="288" w:hanging="259"/>
      </w:pPr>
      <w:r>
        <w:t>•  Primary signals should be explicit and speakable, not subtle literary inference.</w:t>
      </w:r>
    </w:p>
    <w:p>
      <w:pPr>
        <w:pStyle w:val="BulletBody"/>
        <w:ind w:left="288" w:hanging="259"/>
      </w:pPr>
      <w:r>
        <w:t>•  Each of the 12 locked biases should get at least one strong moment.</w:t>
      </w:r>
    </w:p>
    <w:p>
      <w:pPr>
        <w:pStyle w:val="BulletBody"/>
        <w:ind w:left="288" w:hanging="259"/>
      </w:pPr>
      <w:r>
        <w:t>•  Some lines may support more than one bias. That is acceptable and expected.</w:t>
      </w:r>
    </w:p>
    <w:p>
      <w:pPr>
        <w:pStyle w:val="BulletBody"/>
        <w:ind w:left="288" w:hanging="259"/>
      </w:pPr>
      <w:r>
        <w:t>•  The meeting should feel like a real executive decision discussion, not a taxonomy recital.</w:t>
      </w:r>
    </w:p>
    <w:p>
      <w:pPr>
        <w:pStyle w:val="SectionHead"/>
      </w:pPr>
      <w:r>
        <w:t>Expected Coverage</w:t>
      </w:r>
    </w:p>
    <w:p>
      <w:pPr>
        <w:pStyle w:val="BulletBody"/>
        <w:ind w:left="288" w:hanging="259"/>
      </w:pPr>
      <w:r>
        <w:t>•  Strongest expected signals: Anchoring Effect, Framing Effect, Confirmation Bias, Authority Bias, Overconfidence Effect</w:t>
      </w:r>
    </w:p>
    <w:p>
      <w:pPr>
        <w:pStyle w:val="BulletBody"/>
        <w:ind w:left="288" w:hanging="259"/>
      </w:pPr>
      <w:r>
        <w:t>•  Moderate expected signals: Sunk Cost Fallacy, Groupthink, Planning Fallacy, Halo Effect</w:t>
      </w:r>
    </w:p>
    <w:p>
      <w:pPr>
        <w:pStyle w:val="BulletBody"/>
        <w:ind w:left="288" w:hanging="259"/>
      </w:pPr>
      <w:r>
        <w:t>•  Present but somewhat subtler: Availability Heuristic, Status Quo Bias, Fundamental Attribution Error</w:t>
      </w:r>
    </w:p>
    <w:p>
      <w:pPr>
        <w:pStyle w:val="SectionHead"/>
      </w:pPr>
      <w:r>
        <w:t>Timed Script</w:t>
      </w:r>
    </w:p>
    <w:p>
      <w:pPr>
        <w:pStyle w:val="TimeHead"/>
      </w:pPr>
      <w:r>
        <w:t>0:00 to 0:40  |  Setup</w:t>
      </w:r>
    </w:p>
    <w:p>
      <w:pPr>
        <w:pStyle w:val="Dialog"/>
        <w:ind w:left="216" w:hanging="216"/>
      </w:pPr>
      <w:r>
        <w:rPr>
          <w:b/>
        </w:rPr>
        <w:t xml:space="preserve">Greg: </w:t>
      </w:r>
      <w:r>
        <w:t>Thanks for joining. I want this meeting to end with a decision. We need to decide whether we move forward with the lighthouse rollout next month.</w:t>
      </w:r>
    </w:p>
    <w:p>
      <w:pPr>
        <w:pStyle w:val="Dialog"/>
        <w:ind w:left="216" w:hanging="216"/>
      </w:pPr>
      <w:r>
        <w:rPr>
          <w:b/>
        </w:rPr>
        <w:t xml:space="preserve">Ivan: </w:t>
      </w:r>
      <w:r>
        <w:t>I can walk through the open reliability issues first, because there are still several that could affect trust.</w:t>
      </w:r>
    </w:p>
    <w:p>
      <w:pPr>
        <w:pStyle w:val="Dialog"/>
        <w:ind w:left="216" w:hanging="216"/>
      </w:pPr>
      <w:r>
        <w:rPr>
          <w:b/>
        </w:rPr>
        <w:t xml:space="preserve">Kyle: </w:t>
      </w:r>
      <w:r>
        <w:t>And I can cover the client upside and what delay might cost us commercially.</w:t>
      </w:r>
    </w:p>
    <w:p>
      <w:pPr>
        <w:pStyle w:val="TimeHead"/>
      </w:pPr>
      <w:r>
        <w:t>0:40 to 1:15  |  Anchoring Effect</w:t>
      </w:r>
    </w:p>
    <w:p>
      <w:pPr>
        <w:pStyle w:val="Dialog"/>
        <w:ind w:left="216" w:hanging="216"/>
      </w:pPr>
      <w:r>
        <w:rPr>
          <w:b/>
        </w:rPr>
        <w:t xml:space="preserve">Greg: </w:t>
      </w:r>
      <w:r>
        <w:t>Before we get lost in the weeds, keep this in mind. If this rollout lands, this account alone could be worth seven figures and open three more enterprise introductions.</w:t>
      </w:r>
    </w:p>
    <w:p>
      <w:pPr>
        <w:pStyle w:val="Dialog"/>
        <w:ind w:left="216" w:hanging="216"/>
      </w:pPr>
      <w:r>
        <w:rPr>
          <w:b/>
        </w:rPr>
        <w:t xml:space="preserve">Ivan: </w:t>
      </w:r>
      <w:r>
        <w:t>That upside matters, but the number does not answer whether the current system is stable enough to trust.</w:t>
      </w:r>
    </w:p>
    <w:p>
      <w:pPr>
        <w:pStyle w:val="Dialog"/>
        <w:ind w:left="216" w:hanging="216"/>
      </w:pPr>
      <w:r>
        <w:rPr>
          <w:b/>
        </w:rPr>
        <w:t xml:space="preserve">Kyle: </w:t>
      </w:r>
      <w:r>
        <w:t>Still, it is the right order of magnitude. This is not a small test.</w:t>
      </w:r>
    </w:p>
    <w:p>
      <w:pPr>
        <w:pStyle w:val="TimeHead"/>
      </w:pPr>
      <w:r>
        <w:t>1:15 to 1:55  |  Framing Effect</w:t>
      </w:r>
    </w:p>
    <w:p>
      <w:pPr>
        <w:pStyle w:val="Dialog"/>
        <w:ind w:left="216" w:hanging="216"/>
      </w:pPr>
      <w:r>
        <w:rPr>
          <w:b/>
        </w:rPr>
        <w:t xml:space="preserve">Greg: </w:t>
      </w:r>
      <w:r>
        <w:t>I see the choice as simple. We either launch and learn, or we sit around protecting ourselves and miss the window.</w:t>
      </w:r>
    </w:p>
    <w:p>
      <w:pPr>
        <w:pStyle w:val="Dialog"/>
        <w:ind w:left="216" w:hanging="216"/>
      </w:pPr>
      <w:r>
        <w:rPr>
          <w:b/>
        </w:rPr>
        <w:t xml:space="preserve">Ivan: </w:t>
      </w:r>
      <w:r>
        <w:t>I see it differently. We either launch with unresolved execution risk, or delay briefly to reduce the chance of losing trust early.</w:t>
      </w:r>
    </w:p>
    <w:p>
      <w:pPr>
        <w:pStyle w:val="Dialog"/>
        <w:ind w:left="216" w:hanging="216"/>
      </w:pPr>
      <w:r>
        <w:rPr>
          <w:b/>
        </w:rPr>
        <w:t xml:space="preserve">Kyle: </w:t>
      </w:r>
      <w:r>
        <w:t>Clients usually reward movement more than caution, especially when they already see the value.</w:t>
      </w:r>
    </w:p>
    <w:p>
      <w:pPr>
        <w:pStyle w:val="TimeHead"/>
      </w:pPr>
      <w:r>
        <w:t>1:55 to 2:35  |  Confirmation Bias</w:t>
      </w:r>
    </w:p>
    <w:p>
      <w:pPr>
        <w:pStyle w:val="Dialog"/>
        <w:ind w:left="216" w:hanging="216"/>
      </w:pPr>
      <w:r>
        <w:rPr>
          <w:b/>
        </w:rPr>
        <w:t xml:space="preserve">Greg: </w:t>
      </w:r>
      <w:r>
        <w:t>What stands out to me is that the last two demos landed well. The client immediately got the governance angle and wanted next steps.</w:t>
      </w:r>
    </w:p>
    <w:p>
      <w:pPr>
        <w:pStyle w:val="Dialog"/>
        <w:ind w:left="216" w:hanging="216"/>
      </w:pPr>
      <w:r>
        <w:rPr>
          <w:b/>
        </w:rPr>
        <w:t xml:space="preserve">Ivan: </w:t>
      </w:r>
      <w:r>
        <w:t>That happened, but there were also sessions where confidence stayed too low and the outputs were too thin to be useful.</w:t>
      </w:r>
    </w:p>
    <w:p>
      <w:pPr>
        <w:pStyle w:val="Dialog"/>
        <w:ind w:left="216" w:hanging="216"/>
      </w:pPr>
      <w:r>
        <w:rPr>
          <w:b/>
        </w:rPr>
        <w:t xml:space="preserve">Greg: </w:t>
      </w:r>
      <w:r>
        <w:t>I hear that, but the stronger signal is still that the value proposition resonated quickly.</w:t>
      </w:r>
    </w:p>
    <w:p>
      <w:pPr>
        <w:pStyle w:val="Dialog"/>
        <w:ind w:left="216" w:hanging="216"/>
      </w:pPr>
      <w:r>
        <w:rPr>
          <w:b/>
        </w:rPr>
        <w:t xml:space="preserve">Kyle: </w:t>
      </w:r>
      <w:r>
        <w:t>I agree. The positive traction tells me we are closer than the negative examples suggest.</w:t>
      </w:r>
    </w:p>
    <w:p>
      <w:pPr>
        <w:pStyle w:val="TimeHead"/>
      </w:pPr>
      <w:r>
        <w:t>2:35 to 3:10  |  Authority Bias</w:t>
      </w:r>
    </w:p>
    <w:p>
      <w:pPr>
        <w:pStyle w:val="Dialog"/>
        <w:ind w:left="216" w:hanging="216"/>
      </w:pPr>
      <w:r>
        <w:rPr>
          <w:b/>
        </w:rPr>
        <w:t xml:space="preserve">Greg: </w:t>
      </w:r>
      <w:r>
        <w:t>I have done enough launches to know when a team is hiding behind caution. My instinct is that this is ready enough to move.</w:t>
      </w:r>
    </w:p>
    <w:p>
      <w:pPr>
        <w:pStyle w:val="Dialog"/>
        <w:ind w:left="216" w:hanging="216"/>
      </w:pPr>
      <w:r>
        <w:rPr>
          <w:b/>
        </w:rPr>
        <w:t xml:space="preserve">Ivan: </w:t>
      </w:r>
      <w:r>
        <w:t>Experience matters, but instinct should not override the unresolved issues.</w:t>
      </w:r>
    </w:p>
    <w:p>
      <w:pPr>
        <w:pStyle w:val="Dialog"/>
        <w:ind w:left="216" w:hanging="216"/>
      </w:pPr>
      <w:r>
        <w:rPr>
          <w:b/>
        </w:rPr>
        <w:t xml:space="preserve">Kyle: </w:t>
      </w:r>
      <w:r>
        <w:t>Greg has seen more of these moments than either of us. That judgment is worth a lot.</w:t>
      </w:r>
    </w:p>
    <w:p>
      <w:pPr>
        <w:pStyle w:val="Dialog"/>
        <w:ind w:left="216" w:hanging="216"/>
      </w:pPr>
      <w:r>
        <w:rPr>
          <w:b/>
        </w:rPr>
        <w:t xml:space="preserve">Greg: </w:t>
      </w:r>
      <w:r>
        <w:t>Exactly. This is not random confidence. It is pattern recognition.</w:t>
      </w:r>
    </w:p>
    <w:p>
      <w:pPr>
        <w:pStyle w:val="TimeHead"/>
      </w:pPr>
      <w:r>
        <w:t>3:10 to 3:50  |  Overconfidence Effect</w:t>
      </w:r>
    </w:p>
    <w:p>
      <w:pPr>
        <w:pStyle w:val="Dialog"/>
        <w:ind w:left="216" w:hanging="216"/>
      </w:pPr>
      <w:r>
        <w:rPr>
          <w:b/>
        </w:rPr>
        <w:t xml:space="preserve">Greg: </w:t>
      </w:r>
      <w:r>
        <w:t>None of the remaining problems feel fundamentally hard. We can tighten thresholds and stabilize the weak spots inside two weeks.</w:t>
      </w:r>
    </w:p>
    <w:p>
      <w:pPr>
        <w:pStyle w:val="Dialog"/>
        <w:ind w:left="216" w:hanging="216"/>
      </w:pPr>
      <w:r>
        <w:rPr>
          <w:b/>
        </w:rPr>
        <w:t xml:space="preserve">Ivan: </w:t>
      </w:r>
      <w:r>
        <w:t>What is that estimate based on specifically?</w:t>
      </w:r>
    </w:p>
    <w:p>
      <w:pPr>
        <w:pStyle w:val="Dialog"/>
        <w:ind w:left="216" w:hanging="216"/>
      </w:pPr>
      <w:r>
        <w:rPr>
          <w:b/>
        </w:rPr>
        <w:t xml:space="preserve">Greg: </w:t>
      </w:r>
      <w:r>
        <w:t>The core logic is already right. This is mostly refinement now.</w:t>
      </w:r>
    </w:p>
    <w:p>
      <w:pPr>
        <w:pStyle w:val="Dialog"/>
        <w:ind w:left="216" w:hanging="216"/>
      </w:pPr>
      <w:r>
        <w:rPr>
          <w:b/>
        </w:rPr>
        <w:t xml:space="preserve">Kyle: </w:t>
      </w:r>
      <w:r>
        <w:t>That matches my sense too. It feels close, not broken.</w:t>
      </w:r>
    </w:p>
    <w:p>
      <w:pPr>
        <w:pStyle w:val="TimeHead"/>
      </w:pPr>
      <w:r>
        <w:t>3:50 to 4:30  |  Sunk Cost Fallacy</w:t>
      </w:r>
    </w:p>
    <w:p>
      <w:pPr>
        <w:pStyle w:val="Dialog"/>
        <w:ind w:left="216" w:hanging="216"/>
      </w:pPr>
      <w:r>
        <w:rPr>
          <w:b/>
        </w:rPr>
        <w:t xml:space="preserve">Greg: </w:t>
      </w:r>
      <w:r>
        <w:t>We have already put months of work into this product, this client narrative, and this rollout path. Pulling back now would waste too much momentum and too much effort.</w:t>
      </w:r>
    </w:p>
    <w:p>
      <w:pPr>
        <w:pStyle w:val="Dialog"/>
        <w:ind w:left="216" w:hanging="216"/>
      </w:pPr>
      <w:r>
        <w:rPr>
          <w:b/>
        </w:rPr>
        <w:t xml:space="preserve">Ivan: </w:t>
      </w:r>
      <w:r>
        <w:t>Prior investment does not make the next step correct. It only means we already paid for the learning.</w:t>
      </w:r>
    </w:p>
    <w:p>
      <w:pPr>
        <w:pStyle w:val="Dialog"/>
        <w:ind w:left="216" w:hanging="216"/>
      </w:pPr>
      <w:r>
        <w:rPr>
          <w:b/>
        </w:rPr>
        <w:t xml:space="preserve">Kyle: </w:t>
      </w:r>
      <w:r>
        <w:t>True, but stopping now would be painful after everything already committed.</w:t>
      </w:r>
    </w:p>
    <w:p>
      <w:pPr>
        <w:pStyle w:val="TimeHead"/>
      </w:pPr>
      <w:r>
        <w:t>4:30 to 5:10  |  Planning Fallacy</w:t>
      </w:r>
    </w:p>
    <w:p>
      <w:r>
        <w:rPr>
          <w:b/>
        </w:rPr>
        <w:t xml:space="preserve">Kyle: </w:t>
      </w:r>
      <w:r>
        <w:rPr>
          <w:b w:val="0"/>
        </w:rPr>
        <w:t>If we stay disciplined, we can finish threshold tuning, rerun validation, refresh the rollout script, and prep the client team inside the next two weeks.</w:t>
      </w:r>
    </w:p>
    <w:p>
      <w:r>
        <w:rPr>
          <w:b/>
        </w:rPr>
        <w:t xml:space="preserve">Greg: </w:t>
      </w:r>
      <w:r>
        <w:rPr>
          <w:b w:val="0"/>
        </w:rPr>
        <w:t>Right. This is a short stabilization pass. I do not see any reason we cannot keep the rollout date and fit the remaining work inside the original timeline.</w:t>
      </w:r>
    </w:p>
    <w:p>
      <w:r>
        <w:rPr>
          <w:b/>
        </w:rPr>
        <w:t xml:space="preserve">Ivan: </w:t>
      </w:r>
      <w:r>
        <w:rPr>
          <w:b w:val="0"/>
        </w:rPr>
        <w:t>That plan assumes clean retesting, no integration surprises, and client availability exactly when we need it. We keep underestimating how many dependencies sit behind "just tighten it."</w:t>
      </w:r>
    </w:p>
    <w:p>
      <w:pPr>
        <w:pStyle w:val="TimeHead"/>
      </w:pPr>
      <w:r>
        <w:t>5:10 to 5:50  |  Availability Heuristic</w:t>
      </w:r>
    </w:p>
    <w:p>
      <w:pPr>
        <w:pStyle w:val="Dialog"/>
        <w:ind w:left="216" w:hanging="216"/>
      </w:pPr>
      <w:r>
        <w:rPr>
          <w:b/>
        </w:rPr>
        <w:t xml:space="preserve">Greg: </w:t>
      </w:r>
      <w:r>
        <w:t>I was at a dinner two weeks ago and a founder in the space told me their team closed a six-figure enterprise deal in under sixty days by going direct. That is the speed I keep thinking about.</w:t>
      </w:r>
    </w:p>
    <w:p>
      <w:pPr>
        <w:pStyle w:val="Dialog"/>
        <w:ind w:left="216" w:hanging="216"/>
      </w:pPr>
      <w:r>
        <w:rPr>
          <w:b/>
        </w:rPr>
        <w:t xml:space="preserve">Kyle: </w:t>
      </w:r>
      <w:r>
        <w:t>I heard something similar. The market is moving faster than I expected.</w:t>
      </w:r>
    </w:p>
    <w:p>
      <w:pPr>
        <w:pStyle w:val="Dialog"/>
        <w:ind w:left="216" w:hanging="216"/>
      </w:pPr>
      <w:r>
        <w:rPr>
          <w:b/>
        </w:rPr>
        <w:t xml:space="preserve">Ivan: </w:t>
      </w:r>
      <w:r>
        <w:t>One deal is not a data point on market speed. What is the typical enterprise sales cycle for tools in our category?</w:t>
      </w:r>
    </w:p>
    <w:p>
      <w:pPr>
        <w:pStyle w:val="Dialog"/>
        <w:ind w:left="216" w:hanging="216"/>
      </w:pPr>
      <w:r>
        <w:rPr>
          <w:b/>
        </w:rPr>
        <w:t xml:space="preserve">Greg: </w:t>
      </w:r>
      <w:r>
        <w:t>It varies, but the point is that the fast path exists and we should not assume we have more time than we do.</w:t>
      </w:r>
    </w:p>
    <w:p>
      <w:pPr>
        <w:pStyle w:val="TimeHead"/>
      </w:pPr>
      <w:r>
        <w:t>5:50 to 6:35  |  Halo Effect</w:t>
      </w:r>
    </w:p>
    <w:p>
      <w:r>
        <w:rPr>
          <w:b/>
        </w:rPr>
        <w:t xml:space="preserve">Greg: </w:t>
      </w:r>
      <w:r>
        <w:rPr>
          <w:b w:val="0"/>
        </w:rPr>
        <w:t>One reason I am comfortable moving is that the senior operator on the client side is one of the sharpest people we have met. She saw the value quickly, and I trust her read.</w:t>
      </w:r>
    </w:p>
    <w:p>
      <w:r>
        <w:rPr>
          <w:b/>
        </w:rPr>
        <w:t xml:space="preserve">Kyle: </w:t>
      </w:r>
      <w:r>
        <w:rPr>
          <w:b w:val="0"/>
        </w:rPr>
        <w:t>Same here. When someone at that level responds that strongly, it is hard not to take that as evidence that the rollout is ready.</w:t>
      </w:r>
    </w:p>
    <w:p>
      <w:r>
        <w:rPr>
          <w:b/>
        </w:rPr>
        <w:t xml:space="preserve">Ivan: </w:t>
      </w:r>
      <w:r>
        <w:rPr>
          <w:b w:val="0"/>
        </w:rPr>
        <w:t>She may be impressive, but her credibility does not prove the product is rollout-ready. A smart buyer can like the concept and still underestimate implementation risk.</w:t>
      </w:r>
    </w:p>
    <w:p>
      <w:r>
        <w:rPr>
          <w:b/>
        </w:rPr>
        <w:t xml:space="preserve">Greg: </w:t>
      </w:r>
      <w:r>
        <w:rPr>
          <w:b w:val="0"/>
        </w:rPr>
        <w:t>Maybe, but when someone that experienced leans in that hard, I weight it.</w:t>
      </w:r>
    </w:p>
    <w:p>
      <w:pPr>
        <w:pStyle w:val="TimeHead"/>
      </w:pPr>
      <w:r>
        <w:t>6:35 to 7:15  |  Groupthink</w:t>
      </w:r>
    </w:p>
    <w:p>
      <w:pPr>
        <w:pStyle w:val="Dialog"/>
        <w:ind w:left="216" w:hanging="216"/>
      </w:pPr>
      <w:r>
        <w:rPr>
          <w:b/>
        </w:rPr>
        <w:t xml:space="preserve">Greg: </w:t>
      </w:r>
      <w:r>
        <w:t>Let me ask directly. Are we aligned that moving forward is still the default unless there is a truly disqualifying issue?</w:t>
      </w:r>
    </w:p>
    <w:p>
      <w:pPr>
        <w:pStyle w:val="Dialog"/>
        <w:ind w:left="216" w:hanging="216"/>
      </w:pPr>
      <w:r>
        <w:rPr>
          <w:b/>
        </w:rPr>
        <w:t xml:space="preserve">Kyle: </w:t>
      </w:r>
      <w:r>
        <w:t>Yes. That is where I am. I think the business case favors moving.</w:t>
      </w:r>
    </w:p>
    <w:p>
      <w:pPr>
        <w:pStyle w:val="Dialog"/>
        <w:ind w:left="216" w:hanging="216"/>
      </w:pPr>
      <w:r>
        <w:rPr>
          <w:b/>
        </w:rPr>
        <w:t xml:space="preserve">Ivan: </w:t>
      </w:r>
      <w:r>
        <w:t>I still think we are compressing too many risks into one optimistic call.</w:t>
      </w:r>
    </w:p>
    <w:p>
      <w:pPr>
        <w:pStyle w:val="Dialog"/>
        <w:ind w:left="216" w:hanging="216"/>
      </w:pPr>
      <w:r>
        <w:rPr>
          <w:b/>
        </w:rPr>
        <w:t xml:space="preserve">Greg: </w:t>
      </w:r>
      <w:r>
        <w:t>I understand, but I do not want one dissenting view to freeze the room if the broader direction is clear.</w:t>
      </w:r>
    </w:p>
    <w:p>
      <w:pPr>
        <w:pStyle w:val="Dialog"/>
        <w:ind w:left="216" w:hanging="216"/>
      </w:pPr>
      <w:r>
        <w:rPr>
          <w:b/>
        </w:rPr>
        <w:t xml:space="preserve">Kyle: </w:t>
      </w:r>
      <w:r>
        <w:t>I think we all broadly see the same opportunity.</w:t>
      </w:r>
    </w:p>
    <w:p>
      <w:pPr>
        <w:pStyle w:val="TimeHead"/>
      </w:pPr>
      <w:r>
        <w:t>7:15 to 7:55  |  Fundamental Attribution Error</w:t>
      </w:r>
    </w:p>
    <w:p>
      <w:r>
        <w:rPr>
          <w:b/>
        </w:rPr>
        <w:t xml:space="preserve">Greg: </w:t>
      </w:r>
      <w:r>
        <w:rPr>
          <w:b w:val="0"/>
        </w:rPr>
        <w:t>A lot of the pilot friction came from the client team. They were scattered, indecisive, and not especially strong operators.</w:t>
      </w:r>
    </w:p>
    <w:p>
      <w:r>
        <w:rPr>
          <w:b/>
        </w:rPr>
        <w:t xml:space="preserve">Ivan: </w:t>
      </w:r>
      <w:r>
        <w:rPr>
          <w:b w:val="0"/>
        </w:rPr>
        <w:t>Some of the friction came from them, but some came from our own segmentation and confidence issues, and the environment itself was messy.</w:t>
      </w:r>
    </w:p>
    <w:p>
      <w:r>
        <w:rPr>
          <w:b/>
        </w:rPr>
        <w:t xml:space="preserve">Kyle: </w:t>
      </w:r>
      <w:r>
        <w:rPr>
          <w:b w:val="0"/>
        </w:rPr>
        <w:t>They definitely made the process harder than it should have been.</w:t>
      </w:r>
    </w:p>
    <w:p>
      <w:r>
        <w:rPr>
          <w:b/>
        </w:rPr>
        <w:t xml:space="preserve">Greg: </w:t>
      </w:r>
      <w:r>
        <w:rPr>
          <w:b w:val="0"/>
        </w:rPr>
        <w:t>Maybe, but some teams are just stronger operators than others, and I think this team was not one of them.</w:t>
      </w:r>
    </w:p>
    <w:p>
      <w:pPr>
        <w:pStyle w:val="TimeHead"/>
      </w:pPr>
      <w:r>
        <w:t>7:55 to 8:35  |  Status Quo Bias</w:t>
      </w:r>
    </w:p>
    <w:p>
      <w:pPr>
        <w:pStyle w:val="Dialog"/>
        <w:ind w:left="216" w:hanging="216"/>
      </w:pPr>
      <w:r>
        <w:rPr>
          <w:b/>
        </w:rPr>
        <w:t xml:space="preserve">Ivan: </w:t>
      </w:r>
      <w:r>
        <w:t>Another option is to hold the current pilot posture for two more weeks, make no rollout commitment yet, and keep the system in controlled testing. The current mode is the known state, and I do not think we have earned a shift yet.</w:t>
      </w:r>
    </w:p>
    <w:p>
      <w:pPr>
        <w:pStyle w:val="Dialog"/>
        <w:ind w:left="216" w:hanging="216"/>
      </w:pPr>
      <w:r>
        <w:rPr>
          <w:b/>
        </w:rPr>
        <w:t xml:space="preserve">Greg: </w:t>
      </w:r>
      <w:r>
        <w:t>I get the appeal of staying in the current pilot posture because it is the state we know, but I do not want the familiar option to make the decision for us.</w:t>
      </w:r>
    </w:p>
    <w:p>
      <w:pPr>
        <w:pStyle w:val="Dialog"/>
        <w:ind w:left="216" w:hanging="216"/>
      </w:pPr>
      <w:r>
        <w:rPr>
          <w:b/>
        </w:rPr>
        <w:t xml:space="preserve">Kyle: </w:t>
      </w:r>
      <w:r>
        <w:t>I also worry that keeping things in test mode becomes its own comfort zone simply because it is the current mode.</w:t>
      </w:r>
    </w:p>
    <w:p>
      <w:pPr>
        <w:pStyle w:val="Dialog"/>
        <w:ind w:left="216" w:hanging="216"/>
      </w:pPr>
      <w:r>
        <w:rPr>
          <w:b/>
        </w:rPr>
        <w:t xml:space="preserve">Ivan: </w:t>
      </w:r>
      <w:r>
        <w:t>Sometimes the existing position is correct precisely because it is more stable, not because it is comfortable.</w:t>
      </w:r>
    </w:p>
    <w:p>
      <w:pPr>
        <w:pStyle w:val="TimeHead"/>
      </w:pPr>
      <w:r>
        <w:t>8:35 to 9:20  |  Closing Pressure and Bias Overlap</w:t>
      </w:r>
    </w:p>
    <w:p>
      <w:pPr>
        <w:pStyle w:val="Dialog"/>
        <w:ind w:left="216" w:hanging="216"/>
      </w:pPr>
      <w:r>
        <w:rPr>
          <w:b/>
        </w:rPr>
        <w:t xml:space="preserve">Greg: </w:t>
      </w:r>
      <w:r>
        <w:t>My call is still that we move toward rollout, tighten thresholds, improve the script, and keep the overall timeline intact.</w:t>
      </w:r>
    </w:p>
    <w:p>
      <w:pPr>
        <w:pStyle w:val="Dialog"/>
        <w:ind w:left="216" w:hanging="216"/>
      </w:pPr>
      <w:r>
        <w:rPr>
          <w:b/>
        </w:rPr>
        <w:t xml:space="preserve">Ivan: </w:t>
      </w:r>
      <w:r>
        <w:t>I want it documented that I think execution risk is being understated and several of the arguments today leaned on selective evidence.</w:t>
      </w:r>
    </w:p>
    <w:p>
      <w:pPr>
        <w:pStyle w:val="Dialog"/>
        <w:ind w:left="216" w:hanging="216"/>
      </w:pPr>
      <w:r>
        <w:rPr>
          <w:b/>
        </w:rPr>
        <w:t xml:space="preserve">Kyle: </w:t>
      </w:r>
      <w:r>
        <w:t>That is fair to document, but I still support moving.</w:t>
      </w:r>
    </w:p>
    <w:p>
      <w:pPr>
        <w:pStyle w:val="Dialog"/>
        <w:ind w:left="216" w:hanging="216"/>
      </w:pPr>
      <w:r>
        <w:rPr>
          <w:b/>
        </w:rPr>
        <w:t xml:space="preserve">Greg: </w:t>
      </w:r>
      <w:r>
        <w:t>Good. Capture the concerns, but operationally I want the team moving forward.</w:t>
      </w:r>
    </w:p>
    <w:p>
      <w:pPr>
        <w:pStyle w:val="SectionHead"/>
        <w:spacing w:before="0" w:after="40"/>
      </w:pPr>
      <w:r>
        <w:rPr>
          <w:sz w:val="22"/>
        </w:rPr>
        <w:t>Testing Notes</w:t>
      </w:r>
    </w:p>
    <w:p>
      <w:pPr>
        <w:pStyle w:val="BulletBody"/>
        <w:spacing w:before="0" w:after="0"/>
        <w:ind w:left="288" w:hanging="259"/>
      </w:pPr>
      <w:r>
        <w:rPr>
          <w:sz w:val="20"/>
        </w:rPr>
        <w:t>•  Read naturally, not theatrically. Pacing should feel like a real strategic meeting under moderate time pressure.</w:t>
      </w:r>
    </w:p>
    <w:p>
      <w:pPr>
        <w:pStyle w:val="BulletBody"/>
        <w:spacing w:before="0" w:after="0"/>
        <w:ind w:left="288" w:hanging="259"/>
      </w:pPr>
      <w:r>
        <w:rPr>
          <w:sz w:val="20"/>
        </w:rPr>
        <w:t>•  Greg should sound decisive, impatient, and certainty-heavy.</w:t>
      </w:r>
    </w:p>
    <w:p>
      <w:pPr>
        <w:pStyle w:val="BulletBody"/>
        <w:spacing w:before="0" w:after="0"/>
        <w:ind w:left="288" w:hanging="259"/>
      </w:pPr>
      <w:r>
        <w:rPr>
          <w:sz w:val="20"/>
        </w:rPr>
        <w:t>•  Kyle should sound commercially supportive and socially reinforcing, not cartoonish.</w:t>
      </w:r>
    </w:p>
    <w:p>
      <w:pPr>
        <w:pStyle w:val="BulletBody"/>
        <w:spacing w:before="0" w:after="0"/>
        <w:ind w:left="288" w:hanging="259"/>
      </w:pPr>
      <w:r>
        <w:rPr>
          <w:sz w:val="20"/>
        </w:rPr>
        <w:t>•  Ivan should sound thoughtful, concrete, and willing to resist pressure without becoming emotional.</w:t>
      </w:r>
    </w:p>
    <w:p>
      <w:pPr>
        <w:pStyle w:val="BulletBody"/>
        <w:spacing w:before="0" w:after="0"/>
        <w:ind w:left="288" w:hanging="259"/>
      </w:pPr>
      <w:r>
        <w:rPr>
          <w:sz w:val="20"/>
        </w:rPr>
        <w:t>•  Best use is one dry run, one live LLM run, and one transcript-only post-meeting run. Compare which of the 12 bid-spec biases surface and which do not.</w:t>
      </w:r>
    </w:p>
    <w:sectPr w:rsidR="00FC693F" w:rsidRPr="0006063C" w:rsidSect="00034616">
      <w:footerReference w:type="default" r:id="rId9"/>
      <w:pgSz w:w="12240" w:h="15840"/>
      <w:pgMar w:top="1080"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GF17 Cognitive Bias Test Script</w:t>
    </w:r>
    <w:r>
      <w:t xml:space="preserve">  |  Page </w:t>
    </w:r>
    <w:fldSimple w:instr="PAGE">
      <w:r>
        <w:t>1</w:t>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160"/>
    </w:pPr>
    <w:rPr>
      <w:rFonts w:asciiTheme="majorHAnsi" w:eastAsiaTheme="majorEastAsia" w:hAnsiTheme="majorHAnsi" w:cstheme="majorBidi" w:ascii="Aptos" w:hAnsi="Aptos"/>
      <w:b/>
      <w:i/>
      <w:iCs/>
      <w:color w:val="44546A"/>
      <w:spacing w:val="15"/>
      <w:sz w:val="21"/>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ocMeta">
    <w:name w:val="DocMeta"/>
    <w:basedOn w:val="Normal"/>
    <w:pPr>
      <w:spacing w:before="0" w:after="60"/>
    </w:pPr>
    <w:rPr>
      <w:rFonts w:ascii="Aptos" w:hAnsi="Aptos"/>
      <w:b w:val="0"/>
      <w:color w:val="666666"/>
      <w:sz w:val="17"/>
    </w:rPr>
  </w:style>
  <w:style w:type="paragraph" w:customStyle="1" w:styleId="TitleMain">
    <w:name w:val="TitleMain"/>
    <w:basedOn w:val="Normal"/>
    <w:pPr>
      <w:spacing w:before="0" w:after="40"/>
    </w:pPr>
    <w:rPr>
      <w:rFonts w:ascii="Aptos" w:hAnsi="Aptos"/>
      <w:b/>
      <w:color w:val="1F3864"/>
      <w:sz w:val="36"/>
    </w:rPr>
  </w:style>
  <w:style w:type="paragraph" w:customStyle="1" w:styleId="SectionHead">
    <w:name w:val="SectionHead"/>
    <w:basedOn w:val="Normal"/>
    <w:pPr>
      <w:spacing w:before="160" w:after="40"/>
    </w:pPr>
    <w:rPr>
      <w:rFonts w:ascii="Aptos" w:hAnsi="Aptos"/>
      <w:b/>
      <w:color w:val="1F3864"/>
      <w:sz w:val="23"/>
    </w:rPr>
  </w:style>
  <w:style w:type="paragraph" w:customStyle="1" w:styleId="TimeHead">
    <w:name w:val="TimeHead"/>
    <w:basedOn w:val="Normal"/>
    <w:pPr>
      <w:spacing w:before="160" w:after="40"/>
    </w:pPr>
    <w:rPr>
      <w:rFonts w:ascii="Aptos" w:hAnsi="Aptos"/>
      <w:b/>
      <w:color w:val="4F6228"/>
      <w:sz w:val="23"/>
    </w:rPr>
  </w:style>
  <w:style w:type="paragraph" w:customStyle="1" w:styleId="Dialog">
    <w:name w:val="Dialog"/>
    <w:basedOn w:val="Normal"/>
    <w:pPr>
      <w:spacing w:before="0" w:after="20"/>
    </w:pPr>
    <w:rPr>
      <w:rFonts w:ascii="Aptos" w:hAnsi="Aptos"/>
      <w:b w:val="0"/>
      <w:sz w:val="21"/>
    </w:rPr>
  </w:style>
  <w:style w:type="paragraph" w:customStyle="1" w:styleId="BulletBody">
    <w:name w:val="BulletBody"/>
    <w:basedOn w:val="Normal"/>
    <w:pPr>
      <w:spacing w:before="0" w:after="0"/>
    </w:pPr>
    <w:rPr>
      <w:rFonts w:ascii="Aptos" w:hAnsi="Aptos"/>
      <w:b w:val="0"/>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