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left"/>
      </w:pPr>
      <w:r>
        <w:rPr>
          <w:b/>
          <w:bCs/>
          <w:color w:val="F0AB00"/>
          <w:sz w:val="56"/>
          <w:szCs w:val="56"/>
        </w:rPr>
        <w:t xml:space="preserve">C_TS4FI – Praktische Prüfung</w:t>
      </w:r>
    </w:p>
    <w:p>
      <w:pPr>
        <w:spacing w:before="200"/>
      </w:pPr>
      <w:r>
        <w:rPr>
          <w:sz w:val="32"/>
          <w:szCs w:val="32"/>
        </w:rPr>
        <w:t xml:space="preserve">Klick-Lösung auf Basis der Schulungsunterlagen S4F10, S4F12, S4F13, S4F15, S4F17 – Task Instructions Kursversion 2601</w:t>
      </w:r>
    </w:p>
    <w:p>
      <w:pPr>
        <w:spacing w:before="200"/>
      </w:pPr>
      <w:r>
        <w:rPr>
          <w:color w:val="595959"/>
          <w:sz w:val="26"/>
          <w:szCs w:val="26"/>
        </w:rPr>
        <w:t xml:space="preserve">SAP S/4HANA Cloud Private Edition – Financial Accounting</w:t>
      </w:r>
    </w:p>
    <w:p>
      <w:pPr>
        <w:spacing w:before="1200"/>
      </w:pPr>
      <w:r>
        <w:rPr>
          <w:b/>
          <w:bCs/>
        </w:rPr>
        <w:t xml:space="preserve">Platzhalter:</w:t>
      </w:r>
      <w:r>
        <w:t xml:space="preserve"> </w:t>
      </w:r>
      <w:r>
        <w:rPr>
          <w:rFonts w:ascii="Consolas" w:cs="Consolas" w:eastAsia="Consolas" w:hAnsi="Consolas"/>
          <w:b/>
          <w:bCs/>
          <w:color w:val="1F4E79"/>
        </w:rPr>
        <w:t xml:space="preserve">##</w:t>
      </w:r>
      <w:r>
        <w:t xml:space="preserve"> = Ihre Gruppennummer (die letzten 2 Ziffern Ihres Benutzers TS4FI-##), z. B. 01 → Buchungskreis TA01, Belegart 01, Lieferant RTA01.</w:t>
      </w:r>
    </w:p>
    <w:p>
      <w:pPr>
        <w:spacing w:before="120"/>
      </w:pPr>
      <w:r>
        <w:rPr>
          <w:b/>
          <w:bCs/>
        </w:rPr>
        <w:t xml:space="preserve">Jahresangaben:</w:t>
      </w:r>
      <w:r>
        <w:t xml:space="preserve"> „aktuelles Jahr" = Jahr der Prüfungsdurchführung, „Vorjahr" = Jahr davor. Die Beispiele in diesem Dokument verwenden 2026 als aktuelles Jahr – passen Sie die Jahreszahlen an Ihr Prüfungsdatum an.</w:t>
      </w:r>
    </w:p>
    <w:p>
      <w:pPr>
        <w:spacing w:before="120"/>
      </w:pPr>
      <w:r>
        <w:rPr>
          <w:b/>
          <w:bCs/>
        </w:rPr>
        <w:t xml:space="preserve">Oberflächensprache:</w:t>
      </w:r>
      <w:r>
        <w:t xml:space="preserve"> Das Prüfungssystem ist englisch. Feld- und Buttonnamen werden deshalb im englischen Original (kursiv in der Aufgabe) genannt, ggf. mit deutscher Entsprechung in Klammern.</w:t>
      </w:r>
    </w:p>
    <w:p>
      <w:r>
        <w:br w:type="page"/>
      </w:r>
    </w:p>
    <w:p>
      <w:pPr>
        <w:pStyle w:val="Heading1"/>
      </w:pPr>
      <w:r>
        <w:t xml:space="preserve">Inhaltsverzeichnis</w:t>
      </w:r>
    </w:p>
    <w:sdt>
      <w:sdtPr>
        <w:alias w:val="Inhaltsverzeichni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Hinweise zu diesem Dokument</w:t>
      </w:r>
    </w:p>
    <w:p>
      <w:pPr>
        <w:spacing w:after="120"/>
      </w:pPr>
      <w:r>
        <w:t xml:space="preserve">Diese Klick-Lösung wurde auf Basis der Schulungsunterlagen im Ordner </w:t>
      </w:r>
      <w:r>
        <w:rPr>
          <w:b/>
          <w:bCs/>
        </w:rPr>
        <w:t xml:space="preserve">Material</w:t>
      </w:r>
      <w:r>
        <w:t xml:space="preserve"> erarbeitet. Für jeden Aufgabenschritt ist angegeben, welche vergleichbare Übung (Dokument, Übungsnummer, Seite) als Grundlage diente. Die Klickpfade, Feldnamen und Apps wurden – wo vorhanden – aus den Lösungen der Schulungsübungen übernommen und auf die Werte der Prüfungsaufgabe angepasst.</w:t>
      </w:r>
    </w:p>
    <w:p>
      <w:pPr>
        <w:pStyle w:val="ListParagraph"/>
        <w:numPr>
          <w:ilvl w:val="0"/>
          <w:numId w:val="2"/>
        </w:numPr>
        <w:spacing w:after="40"/>
      </w:pPr>
      <w:r>
        <w:rPr>
          <w:b/>
          <w:bCs/>
        </w:rPr>
        <w:t xml:space="preserve">Seitenangaben:</w:t>
      </w:r>
      <w:r>
        <w:t xml:space="preserve"> gedruckte Seitenzahl im Handbuch (Fußzeile), in Klammern die Seite im PDF-Viewer.</w:t>
      </w:r>
    </w:p>
    <w:p>
      <w:pPr>
        <w:pStyle w:val="ListParagraph"/>
        <w:numPr>
          <w:ilvl w:val="0"/>
          <w:numId w:val="2"/>
        </w:numPr>
        <w:spacing w:after="40"/>
      </w:pPr>
      <w:r>
        <w:rPr>
          <w:b/>
          <w:bCs/>
        </w:rPr>
        <w:t xml:space="preserve">Sprache:</w:t>
      </w:r>
      <w:r>
        <w:t xml:space="preserve"> Die Schulungsunterlagen sind deutsch, das Prüfungssystem ist englisch. Feldnamen werden deshalb in der Form „English (Deutsch laut Schulung)" angegeben.</w:t>
      </w:r>
    </w:p>
    <w:p>
      <w:pPr>
        <w:pStyle w:val="ListParagraph"/>
        <w:numPr>
          <w:ilvl w:val="0"/>
          <w:numId w:val="2"/>
        </w:numPr>
        <w:spacing w:after="40"/>
      </w:pPr>
      <w:r>
        <w:rPr>
          <w:b/>
          <w:bCs/>
        </w:rPr>
        <w:t xml:space="preserve">Lila Kästen</w:t>
      </w:r>
      <w:r>
        <w:t xml:space="preserve"> = Fundstelle in den Schulungsunterlagen. </w:t>
      </w:r>
      <w:r>
        <w:rPr>
          <w:b/>
          <w:bCs/>
        </w:rPr>
        <w:t xml:space="preserve">Gelbe Kästen</w:t>
      </w:r>
      <w:r>
        <w:t xml:space="preserve"> = Punkte, die in den Unterlagen nicht vorkommen und aus eigener SAP-Kenntnis ergänzt wurden – diese bitte im System besonders sorgfältig prüfen.</w:t>
      </w:r>
    </w:p>
    <w:p>
      <w:pPr>
        <w:pStyle w:val="ListParagraph"/>
        <w:numPr>
          <w:ilvl w:val="0"/>
          <w:numId w:val="2"/>
        </w:numPr>
        <w:spacing w:after="40"/>
      </w:pPr>
      <w:r>
        <w:rPr>
          <w:rFonts w:ascii="Consolas" w:cs="Consolas" w:eastAsia="Consolas" w:hAnsi="Consolas"/>
          <w:b/>
          <w:bCs/>
          <w:color w:val="1F4E79"/>
        </w:rPr>
        <w:t xml:space="preserve">##</w:t>
      </w:r>
      <w:r>
        <w:t xml:space="preserve"> = Ihre Gruppennummer; „aktuelles Jahr"/„Vorjahr" relativ zum Prüfungsdatum.</w:t>
      </w:r>
    </w:p>
    <w:p>
      <w:pPr>
        <w:pStyle w:val="Heading2"/>
      </w:pPr>
      <w:r>
        <w:t xml:space="preserve">Änderungsprotokoll (zweite, vertiefte Durchsicht der Unterlagen)</w:t>
      </w:r>
    </w:p>
    <w:p>
      <w:pPr>
        <w:spacing w:after="120"/>
      </w:pPr>
      <w:r>
        <w:t xml:space="preserve">Bei einer zweiten, vollständigen Volltextsuche über alle fünf Handbücher wurden folgende zusätzliche Fundstellen gefunden. Mehrere Punkte, die in der vorherigen Fassung als „nicht in den Unterlagen" markiert waren, sind jetzt belegt: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438"/>
      </w:tblGrid>
      <w:tr>
        <w:trPr>
          <w:tblHeader/>
        </w:trPr>
        <w:tc>
          <w:tcPr>
            <w:tcW w:type="dxa" w:w="2600"/>
            <w:tcBorders>
              <w:top w:val="single" w:color="A6A6A6" w:sz="4"/>
              <w:left w:val="single" w:color="A6A6A6" w:sz="4"/>
              <w:bottom w:val="single" w:color="A6A6A6" w:sz="4"/>
              <w:right w:val="single" w:color="A6A6A6" w:sz="4"/>
            </w:tcBorders>
            <w:shd w:fill="F0AB00" w:color="auto" w:val="clear"/>
            <w:tcMar>
              <w:top w:type="dxa" w:w="60"/>
              <w:left w:type="dxa" w:w="100"/>
              <w:bottom w:type="dxa" w:w="60"/>
              <w:right w:type="dxa" w:w="100"/>
            </w:tcMar>
          </w:tcPr>
          <w:p>
            <w:r>
              <w:rPr>
                <w:b/>
                <w:bCs/>
              </w:rPr>
              <w:t xml:space="preserve">Punkt</w:t>
            </w:r>
          </w:p>
        </w:tc>
        <w:tc>
          <w:tcPr>
            <w:tcW w:type="dxa" w:w="3600"/>
            <w:tcBorders>
              <w:top w:val="single" w:color="A6A6A6" w:sz="4"/>
              <w:left w:val="single" w:color="A6A6A6" w:sz="4"/>
              <w:bottom w:val="single" w:color="A6A6A6" w:sz="4"/>
              <w:right w:val="single" w:color="A6A6A6" w:sz="4"/>
            </w:tcBorders>
            <w:shd w:fill="F0AB00" w:color="auto" w:val="clear"/>
            <w:tcMar>
              <w:top w:type="dxa" w:w="60"/>
              <w:left w:type="dxa" w:w="100"/>
              <w:bottom w:type="dxa" w:w="60"/>
              <w:right w:type="dxa" w:w="100"/>
            </w:tcMar>
          </w:tcPr>
          <w:p>
            <w:r>
              <w:rPr>
                <w:b/>
                <w:bCs/>
              </w:rPr>
              <w:t xml:space="preserve">Vorher</w:t>
            </w:r>
          </w:p>
        </w:tc>
        <w:tc>
          <w:tcPr>
            <w:tcW w:type="dxa" w:w="3438"/>
            <w:tcBorders>
              <w:top w:val="single" w:color="A6A6A6" w:sz="4"/>
              <w:left w:val="single" w:color="A6A6A6" w:sz="4"/>
              <w:bottom w:val="single" w:color="A6A6A6" w:sz="4"/>
              <w:right w:val="single" w:color="A6A6A6" w:sz="4"/>
            </w:tcBorders>
            <w:shd w:fill="F0AB00" w:color="auto" w:val="clear"/>
            <w:tcMar>
              <w:top w:type="dxa" w:w="60"/>
              <w:left w:type="dxa" w:w="100"/>
              <w:bottom w:type="dxa" w:w="60"/>
              <w:right w:type="dxa" w:w="100"/>
            </w:tcMar>
          </w:tcPr>
          <w:p>
            <w:r>
              <w:rPr>
                <w:b/>
                <w:bCs/>
              </w:rPr>
              <w:t xml:space="preserve">Jetzt belegt durch</w:t>
            </w:r>
          </w:p>
        </w:tc>
      </w:tr>
      <w:tr>
        <w:trPr>
          <w:tblHeader w:val="false"/>
        </w:trPr>
        <w:tc>
          <w:tcPr>
            <w:tcW w:type="dxa" w:w="2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t xml:space="preserve">3.2/3.4 Externe Belegnummer (alphanumerisch, Eingabe im Feld Belegnummer, Intervall pro Jahr)</w:t>
            </w:r>
          </w:p>
        </w:tc>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eigene Kenntnis</w:t>
            </w:r>
          </w:p>
        </w:tc>
        <w:tc>
          <w:tcPr>
            <w:tcW w:type="dxa" w:w="3438"/>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S4F12, Lektion „Konfigurieren von Kopf und Positionen …", S. 210, 213–214</w:t>
            </w:r>
          </w:p>
        </w:tc>
      </w:tr>
      <w:tr>
        <w:trPr>
          <w:tblHeader w:val="false"/>
        </w:trPr>
        <w:tc>
          <w:tcPr>
            <w:tcW w:type="dxa" w:w="2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t xml:space="preserve">4.1 Bewertungsbereich zu Ledger 0L ermitteln (IMG-Pfade)</w:t>
            </w:r>
          </w:p>
        </w:tc>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eigene Kenntnis</w:t>
            </w:r>
          </w:p>
        </w:tc>
        <w:tc>
          <w:tcPr>
            <w:tcW w:type="dxa" w:w="3438"/>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S4F15 S. 140 (Ledgerlösung: Bewertungsbereiche, Rechnungslegungsvorschrift zuordnen, Ledger-Gruppen) und Lösung 7, S. 151–152 (Bewertungsbereich IF)</w:t>
            </w:r>
          </w:p>
        </w:tc>
      </w:tr>
      <w:tr>
        <w:trPr>
          <w:tblHeader w:val="false"/>
        </w:trPr>
        <w:tc>
          <w:tcPr>
            <w:tcW w:type="dxa" w:w="2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t xml:space="preserve">4.1 Zuordnung des Schlüssels im Debitorenstamm, nicht im Beleg</w:t>
            </w:r>
          </w:p>
        </w:tc>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w:t>
            </w:r>
          </w:p>
        </w:tc>
        <w:tc>
          <w:tcPr>
            <w:tcW w:type="dxa" w:w="3438"/>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S4F15 Lernkontrolle Frage 9, S. 194; S4F10 S. 331 und Frage 10, S. 350</w:t>
            </w:r>
          </w:p>
        </w:tc>
      </w:tr>
      <w:tr>
        <w:trPr>
          <w:tblHeader w:val="false"/>
        </w:trPr>
        <w:tc>
          <w:tcPr>
            <w:tcW w:type="dxa" w:w="2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t xml:space="preserve">4.2 T-AC## ist eine Person (daher Feld „Last Name")</w:t>
            </w:r>
          </w:p>
        </w:tc>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w:t>
            </w:r>
          </w:p>
        </w:tc>
        <w:tc>
          <w:tcPr>
            <w:tcW w:type="dxa" w:w="3438"/>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S4F15 Lösung 8, Schritt 1 e), S. 167 („Person anzeigen: T-AC##")</w:t>
            </w:r>
          </w:p>
        </w:tc>
      </w:tr>
      <w:tr>
        <w:trPr>
          <w:tblHeader w:val="false"/>
        </w:trPr>
        <w:tc>
          <w:tcPr>
            <w:tcW w:type="dxa" w:w="2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t xml:space="preserve">4.3 Perioden öffnen per Fiori-App</w:t>
            </w:r>
          </w:p>
        </w:tc>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nur OB52</w:t>
            </w:r>
          </w:p>
        </w:tc>
        <w:tc>
          <w:tcPr>
            <w:tcW w:type="dxa" w:w="3438"/>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S4F12 Lösung 15, S. 238–239 (App „Buchungsperioden öffnen und schließen")</w:t>
            </w:r>
          </w:p>
        </w:tc>
      </w:tr>
      <w:tr>
        <w:trPr>
          <w:tblHeader w:val="false"/>
        </w:trPr>
        <w:tc>
          <w:tcPr>
            <w:tcW w:type="dxa" w:w="2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t xml:space="preserve">5.1 SEPA: Zahlweg T verlangt IBAN und SWIFT</w:t>
            </w:r>
          </w:p>
        </w:tc>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eigene Kenntnis</w:t>
            </w:r>
          </w:p>
        </w:tc>
        <w:tc>
          <w:tcPr>
            <w:tcW w:type="dxa" w:w="3438"/>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S4F13 Lösung 6, Schritt 3, S. 67</w:t>
            </w:r>
          </w:p>
        </w:tc>
      </w:tr>
      <w:tr>
        <w:trPr>
          <w:tblHeader w:val="false"/>
        </w:trPr>
        <w:tc>
          <w:tcPr>
            <w:tcW w:type="dxa" w:w="2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t xml:space="preserve">5.2 Zahlsperre im Beleg gilt nur für diesen Beleg</w:t>
            </w:r>
          </w:p>
        </w:tc>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teilweise</w:t>
            </w:r>
          </w:p>
        </w:tc>
        <w:tc>
          <w:tcPr>
            <w:tcW w:type="dxa" w:w="3438"/>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S4F13 S. 39; S4F12 S. 326–327 (Sperrschlüssel)</w:t>
            </w:r>
          </w:p>
        </w:tc>
      </w:tr>
      <w:tr>
        <w:trPr>
          <w:tblHeader w:val="false"/>
        </w:trPr>
        <w:tc>
          <w:tcPr>
            <w:tcW w:type="dxa" w:w="2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t xml:space="preserve">5.4 Zahlsperre im Vorschlag ändern</w:t>
            </w:r>
          </w:p>
        </w:tc>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nur Funktion</w:t>
            </w:r>
          </w:p>
        </w:tc>
        <w:tc>
          <w:tcPr>
            <w:tcW w:type="dxa" w:w="3438"/>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zusätzlich S4F13 S. 5 (Prozessschritt 3 „Zahlungsvorschlag überarbeiten")</w:t>
            </w:r>
          </w:p>
        </w:tc>
      </w:tr>
      <w:tr>
        <w:trPr>
          <w:tblHeader w:val="false"/>
        </w:trPr>
        <w:tc>
          <w:tcPr>
            <w:tcW w:type="dxa" w:w="2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t xml:space="preserve">6.1 Z000 muss kopiert werden (Standardpläne nicht direkt verwendbar)</w:t>
            </w:r>
          </w:p>
        </w:tc>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Auslegungsfrage</w:t>
            </w:r>
          </w:p>
        </w:tc>
        <w:tc>
          <w:tcPr>
            <w:tcW w:type="dxa" w:w="3438"/>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S4F17 S. 6–7 – klare Aussage, Warnhinweis entsprechend angepasst</w:t>
            </w:r>
          </w:p>
        </w:tc>
      </w:tr>
      <w:tr>
        <w:trPr>
          <w:tblHeader w:val="false"/>
        </w:trPr>
        <w:tc>
          <w:tcPr>
            <w:tcW w:type="dxa" w:w="2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t xml:space="preserve">7.1 Ledger-Zuordnung nach dem Kopieren prüfen</w:t>
            </w:r>
          </w:p>
        </w:tc>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eigene Kenntnis</w:t>
            </w:r>
          </w:p>
        </w:tc>
        <w:tc>
          <w:tcPr>
            <w:tcW w:type="dxa" w:w="3438"/>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S4F12 Lösung 5, S. 54–55</w:t>
            </w:r>
          </w:p>
        </w:tc>
      </w:tr>
      <w:tr>
        <w:trPr>
          <w:tblHeader w:val="false"/>
        </w:trPr>
        <w:tc>
          <w:tcPr>
            <w:tcW w:type="dxa" w:w="2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t xml:space="preserve">7.2 Sachkontoart „Nicht betriebliche Aufwendungen und Erträge" + Erfolgskontentyp</w:t>
            </w:r>
          </w:p>
        </w:tc>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teilweise</w:t>
            </w:r>
          </w:p>
        </w:tc>
        <w:tc>
          <w:tcPr>
            <w:tcW w:type="dxa" w:w="3438"/>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S4F12 S. 107; S4F10 S. 51; Erfolgskontentyp X: S4F12 Lösung 7, S. 122</w:t>
            </w:r>
          </w:p>
        </w:tc>
      </w:tr>
      <w:tr>
        <w:trPr>
          <w:tblHeader w:val="false"/>
        </w:trPr>
        <w:tc>
          <w:tcPr>
            <w:tcW w:type="dxa" w:w="2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t xml:space="preserve">7.4 Stornogrund mit abweichendem Buchungsdatum</w:t>
            </w:r>
          </w:p>
        </w:tc>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eigene Kenntnis (02)</w:t>
            </w:r>
          </w:p>
        </w:tc>
        <w:tc>
          <w:tcPr>
            <w:tcW w:type="dxa" w:w="3438"/>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S4F13 Lösung 20, Schritt 3, S. 293: Grund 02 mit Datum in der nächsten Periode; vgl. Lösung 18, S. 265: Grund 01 mit Originaldatum</w:t>
            </w:r>
          </w:p>
        </w:tc>
      </w:tr>
    </w:tbl>
    <w:p>
      <w:pPr>
        <w:spacing w:after="60"/>
      </w:pPr>
    </w:p>
    <w:p>
      <w:pPr>
        <w:spacing w:after="120"/>
      </w:pPr>
      <w:r>
        <w:rPr>
          <w:b/>
          <w:bCs/>
        </w:rPr>
        <w:t xml:space="preserve">Weiterhin nicht in den Unterlagen</w:t>
      </w:r>
      <w:r>
        <w:t xml:space="preserve"> (gelb markiert): IMG-Aktivität zum Anlegen des Wertberichtigungsschlüssels mit Prozentsätzen, Kennzeichen „Batch input only", Sortierschlüssel „Pstng yr,month,curr.", Kopierfunktion der App „Manage Business Partner Master Data", konkrete Klicks zum Entfernen einer Zahlsperre im Fiori-Zahlungsvorschlag.</w:t>
      </w:r>
    </w:p>
    <w:p>
      <w:pPr>
        <w:spacing w:after="120"/>
      </w:pPr>
      <w:r>
        <w:rPr>
          <w:b/>
          <w:bCs/>
        </w:rPr>
        <w:t xml:space="preserve">Korrekturen gegenüber der vorherigen Fassung:</w:t>
      </w:r>
      <w:r>
        <w:t xml:space="preserve"> Task 7.2 um das Pflichtfeld „P&amp;L Statement Account Type" (Erfolgskontentyp) ergänzt; Task 6.1 Warnhinweis zur Bewertungsplan-Auslegung durch Fundstelle ersetzt; Task 7.4 Empfehlung für Stornogrund 02 jetzt durch Schulungsbeispiel belegt.</w:t>
      </w:r>
    </w:p>
    <w:p>
      <w:pPr>
        <w:pStyle w:val="Heading2"/>
      </w:pPr>
      <w:r>
        <w:t xml:space="preserve">Verwendete Schulungsunterlagen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438"/>
      </w:tblGrid>
      <w:tr>
        <w:trPr>
          <w:tblHeader/>
        </w:trPr>
        <w:tc>
          <w:tcPr>
            <w:tcW w:type="dxa" w:w="2600"/>
            <w:tcBorders>
              <w:top w:val="single" w:color="A6A6A6" w:sz="4"/>
              <w:left w:val="single" w:color="A6A6A6" w:sz="4"/>
              <w:bottom w:val="single" w:color="A6A6A6" w:sz="4"/>
              <w:right w:val="single" w:color="A6A6A6" w:sz="4"/>
            </w:tcBorders>
            <w:shd w:fill="F0AB00" w:color="auto" w:val="clear"/>
            <w:tcMar>
              <w:top w:type="dxa" w:w="60"/>
              <w:left w:type="dxa" w:w="100"/>
              <w:bottom w:type="dxa" w:w="60"/>
              <w:right w:type="dxa" w:w="100"/>
            </w:tcMar>
          </w:tcPr>
          <w:p>
            <w:r>
              <w:rPr>
                <w:b/>
                <w:bCs/>
              </w:rPr>
              <w:t xml:space="preserve">Dokument</w:t>
            </w:r>
          </w:p>
        </w:tc>
        <w:tc>
          <w:tcPr>
            <w:tcW w:type="dxa" w:w="3600"/>
            <w:tcBorders>
              <w:top w:val="single" w:color="A6A6A6" w:sz="4"/>
              <w:left w:val="single" w:color="A6A6A6" w:sz="4"/>
              <w:bottom w:val="single" w:color="A6A6A6" w:sz="4"/>
              <w:right w:val="single" w:color="A6A6A6" w:sz="4"/>
            </w:tcBorders>
            <w:shd w:fill="F0AB00" w:color="auto" w:val="clear"/>
            <w:tcMar>
              <w:top w:type="dxa" w:w="60"/>
              <w:left w:type="dxa" w:w="100"/>
              <w:bottom w:type="dxa" w:w="60"/>
              <w:right w:type="dxa" w:w="100"/>
            </w:tcMar>
          </w:tcPr>
          <w:p>
            <w:r>
              <w:rPr>
                <w:b/>
                <w:bCs/>
              </w:rPr>
              <w:t xml:space="preserve">Titel</w:t>
            </w:r>
          </w:p>
        </w:tc>
        <w:tc>
          <w:tcPr>
            <w:tcW w:type="dxa" w:w="3438"/>
            <w:tcBorders>
              <w:top w:val="single" w:color="A6A6A6" w:sz="4"/>
              <w:left w:val="single" w:color="A6A6A6" w:sz="4"/>
              <w:bottom w:val="single" w:color="A6A6A6" w:sz="4"/>
              <w:right w:val="single" w:color="A6A6A6" w:sz="4"/>
            </w:tcBorders>
            <w:shd w:fill="F0AB00" w:color="auto" w:val="clear"/>
            <w:tcMar>
              <w:top w:type="dxa" w:w="60"/>
              <w:left w:type="dxa" w:w="100"/>
              <w:bottom w:type="dxa" w:w="60"/>
              <w:right w:type="dxa" w:w="100"/>
            </w:tcMar>
          </w:tcPr>
          <w:p>
            <w:r>
              <w:rPr>
                <w:b/>
                <w:bCs/>
              </w:rPr>
              <w:t xml:space="preserve">Datei</w:t>
            </w:r>
          </w:p>
        </w:tc>
      </w:tr>
      <w:tr>
        <w:trPr>
          <w:tblHeader w:val="false"/>
        </w:trPr>
        <w:tc>
          <w:tcPr>
            <w:tcW w:type="dxa" w:w="2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t xml:space="preserve">S4F10</w:t>
            </w:r>
          </w:p>
        </w:tc>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Geschäftsprozesse in der Finanzbuchhaltung in SAP S/4HANA (Version 20)</w:t>
            </w:r>
          </w:p>
        </w:tc>
        <w:tc>
          <w:tcPr>
            <w:tcW w:type="dxa" w:w="3438"/>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S4F10_DE_Col20_Part_A4_(P2W).pdf</w:t>
            </w:r>
          </w:p>
        </w:tc>
      </w:tr>
      <w:tr>
        <w:trPr>
          <w:tblHeader w:val="false"/>
        </w:trPr>
        <w:tc>
          <w:tcPr>
            <w:tcW w:type="dxa" w:w="2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t xml:space="preserve">S4F12</w:t>
            </w:r>
          </w:p>
        </w:tc>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Grundlagen des Customizings für Finanzwesen: HB, AP, AR in SAP S/4HANA (Version 26)</w:t>
            </w:r>
          </w:p>
        </w:tc>
        <w:tc>
          <w:tcPr>
            <w:tcW w:type="dxa" w:w="3438"/>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S4F12_DE_Col26_Part_A4.pdf</w:t>
            </w:r>
          </w:p>
        </w:tc>
      </w:tr>
      <w:tr>
        <w:trPr>
          <w:tblHeader w:val="false"/>
        </w:trPr>
        <w:tc>
          <w:tcPr>
            <w:tcW w:type="dxa" w:w="2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t xml:space="preserve">S4F13</w:t>
            </w:r>
          </w:p>
        </w:tc>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Finanzbuchhaltung in SAP S/4HANA – erweiterte Konfiguration (Version 26)</w:t>
            </w:r>
          </w:p>
        </w:tc>
        <w:tc>
          <w:tcPr>
            <w:tcW w:type="dxa" w:w="3438"/>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S4F13_DE_Col26_Part_A4.pdf</w:t>
            </w:r>
          </w:p>
        </w:tc>
      </w:tr>
      <w:tr>
        <w:trPr>
          <w:tblHeader w:val="false"/>
        </w:trPr>
        <w:tc>
          <w:tcPr>
            <w:tcW w:type="dxa" w:w="2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t xml:space="preserve">S4F15</w:t>
            </w:r>
          </w:p>
        </w:tc>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Abschluss in SAP S/4HANA (Version 26)</w:t>
            </w:r>
          </w:p>
        </w:tc>
        <w:tc>
          <w:tcPr>
            <w:tcW w:type="dxa" w:w="3438"/>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S4F15_DE_Col26_Part_A4.pdf</w:t>
            </w:r>
          </w:p>
        </w:tc>
      </w:tr>
      <w:tr>
        <w:trPr>
          <w:tblHeader w:val="false"/>
        </w:trPr>
        <w:tc>
          <w:tcPr>
            <w:tcW w:type="dxa" w:w="2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t xml:space="preserve">S4F17</w:t>
            </w:r>
          </w:p>
        </w:tc>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Anlagenbuchhaltung in SAP S/4HANA (Version 26)</w:t>
            </w:r>
          </w:p>
        </w:tc>
        <w:tc>
          <w:tcPr>
            <w:tcW w:type="dxa" w:w="3438"/>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S4F17_DE_Col26_Part_A4.pdf</w:t>
            </w:r>
          </w:p>
        </w:tc>
      </w:tr>
    </w:tbl>
    <w:p>
      <w:pPr>
        <w:spacing w:after="60"/>
      </w:pPr>
    </w:p>
    <w:p>
      <w:pPr>
        <w:pStyle w:val="Heading2"/>
      </w:pPr>
      <w:r>
        <w:t xml:space="preserve">Zuordnung Prüfungsaufgabe → Schulungsübung (Übersicht)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438"/>
      </w:tblGrid>
      <w:tr>
        <w:trPr>
          <w:tblHeader/>
        </w:trPr>
        <w:tc>
          <w:tcPr>
            <w:tcW w:type="dxa" w:w="2600"/>
            <w:tcBorders>
              <w:top w:val="single" w:color="A6A6A6" w:sz="4"/>
              <w:left w:val="single" w:color="A6A6A6" w:sz="4"/>
              <w:bottom w:val="single" w:color="A6A6A6" w:sz="4"/>
              <w:right w:val="single" w:color="A6A6A6" w:sz="4"/>
            </w:tcBorders>
            <w:shd w:fill="F0AB00" w:color="auto" w:val="clear"/>
            <w:tcMar>
              <w:top w:type="dxa" w:w="60"/>
              <w:left w:type="dxa" w:w="100"/>
              <w:bottom w:type="dxa" w:w="60"/>
              <w:right w:type="dxa" w:w="100"/>
            </w:tcMar>
          </w:tcPr>
          <w:p>
            <w:r>
              <w:rPr>
                <w:b/>
                <w:bCs/>
              </w:rPr>
              <w:t xml:space="preserve">Prüfung</w:t>
            </w:r>
          </w:p>
        </w:tc>
        <w:tc>
          <w:tcPr>
            <w:tcW w:type="dxa" w:w="3600"/>
            <w:tcBorders>
              <w:top w:val="single" w:color="A6A6A6" w:sz="4"/>
              <w:left w:val="single" w:color="A6A6A6" w:sz="4"/>
              <w:bottom w:val="single" w:color="A6A6A6" w:sz="4"/>
              <w:right w:val="single" w:color="A6A6A6" w:sz="4"/>
            </w:tcBorders>
            <w:shd w:fill="F0AB00" w:color="auto" w:val="clear"/>
            <w:tcMar>
              <w:top w:type="dxa" w:w="60"/>
              <w:left w:type="dxa" w:w="100"/>
              <w:bottom w:type="dxa" w:w="60"/>
              <w:right w:type="dxa" w:w="100"/>
            </w:tcMar>
          </w:tcPr>
          <w:p>
            <w:r>
              <w:rPr>
                <w:b/>
                <w:bCs/>
              </w:rPr>
              <w:t xml:space="preserve">Vergleichbare Schulungsübung(en)</w:t>
            </w:r>
          </w:p>
        </w:tc>
        <w:tc>
          <w:tcPr>
            <w:tcW w:type="dxa" w:w="3438"/>
            <w:tcBorders>
              <w:top w:val="single" w:color="A6A6A6" w:sz="4"/>
              <w:left w:val="single" w:color="A6A6A6" w:sz="4"/>
              <w:bottom w:val="single" w:color="A6A6A6" w:sz="4"/>
              <w:right w:val="single" w:color="A6A6A6" w:sz="4"/>
            </w:tcBorders>
            <w:shd w:fill="F0AB00" w:color="auto" w:val="clear"/>
            <w:tcMar>
              <w:top w:type="dxa" w:w="60"/>
              <w:left w:type="dxa" w:w="100"/>
              <w:bottom w:type="dxa" w:w="60"/>
              <w:right w:type="dxa" w:w="100"/>
            </w:tcMar>
          </w:tcPr>
          <w:p>
            <w:r>
              <w:rPr>
                <w:b/>
                <w:bCs/>
              </w:rPr>
              <w:t xml:space="preserve">Transaktion / App</w:t>
            </w:r>
          </w:p>
        </w:tc>
      </w:tr>
      <w:tr>
        <w:trPr>
          <w:tblHeader w:val="false"/>
        </w:trPr>
        <w:tc>
          <w:tcPr>
            <w:tcW w:type="dxa" w:w="2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t xml:space="preserve">3.1 Belegart</w:t>
            </w:r>
          </w:p>
        </w:tc>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S4F12 Ü12 „Einen Nummernkreis und eine Belegart anlegen", S. 215–217</w:t>
            </w:r>
          </w:p>
        </w:tc>
        <w:tc>
          <w:tcPr>
            <w:tcW w:type="dxa" w:w="34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onsolas" w:cs="Consolas" w:eastAsia="Consolas" w:hAnsi="Consolas"/>
                <w:b/>
                <w:bCs/>
                <w:color w:val="1F4E79"/>
              </w:rPr>
              <w:t xml:space="preserve">OBA7</w:t>
            </w:r>
          </w:p>
        </w:tc>
      </w:tr>
      <w:tr>
        <w:trPr>
          <w:tblHeader w:val="false"/>
        </w:trPr>
        <w:tc>
          <w:tcPr>
            <w:tcW w:type="dxa" w:w="2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t xml:space="preserve">3.2 Nummernkreis, Belegaufteilung</w:t>
            </w:r>
          </w:p>
        </w:tc>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S4F12 Ü12, S. 216–217; Lektion S. 213–214 (externe Nummernvergabe); S4F12 Ü13 „Die Belegart für die Belegaufteilung klassifizieren", S. 219–220</w:t>
            </w:r>
          </w:p>
        </w:tc>
        <w:tc>
          <w:tcPr>
            <w:tcW w:type="dxa" w:w="34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onsolas" w:cs="Consolas" w:eastAsia="Consolas" w:hAnsi="Consolas"/>
                <w:b/>
                <w:bCs/>
                <w:color w:val="1F4E79"/>
              </w:rPr>
              <w:t xml:space="preserve">FBN1</w:t>
            </w:r>
            <w:r>
              <w:t xml:space="preserve">, IMG Belegaufteilung</w:t>
            </w:r>
          </w:p>
        </w:tc>
      </w:tr>
      <w:tr>
        <w:trPr>
          <w:tblHeader w:val="false"/>
        </w:trPr>
        <w:tc>
          <w:tcPr>
            <w:tcW w:type="dxa" w:w="2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t xml:space="preserve">3.3 Lieferant RTA##</w:t>
            </w:r>
          </w:p>
        </w:tc>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S4F12 Ü9 Aufgabe 3 „Einen Geschäftspartner (Kreditor) anlegen", S. 177–179; S4F10 Ü13 „Kreditorenstammsatz anlegen", S. 117–120; S4F12 Ü10 (Sortierschlüssel), S. 183–184</w:t>
            </w:r>
          </w:p>
        </w:tc>
        <w:tc>
          <w:tcPr>
            <w:tcW w:type="dxa" w:w="34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onsolas" w:cs="Consolas" w:eastAsia="Consolas" w:hAnsi="Consolas"/>
                <w:b/>
                <w:bCs/>
                <w:color w:val="1F4E79"/>
              </w:rPr>
              <w:t xml:space="preserve">BP</w:t>
            </w:r>
            <w:r>
              <w:t xml:space="preserve"> / „Geschäftspartner pflegen"</w:t>
            </w:r>
          </w:p>
        </w:tc>
      </w:tr>
      <w:tr>
        <w:trPr>
          <w:tblHeader w:val="false"/>
        </w:trPr>
        <w:tc>
          <w:tcPr>
            <w:tcW w:type="dxa" w:w="2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t xml:space="preserve">3.4 Testrechnung</w:t>
            </w:r>
          </w:p>
        </w:tc>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S4F12 Ü17 „FI-Belege buchen" Schritt 2, S. 258–260; S4F13 Ü4, S. 43–44</w:t>
            </w:r>
          </w:p>
        </w:tc>
        <w:tc>
          <w:tcPr>
            <w:tcW w:type="dxa" w:w="3438"/>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„Eingangsrechnungen anlegen" (</w:t>
            </w:r>
            <w:r>
              <w:rPr>
                <w:rFonts w:ascii="Consolas" w:cs="Consolas" w:eastAsia="Consolas" w:hAnsi="Consolas"/>
                <w:b/>
                <w:bCs/>
                <w:color w:val="1F4E79"/>
              </w:rPr>
              <w:t xml:space="preserve">FB60</w:t>
            </w:r>
            <w:r>
              <w:t xml:space="preserve">)</w:t>
            </w:r>
          </w:p>
        </w:tc>
      </w:tr>
      <w:tr>
        <w:trPr>
          <w:tblHeader w:val="false"/>
        </w:trPr>
        <w:tc>
          <w:tcPr>
            <w:tcW w:type="dxa" w:w="2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t xml:space="preserve">4.1 Wertberichtigungsschlüssel</w:t>
            </w:r>
          </w:p>
        </w:tc>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S4F15 S. 163 (Konzept), S. 140 und Lösung 7 S. 151–152 (Bewertungsbereich); S4F10 S. 331</w:t>
            </w:r>
          </w:p>
        </w:tc>
        <w:tc>
          <w:tcPr>
            <w:tcW w:type="dxa" w:w="3438"/>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IMG</w:t>
            </w:r>
          </w:p>
        </w:tc>
      </w:tr>
      <w:tr>
        <w:trPr>
          <w:tblHeader w:val="false"/>
        </w:trPr>
        <w:tc>
          <w:tcPr>
            <w:tcW w:type="dxa" w:w="2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t xml:space="preserve">4.2 Debitor TS4FI##</w:t>
            </w:r>
          </w:p>
        </w:tc>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S4F15 Ü8 Schritt 1, S. 167–168; S4F10 Ü43 Schritt 1, S. 335–336</w:t>
            </w:r>
          </w:p>
        </w:tc>
        <w:tc>
          <w:tcPr>
            <w:tcW w:type="dxa" w:w="3438"/>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„Manage Business Partner Master Data" / </w:t>
            </w:r>
            <w:r>
              <w:rPr>
                <w:rFonts w:ascii="Consolas" w:cs="Consolas" w:eastAsia="Consolas" w:hAnsi="Consolas"/>
                <w:b/>
                <w:bCs/>
                <w:color w:val="1F4E79"/>
              </w:rPr>
              <w:t xml:space="preserve">BP</w:t>
            </w:r>
          </w:p>
        </w:tc>
      </w:tr>
      <w:tr>
        <w:trPr>
          <w:tblHeader w:val="false"/>
        </w:trPr>
        <w:tc>
          <w:tcPr>
            <w:tcW w:type="dxa" w:w="2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t xml:space="preserve">4.3 Kundenrechnungen</w:t>
            </w:r>
          </w:p>
        </w:tc>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S4F15 Ü8 Schritt 2, S. 168; S4F10 Ü43 Schritt 2, S. 336</w:t>
            </w:r>
          </w:p>
        </w:tc>
        <w:tc>
          <w:tcPr>
            <w:tcW w:type="dxa" w:w="3438"/>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„Ausgangsrechnungen anlegen" (</w:t>
            </w:r>
            <w:r>
              <w:rPr>
                <w:rFonts w:ascii="Consolas" w:cs="Consolas" w:eastAsia="Consolas" w:hAnsi="Consolas"/>
                <w:b/>
                <w:bCs/>
                <w:color w:val="1F4E79"/>
              </w:rPr>
              <w:t xml:space="preserve">FB70</w:t>
            </w:r>
            <w:r>
              <w:t xml:space="preserve">)</w:t>
            </w:r>
          </w:p>
        </w:tc>
      </w:tr>
      <w:tr>
        <w:trPr>
          <w:tblHeader w:val="false"/>
        </w:trPr>
        <w:tc>
          <w:tcPr>
            <w:tcW w:type="dxa" w:w="2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t xml:space="preserve">4.4 Bewertungslauf</w:t>
            </w:r>
          </w:p>
        </w:tc>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S4F15 Ü8 Schritte 3–5, S. 168–170; S4F10 Ü44, S. 339–342</w:t>
            </w:r>
          </w:p>
        </w:tc>
        <w:tc>
          <w:tcPr>
            <w:tcW w:type="dxa" w:w="3438"/>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„Weitere Bewertungen durchführen" (</w:t>
            </w:r>
            <w:r>
              <w:rPr>
                <w:rFonts w:ascii="Consolas" w:cs="Consolas" w:eastAsia="Consolas" w:hAnsi="Consolas"/>
                <w:b/>
                <w:bCs/>
                <w:color w:val="1F4E79"/>
              </w:rPr>
              <w:t xml:space="preserve">F107</w:t>
            </w:r>
            <w:r>
              <w:t xml:space="preserve">)</w:t>
            </w:r>
          </w:p>
        </w:tc>
      </w:tr>
      <w:tr>
        <w:trPr>
          <w:tblHeader w:val="false"/>
        </w:trPr>
        <w:tc>
          <w:tcPr>
            <w:tcW w:type="dxa" w:w="2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t xml:space="preserve">5.1 Bank, Hausbank, Bankkonto</w:t>
            </w:r>
          </w:p>
        </w:tc>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S4F13 Ü1 „Eine Hausbank definieren", S. 13–15; S4F13 Ü2 „Ein Hausbankkonto definieren", S. 23–27</w:t>
            </w:r>
          </w:p>
        </w:tc>
        <w:tc>
          <w:tcPr>
            <w:tcW w:type="dxa" w:w="3438"/>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„Banken verwalten", „Bankkonten verwalten", „Sachkontenstammdaten verwalten"</w:t>
            </w:r>
          </w:p>
        </w:tc>
      </w:tr>
      <w:tr>
        <w:trPr>
          <w:tblHeader w:val="false"/>
        </w:trPr>
        <w:tc>
          <w:tcPr>
            <w:tcW w:type="dxa" w:w="2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t xml:space="preserve">5.2 Rechnung mit Zahlsperre</w:t>
            </w:r>
          </w:p>
        </w:tc>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S4F13 Ü4 „Belege für automatische Zahlungen eingeben", S. 43–46</w:t>
            </w:r>
          </w:p>
        </w:tc>
        <w:tc>
          <w:tcPr>
            <w:tcW w:type="dxa" w:w="3438"/>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„Eingangsrechnungen anlegen" (</w:t>
            </w:r>
            <w:r>
              <w:rPr>
                <w:rFonts w:ascii="Consolas" w:cs="Consolas" w:eastAsia="Consolas" w:hAnsi="Consolas"/>
                <w:b/>
                <w:bCs/>
                <w:color w:val="1F4E79"/>
              </w:rPr>
              <w:t xml:space="preserve">FB60</w:t>
            </w:r>
            <w:r>
              <w:t xml:space="preserve">)</w:t>
            </w:r>
          </w:p>
        </w:tc>
      </w:tr>
      <w:tr>
        <w:trPr>
          <w:tblHeader w:val="false"/>
        </w:trPr>
        <w:tc>
          <w:tcPr>
            <w:tcW w:type="dxa" w:w="2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t xml:space="preserve">5.3 FBZP</w:t>
            </w:r>
          </w:p>
        </w:tc>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S4F13 Ü6 „Zahlungsprogramm konfigurieren", S. 66–69; S4F13 Ü7 „Bankenauswahl konfigurieren", S. 79–81</w:t>
            </w:r>
          </w:p>
        </w:tc>
        <w:tc>
          <w:tcPr>
            <w:tcW w:type="dxa" w:w="34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onsolas" w:cs="Consolas" w:eastAsia="Consolas" w:hAnsi="Consolas"/>
                <w:b/>
                <w:bCs/>
                <w:color w:val="1F4E79"/>
              </w:rPr>
              <w:t xml:space="preserve">FBZP</w:t>
            </w:r>
            <w:r>
              <w:t xml:space="preserve"> / IMG</w:t>
            </w:r>
          </w:p>
        </w:tc>
      </w:tr>
      <w:tr>
        <w:trPr>
          <w:tblHeader w:val="false"/>
        </w:trPr>
        <w:tc>
          <w:tcPr>
            <w:tcW w:type="dxa" w:w="2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t xml:space="preserve">5.4 Zahllauf</w:t>
            </w:r>
          </w:p>
        </w:tc>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S4F13 Ü8 „Zahlungsvorschlag ausführen", S. 93–98; S4F13 Ü9 „Zahllauf ausführen", S. 112–113; Lektion „Zahlungsvorschlagsbearbeitung", S. 88–90</w:t>
            </w:r>
          </w:p>
        </w:tc>
        <w:tc>
          <w:tcPr>
            <w:tcW w:type="dxa" w:w="3438"/>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„Automatische Zahlungen verwalten" (</w:t>
            </w:r>
            <w:r>
              <w:rPr>
                <w:rFonts w:ascii="Consolas" w:cs="Consolas" w:eastAsia="Consolas" w:hAnsi="Consolas"/>
                <w:b/>
                <w:bCs/>
                <w:color w:val="1F4E79"/>
              </w:rPr>
              <w:t xml:space="preserve">F110</w:t>
            </w:r>
            <w:r>
              <w:t xml:space="preserve">)</w:t>
            </w:r>
          </w:p>
        </w:tc>
      </w:tr>
      <w:tr>
        <w:trPr>
          <w:tblHeader w:val="false"/>
        </w:trPr>
        <w:tc>
          <w:tcPr>
            <w:tcW w:type="dxa" w:w="2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t xml:space="preserve">6.1 FI-AA-Customizing</w:t>
            </w:r>
          </w:p>
        </w:tc>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S4F17 Lektion S. 6–9; S4F17 Ü1 „Zuordnen eines Bewertungsplans zu einem Buchungskreis", S. 13–15; S4F17 Ü3 „Verwenden der Nummernzuordnung für FI-AA", S. 55; S4F17 Ü27, S. 298–300</w:t>
            </w:r>
          </w:p>
        </w:tc>
        <w:tc>
          <w:tcPr>
            <w:tcW w:type="dxa" w:w="3438"/>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IMG Anlagenbuchhaltung</w:t>
            </w:r>
          </w:p>
        </w:tc>
      </w:tr>
      <w:tr>
        <w:trPr>
          <w:tblHeader w:val="false"/>
        </w:trPr>
        <w:tc>
          <w:tcPr>
            <w:tcW w:type="dxa" w:w="2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t xml:space="preserve">6.2 Nicht integrierter Zugang</w:t>
            </w:r>
          </w:p>
        </w:tc>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S4F17 Ü10 „Anlegen von Anlagenstammsätzen", S. 92–94; S4F17 Ü15 „Durchführen verschiedener nicht integrierter Anlagenzugangsbuchungen", S. 157–161; S4F10 Ü47, S. 374</w:t>
            </w:r>
          </w:p>
        </w:tc>
        <w:tc>
          <w:tcPr>
            <w:tcW w:type="dxa" w:w="34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onsolas" w:cs="Consolas" w:eastAsia="Consolas" w:hAnsi="Consolas"/>
                <w:b/>
                <w:bCs/>
                <w:color w:val="1F4E79"/>
              </w:rPr>
              <w:t xml:space="preserve">AS01</w:t>
            </w:r>
            <w:r>
              <w:t xml:space="preserve">, </w:t>
            </w:r>
            <w:r>
              <w:rPr>
                <w:rFonts w:ascii="Consolas" w:cs="Consolas" w:eastAsia="Consolas" w:hAnsi="Consolas"/>
                <w:b/>
                <w:bCs/>
                <w:color w:val="1F4E79"/>
              </w:rPr>
              <w:t xml:space="preserve">ABZON</w:t>
            </w:r>
            <w:r>
              <w:t xml:space="preserve">/„Zugang buchen (nicht integriert)"</w:t>
            </w:r>
          </w:p>
        </w:tc>
      </w:tr>
      <w:tr>
        <w:trPr>
          <w:tblHeader w:val="false"/>
        </w:trPr>
        <w:tc>
          <w:tcPr>
            <w:tcW w:type="dxa" w:w="2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t xml:space="preserve">6.3 AfA-Lauf</w:t>
            </w:r>
          </w:p>
        </w:tc>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S4F17 Ü27 „Den Abschreibungslauf durchführen und auswerten", S. 300–303; S4F15 Ü3, S. 67</w:t>
            </w:r>
          </w:p>
        </w:tc>
        <w:tc>
          <w:tcPr>
            <w:tcW w:type="dxa" w:w="3438"/>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„Anlagenbuchhaltungs-Jobs einplanen" (AfA-Buchungslauf)</w:t>
            </w:r>
          </w:p>
        </w:tc>
      </w:tr>
      <w:tr>
        <w:trPr>
          <w:tblHeader w:val="false"/>
        </w:trPr>
        <w:tc>
          <w:tcPr>
            <w:tcW w:type="dxa" w:w="2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t xml:space="preserve">7.1 Buchungskreis GR##</w:t>
            </w:r>
          </w:p>
        </w:tc>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S4F12 Ü2 „Einen Buchungskreis anlegen", S. 33–36</w:t>
            </w:r>
          </w:p>
        </w:tc>
        <w:tc>
          <w:tcPr>
            <w:tcW w:type="dxa" w:w="34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onsolas" w:cs="Consolas" w:eastAsia="Consolas" w:hAnsi="Consolas"/>
                <w:b/>
                <w:bCs/>
                <w:color w:val="1F4E79"/>
              </w:rPr>
              <w:t xml:space="preserve">EC01</w:t>
            </w:r>
            <w:r>
              <w:t xml:space="preserve"> / IMG</w:t>
            </w:r>
          </w:p>
        </w:tc>
      </w:tr>
      <w:tr>
        <w:trPr>
          <w:tblHeader w:val="false"/>
        </w:trPr>
        <w:tc>
          <w:tcPr>
            <w:tcW w:type="dxa" w:w="2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t xml:space="preserve">7.2 Kontengruppe, Sachkonto</w:t>
            </w:r>
          </w:p>
        </w:tc>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S4F12 Ü7 „Kontengruppen für Sachkonten anlegen und einige neue Sachkonten installieren", S. 117–124</w:t>
            </w:r>
          </w:p>
        </w:tc>
        <w:tc>
          <w:tcPr>
            <w:tcW w:type="dxa" w:w="34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onsolas" w:cs="Consolas" w:eastAsia="Consolas" w:hAnsi="Consolas"/>
                <w:b/>
                <w:bCs/>
                <w:color w:val="1F4E79"/>
              </w:rPr>
              <w:t xml:space="preserve">OBD4</w:t>
            </w:r>
            <w:r>
              <w:t xml:space="preserve">, „Sachkontenstammdaten verwalten"</w:t>
            </w:r>
          </w:p>
        </w:tc>
      </w:tr>
      <w:tr>
        <w:trPr>
          <w:tblHeader w:val="false"/>
        </w:trPr>
        <w:tc>
          <w:tcPr>
            <w:tcW w:type="dxa" w:w="2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t xml:space="preserve">7.3 Testbuchung</w:t>
            </w:r>
          </w:p>
        </w:tc>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S4F12 Ü17 „FI-Belege buchen" Schritt 1, S. 257–258</w:t>
            </w:r>
          </w:p>
        </w:tc>
        <w:tc>
          <w:tcPr>
            <w:tcW w:type="dxa" w:w="3438"/>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„Hauptbuchbelege buchen" (</w:t>
            </w:r>
            <w:r>
              <w:rPr>
                <w:rFonts w:ascii="Consolas" w:cs="Consolas" w:eastAsia="Consolas" w:hAnsi="Consolas"/>
                <w:b/>
                <w:bCs/>
                <w:color w:val="1F4E79"/>
              </w:rPr>
              <w:t xml:space="preserve">FB50</w:t>
            </w:r>
            <w:r>
              <w:t xml:space="preserve">)</w:t>
            </w:r>
          </w:p>
        </w:tc>
      </w:tr>
      <w:tr>
        <w:trPr>
          <w:tblHeader w:val="false"/>
        </w:trPr>
        <w:tc>
          <w:tcPr>
            <w:tcW w:type="dxa" w:w="2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t xml:space="preserve">7.4 Storno</w:t>
            </w:r>
          </w:p>
        </w:tc>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S4F13 Ü20 Schritt 3 (Stornogrund 02, Datum nächste Periode), S. 292–293; S4F12 Lektion „Konfigurieren von Belegstornierungen", S. 312; S4F12 Ü21, S. 316–318</w:t>
            </w:r>
          </w:p>
        </w:tc>
        <w:tc>
          <w:tcPr>
            <w:tcW w:type="dxa" w:w="3438"/>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„Buchungsbelege verwalten" → Stornieren (</w:t>
            </w:r>
            <w:r>
              <w:rPr>
                <w:rFonts w:ascii="Consolas" w:cs="Consolas" w:eastAsia="Consolas" w:hAnsi="Consolas"/>
                <w:b/>
                <w:bCs/>
                <w:color w:val="1F4E79"/>
              </w:rPr>
              <w:t xml:space="preserve">FB08</w:t>
            </w:r>
            <w:r>
              <w:t xml:space="preserve">)</w:t>
            </w:r>
          </w:p>
        </w:tc>
      </w:tr>
    </w:tbl>
    <w:p>
      <w:pPr>
        <w:spacing w:after="60"/>
      </w:pPr>
    </w:p>
    <w:p>
      <w:pPr>
        <w:pStyle w:val="Heading2"/>
      </w:pPr>
      <w:r>
        <w:t xml:space="preserve">Allgemeine Vorbereitung (Task 1 und Task 2)</w:t>
      </w:r>
    </w:p>
    <w:p>
      <w:pPr>
        <w:pStyle w:val="ListParagraph"/>
        <w:numPr>
          <w:ilvl w:val="0"/>
          <w:numId w:val="3"/>
        </w:numPr>
        <w:spacing w:after="60"/>
      </w:pPr>
      <w:r>
        <w:t xml:space="preserve">Browser-Cache und Cookies löschen, alle Browser-Sitzungen schließen.</w:t>
      </w:r>
    </w:p>
    <w:p>
      <w:pPr>
        <w:pStyle w:val="ListParagraph"/>
        <w:numPr>
          <w:ilvl w:val="0"/>
          <w:numId w:val="3"/>
        </w:numPr>
        <w:spacing w:after="60"/>
      </w:pPr>
      <w:r>
        <w:t xml:space="preserve">Gruppennummer ermitteln: Windows-Start → </w:t>
      </w:r>
      <w:r>
        <w:rPr>
          <w:b/>
          <w:bCs/>
        </w:rPr>
        <w:t xml:space="preserve">Expand</w:t>
      </w:r>
      <w:r>
        <w:t xml:space="preserve"> (☰) → Benutzer </w:t>
      </w:r>
      <w:r>
        <w:rPr>
          <w:b/>
          <w:bCs/>
        </w:rPr>
        <w:t xml:space="preserve">train-##</w:t>
      </w:r>
      <w:r>
        <w:t xml:space="preserve">; die beiden Ziffern = Gruppennummer (= letzte 2 Ziffern von </w:t>
      </w:r>
      <w:r>
        <w:rPr>
          <w:b/>
          <w:bCs/>
        </w:rPr>
        <w:t xml:space="preserve">TS4FI-##</w:t>
      </w:r>
      <w:r>
        <w:t xml:space="preserve">).</w:t>
      </w:r>
    </w:p>
    <w:p>
      <w:pPr>
        <w:pStyle w:val="ListParagraph"/>
        <w:numPr>
          <w:ilvl w:val="0"/>
          <w:numId w:val="3"/>
        </w:numPr>
        <w:spacing w:after="60"/>
      </w:pPr>
      <w:r>
        <w:t xml:space="preserve">SAP Fiori: Windows-Startmenü → „T41" suchen. SAP GUI: SAP Logon → T41 (bei Bedarf Workspaces → Local).</w:t>
      </w:r>
    </w:p>
    <w:p>
      <w:pPr>
        <w:pStyle w:val="ListParagraph"/>
        <w:numPr>
          <w:ilvl w:val="0"/>
          <w:numId w:val="3"/>
        </w:numPr>
        <w:spacing w:after="60"/>
      </w:pPr>
      <w:r>
        <w:t xml:space="preserve">Anmeldung mit </w:t>
      </w:r>
      <w:r>
        <w:rPr>
          <w:b/>
          <w:bCs/>
        </w:rPr>
        <w:t xml:space="preserve">TS4FI-##</w:t>
      </w:r>
      <w:r>
        <w:t xml:space="preserve"> / </w:t>
      </w:r>
      <w:r>
        <w:rPr>
          <w:b/>
          <w:bCs/>
        </w:rPr>
        <w:t xml:space="preserve">Welcome1</w:t>
      </w:r>
      <w:r>
        <w:t xml:space="preserve">.</w:t>
      </w:r>
    </w:p>
    <w:p>
      <w:pPr>
        <w:pStyle w:val="ListParagraph"/>
        <w:numPr>
          <w:ilvl w:val="0"/>
          <w:numId w:val="3"/>
        </w:numPr>
        <w:spacing w:after="60"/>
      </w:pPr>
      <w:r>
        <w:t xml:space="preserve">Apps im Launchpad über die Suche (Lupe) per Namen finden. Customizing im SAP GUI über </w:t>
      </w:r>
      <w:r>
        <w:rPr>
          <w:rFonts w:ascii="Consolas" w:cs="Consolas" w:eastAsia="Consolas" w:hAnsi="Consolas"/>
          <w:b/>
          <w:bCs/>
          <w:color w:val="1F4E79"/>
        </w:rPr>
        <w:t xml:space="preserve">SPRO</w:t>
      </w:r>
      <w:r>
        <w:t xml:space="preserve"> → </w:t>
      </w:r>
      <w:r>
        <w:rPr>
          <w:b/>
          <w:bCs/>
        </w:rPr>
        <w:t xml:space="preserve">SAP Reference IMG</w:t>
      </w:r>
      <w:r>
        <w:t xml:space="preserve">.</w:t>
      </w:r>
    </w:p>
    <w:p>
      <w:pPr>
        <w:pStyle w:val="ListParagraph"/>
        <w:numPr>
          <w:ilvl w:val="0"/>
          <w:numId w:val="3"/>
        </w:numPr>
        <w:spacing w:after="60"/>
      </w:pPr>
      <w:r>
        <w:t xml:space="preserve">Vor jedem Buchen </w:t>
      </w:r>
      <w:r>
        <w:rPr>
          <w:b/>
          <w:bCs/>
        </w:rPr>
        <w:t xml:space="preserve">Simulate</w:t>
      </w:r>
      <w:r>
        <w:t xml:space="preserve"> wählen und prüfen; auf den geforderten Buchungskreis (TA## bzw. GR##) achten.</w:t>
      </w:r>
    </w:p>
    <w:p>
      <w:pPr>
        <w:pStyle w:val="ListParagraph"/>
        <w:numPr>
          <w:ilvl w:val="0"/>
          <w:numId w:val="3"/>
        </w:numPr>
        <w:spacing w:after="60"/>
      </w:pPr>
      <w:r>
        <w:t xml:space="preserve">Am Ende im Prüfungs-Tab </w:t>
      </w:r>
      <w:r>
        <w:rPr>
          <w:b/>
          <w:bCs/>
        </w:rPr>
        <w:t xml:space="preserve">Confirm completion</w:t>
      </w:r>
      <w:r>
        <w:t xml:space="preserve"> wählen.</w:t>
      </w:r>
    </w:p>
    <w:p>
      <w:pPr>
        <w:pBdr>
          <w:left w:val="single" w:color="7030A0" w:sz="24" w:space="6"/>
        </w:pBdr>
        <w:shd w:fill="F3E8FA" w:color="auto" w:val="clear"/>
        <w:spacing w:after="120" w:before="120"/>
        <w:ind w:left="120" w:right="120"/>
      </w:pPr>
      <w:r>
        <w:rPr>
          <w:b/>
          <w:bCs/>
          <w:color w:val="7030A0"/>
        </w:rPr>
        <w:t xml:space="preserve">Vergleichbare Übung in den Schulungsunterlagen: </w:t>
      </w:r>
      <w:r>
        <w:t xml:space="preserve">Anmeldung und Navigation: </w:t>
      </w:r>
      <w:r>
        <w:rPr>
          <w:b/>
          <w:bCs/>
        </w:rPr>
        <w:t xml:space="preserve">S4F12</w:t>
      </w:r>
      <w:r>
        <w:t xml:space="preserve">, Übung 1 „Auf dem SAP Fiori Launchpad navigieren", S. 19 (PDF 27); Anmeldung am SAP GUI: </w:t>
      </w:r>
      <w:r>
        <w:rPr>
          <w:b/>
          <w:bCs/>
        </w:rPr>
        <w:t xml:space="preserve">S4F12</w:t>
      </w:r>
      <w:r>
        <w:t xml:space="preserve">, Übung 2 „Einen Buchungskreis anlegen", S. 33 (PDF 41) – Schritt 1</w:t>
      </w:r>
    </w:p>
    <w:p>
      <w:r>
        <w:br w:type="page"/>
      </w:r>
    </w:p>
    <w:p>
      <w:pPr>
        <w:pStyle w:val="Heading1"/>
      </w:pPr>
      <w:r>
        <w:t xml:space="preserve">Task 3: Create a new Document Type</w:t>
      </w:r>
    </w:p>
    <w:p>
      <w:pPr>
        <w:pStyle w:val="Heading2"/>
      </w:pPr>
      <w:r>
        <w:t xml:space="preserve">Schritt 3.1 – Belegart ## anlegen</w:t>
      </w:r>
    </w:p>
    <w:p>
      <w:pPr>
        <w:pBdr>
          <w:left w:val="single" w:color="7F7F7F" w:sz="24" w:space="6"/>
        </w:pBdr>
        <w:shd w:fill="EDEDED" w:color="auto" w:val="clear"/>
        <w:spacing w:after="120" w:before="120"/>
        <w:ind w:left="120" w:right="120"/>
      </w:pPr>
      <w:r>
        <w:rPr>
          <w:b/>
          <w:bCs/>
          <w:color w:val="7F7F7F"/>
        </w:rPr>
        <w:t xml:space="preserve">Aufgabe (Original): </w:t>
      </w:r>
      <w:r>
        <w:t xml:space="preserve">Neue Belegart für TA## exklusiv für Mautgebühren der RTA, Code ##, Bezeichnung „Toll Fees ##". Storno mit Belegart AB. Manuelle Eingabe vorübergehend erlaubt. Das Interface füllt künftig den Belegkopftext mit ##.</w:t>
      </w:r>
    </w:p>
    <w:p>
      <w:pPr>
        <w:pBdr>
          <w:left w:val="single" w:color="7030A0" w:sz="24" w:space="6"/>
        </w:pBdr>
        <w:shd w:fill="F3E8FA" w:color="auto" w:val="clear"/>
        <w:spacing w:after="120" w:before="120"/>
        <w:ind w:left="120" w:right="120"/>
      </w:pPr>
      <w:r>
        <w:rPr>
          <w:b/>
          <w:bCs/>
          <w:color w:val="7030A0"/>
        </w:rPr>
        <w:t xml:space="preserve">Vergleichbare Übung in den Schulungsunterlagen: </w:t>
      </w:r>
      <w:r>
        <w:rPr>
          <w:b/>
          <w:bCs/>
        </w:rPr>
        <w:t xml:space="preserve">S4F12</w:t>
      </w:r>
      <w:r>
        <w:t xml:space="preserve">, Übung 12 „Einen Nummernkreis und eine Belegart anlegen", S. 215–217 (PDF 223–225) – Lösung Schritt 2, S. 217: neue Belegart ##, Stornobelegart AB, erlaubte Kontoarten Lieferant + Sachkonto, Mussfeld im Belegkopf</w:t>
      </w:r>
    </w:p>
    <w:p>
      <w:pPr>
        <w:pBdr>
          <w:left w:val="single" w:color="F0AB00" w:sz="24" w:space="6"/>
        </w:pBdr>
        <w:shd w:fill="FFF4D6" w:color="auto" w:val="clear"/>
        <w:spacing w:after="120" w:before="120"/>
        <w:ind w:left="120" w:right="120"/>
      </w:pPr>
      <w:r>
        <w:rPr>
          <w:b/>
          <w:bCs/>
          <w:color w:val="F0AB00"/>
        </w:rPr>
        <w:t xml:space="preserve">Transaktion / App: </w:t>
      </w:r>
      <w:r>
        <w:rPr>
          <w:rFonts w:ascii="Consolas" w:cs="Consolas" w:eastAsia="Consolas" w:hAnsi="Consolas"/>
          <w:b/>
          <w:bCs/>
          <w:color w:val="1F4E79"/>
        </w:rPr>
        <w:t xml:space="preserve">OBA7</w:t>
      </w:r>
      <w:r>
        <w:t xml:space="preserve"> – IMG: Financial Accounting → Financial Accounting Global Settings → Document → Document Types → Define Document Types for Entry View (Schulung: Finanzwesen → Grundeinstellungen Finanzwesen → Beleg → Belegarten → Belegarten definieren).</w:t>
      </w:r>
    </w:p>
    <w:p>
      <w:pPr>
        <w:pStyle w:val="ListParagraph"/>
        <w:numPr>
          <w:ilvl w:val="0"/>
          <w:numId w:val="4"/>
        </w:numPr>
        <w:spacing w:after="60"/>
      </w:pPr>
      <w:r>
        <w:rPr>
          <w:rFonts w:ascii="Consolas" w:cs="Consolas" w:eastAsia="Consolas" w:hAnsi="Consolas"/>
          <w:b/>
          <w:bCs/>
          <w:color w:val="1F4E79"/>
        </w:rPr>
        <w:t xml:space="preserve">SPRO</w:t>
      </w:r>
      <w:r>
        <w:t xml:space="preserve"> → SAP Reference IMG → obigen Pfad öffnen (oder Transaktion </w:t>
      </w:r>
      <w:r>
        <w:rPr>
          <w:rFonts w:ascii="Consolas" w:cs="Consolas" w:eastAsia="Consolas" w:hAnsi="Consolas"/>
          <w:b/>
          <w:bCs/>
          <w:color w:val="1F4E79"/>
        </w:rPr>
        <w:t xml:space="preserve">OBA7</w:t>
      </w:r>
      <w:r>
        <w:t xml:space="preserve">).</w:t>
      </w:r>
    </w:p>
    <w:p>
      <w:pPr>
        <w:pStyle w:val="ListParagraph"/>
        <w:numPr>
          <w:ilvl w:val="0"/>
          <w:numId w:val="4"/>
        </w:numPr>
        <w:spacing w:after="60"/>
      </w:pPr>
      <w:r>
        <w:rPr>
          <w:b/>
          <w:bCs/>
        </w:rPr>
        <w:t xml:space="preserve">New Entries</w:t>
      </w:r>
      <w:r>
        <w:t xml:space="preserve"> (Neue Einträge) wählen – wie in der Schulung S4F12 Ü12, Schritt 2 b).</w:t>
      </w:r>
    </w:p>
    <w:p>
      <w:pPr>
        <w:pStyle w:val="ListParagraph"/>
        <w:numPr>
          <w:ilvl w:val="0"/>
          <w:numId w:val="4"/>
        </w:numPr>
        <w:spacing w:after="60"/>
      </w:pPr>
      <w:r>
        <w:t xml:space="preserve">Folgende Daten erfassen (Struktur analog Tabelle S4F12 S. 217):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438"/>
      </w:tblGrid>
      <w:tr>
        <w:trPr>
          <w:tblHeader/>
        </w:trPr>
        <w:tc>
          <w:tcPr>
            <w:tcW w:type="dxa" w:w="2600"/>
            <w:tcBorders>
              <w:top w:val="single" w:color="A6A6A6" w:sz="4"/>
              <w:left w:val="single" w:color="A6A6A6" w:sz="4"/>
              <w:bottom w:val="single" w:color="A6A6A6" w:sz="4"/>
              <w:right w:val="single" w:color="A6A6A6" w:sz="4"/>
            </w:tcBorders>
            <w:shd w:fill="F0AB00" w:color="auto" w:val="clear"/>
            <w:tcMar>
              <w:top w:type="dxa" w:w="60"/>
              <w:left w:type="dxa" w:w="100"/>
              <w:bottom w:type="dxa" w:w="60"/>
              <w:right w:type="dxa" w:w="100"/>
            </w:tcMar>
          </w:tcPr>
          <w:p>
            <w:r>
              <w:rPr>
                <w:b/>
                <w:bCs/>
              </w:rPr>
              <w:t xml:space="preserve">Feld (EN / DE laut Schulung)</w:t>
            </w:r>
          </w:p>
        </w:tc>
        <w:tc>
          <w:tcPr>
            <w:tcW w:type="dxa" w:w="3600"/>
            <w:tcBorders>
              <w:top w:val="single" w:color="A6A6A6" w:sz="4"/>
              <w:left w:val="single" w:color="A6A6A6" w:sz="4"/>
              <w:bottom w:val="single" w:color="A6A6A6" w:sz="4"/>
              <w:right w:val="single" w:color="A6A6A6" w:sz="4"/>
            </w:tcBorders>
            <w:shd w:fill="F0AB00" w:color="auto" w:val="clear"/>
            <w:tcMar>
              <w:top w:type="dxa" w:w="60"/>
              <w:left w:type="dxa" w:w="100"/>
              <w:bottom w:type="dxa" w:w="60"/>
              <w:right w:type="dxa" w:w="100"/>
            </w:tcMar>
          </w:tcPr>
          <w:p>
            <w:r>
              <w:rPr>
                <w:b/>
                <w:bCs/>
              </w:rPr>
              <w:t xml:space="preserve">Wert Prüfung</w:t>
            </w:r>
          </w:p>
        </w:tc>
        <w:tc>
          <w:tcPr>
            <w:tcW w:type="dxa" w:w="3438"/>
            <w:tcBorders>
              <w:top w:val="single" w:color="A6A6A6" w:sz="4"/>
              <w:left w:val="single" w:color="A6A6A6" w:sz="4"/>
              <w:bottom w:val="single" w:color="A6A6A6" w:sz="4"/>
              <w:right w:val="single" w:color="A6A6A6" w:sz="4"/>
            </w:tcBorders>
            <w:shd w:fill="F0AB00" w:color="auto" w:val="clear"/>
            <w:tcMar>
              <w:top w:type="dxa" w:w="60"/>
              <w:left w:type="dxa" w:w="100"/>
              <w:bottom w:type="dxa" w:w="60"/>
              <w:right w:type="dxa" w:w="100"/>
            </w:tcMar>
          </w:tcPr>
          <w:p>
            <w:r>
              <w:rPr>
                <w:b/>
                <w:bCs/>
              </w:rPr>
              <w:t xml:space="preserve">Wert in der Schulung</w:t>
            </w:r>
          </w:p>
        </w:tc>
      </w:tr>
      <w:tr>
        <w:trPr>
          <w:tblHeader w:val="false"/>
        </w:trPr>
        <w:tc>
          <w:tcPr>
            <w:tcW w:type="dxa" w:w="2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t xml:space="preserve">Document Type (Belegart)</w:t>
            </w:r>
          </w:p>
        </w:tc>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onsolas" w:cs="Consolas" w:eastAsia="Consolas" w:hAnsi="Consolas"/>
                <w:b/>
                <w:bCs/>
                <w:color w:val="1F4E79"/>
              </w:rPr>
              <w:t xml:space="preserve">##</w:t>
            </w:r>
          </w:p>
        </w:tc>
        <w:tc>
          <w:tcPr>
            <w:tcW w:type="dxa" w:w="3438"/>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w:t>
            </w:r>
          </w:p>
        </w:tc>
      </w:tr>
      <w:tr>
        <w:trPr>
          <w:tblHeader w:val="false"/>
        </w:trPr>
        <w:tc>
          <w:tcPr>
            <w:tcW w:type="dxa" w:w="2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t xml:space="preserve">Number range (Nummernkreis)</w:t>
            </w:r>
          </w:p>
        </w:tc>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Nummer aus Schritt 3.2 (z. B. </w:t>
            </w:r>
            <w:r>
              <w:rPr>
                <w:rFonts w:ascii="Consolas" w:cs="Consolas" w:eastAsia="Consolas" w:hAnsi="Consolas"/>
                <w:b/>
                <w:bCs/>
                <w:color w:val="1F4E79"/>
              </w:rPr>
              <w:t xml:space="preserve">A1</w:t>
            </w:r>
            <w:r>
              <w:t xml:space="preserve">)</w:t>
            </w:r>
          </w:p>
        </w:tc>
        <w:tc>
          <w:tcPr>
            <w:tcW w:type="dxa" w:w="3438"/>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86</w:t>
            </w:r>
          </w:p>
        </w:tc>
      </w:tr>
      <w:tr>
        <w:trPr>
          <w:tblHeader w:val="false"/>
        </w:trPr>
        <w:tc>
          <w:tcPr>
            <w:tcW w:type="dxa" w:w="2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t xml:space="preserve">Reverse DocumentType (Stornobelegart)</w:t>
            </w:r>
          </w:p>
        </w:tc>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onsolas" w:cs="Consolas" w:eastAsia="Consolas" w:hAnsi="Consolas"/>
                <w:b/>
                <w:bCs/>
                <w:color w:val="1F4E79"/>
              </w:rPr>
              <w:t xml:space="preserve">AB</w:t>
            </w:r>
          </w:p>
        </w:tc>
        <w:tc>
          <w:tcPr>
            <w:tcW w:type="dxa" w:w="3438"/>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AB (Buchhaltungsbeleg)</w:t>
            </w:r>
          </w:p>
        </w:tc>
      </w:tr>
      <w:tr>
        <w:trPr>
          <w:tblHeader w:val="false"/>
        </w:trPr>
        <w:tc>
          <w:tcPr>
            <w:tcW w:type="dxa" w:w="2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t xml:space="preserve">Account types allowed: Assets (Aktiva)</w:t>
            </w:r>
          </w:p>
        </w:tc>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nicht markieren</w:t>
            </w:r>
          </w:p>
        </w:tc>
        <w:tc>
          <w:tcPr>
            <w:tcW w:type="dxa" w:w="3438"/>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nicht markieren</w:t>
            </w:r>
          </w:p>
        </w:tc>
      </w:tr>
      <w:tr>
        <w:trPr>
          <w:tblHeader w:val="false"/>
        </w:trPr>
        <w:tc>
          <w:tcPr>
            <w:tcW w:type="dxa" w:w="2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t xml:space="preserve">Customer (Kunde)</w:t>
            </w:r>
          </w:p>
        </w:tc>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nicht markieren</w:t>
            </w:r>
          </w:p>
        </w:tc>
        <w:tc>
          <w:tcPr>
            <w:tcW w:type="dxa" w:w="3438"/>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nicht markieren</w:t>
            </w:r>
          </w:p>
        </w:tc>
      </w:tr>
      <w:tr>
        <w:trPr>
          <w:tblHeader w:val="false"/>
        </w:trPr>
        <w:tc>
          <w:tcPr>
            <w:tcW w:type="dxa" w:w="2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t xml:space="preserve">Vendor (Lieferant)</w:t>
            </w:r>
          </w:p>
        </w:tc>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bCs/>
              </w:rPr>
              <w:t xml:space="preserve">markieren</w:t>
            </w:r>
          </w:p>
        </w:tc>
        <w:tc>
          <w:tcPr>
            <w:tcW w:type="dxa" w:w="3438"/>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auswählen</w:t>
            </w:r>
          </w:p>
        </w:tc>
      </w:tr>
      <w:tr>
        <w:trPr>
          <w:tblHeader w:val="false"/>
        </w:trPr>
        <w:tc>
          <w:tcPr>
            <w:tcW w:type="dxa" w:w="2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t xml:space="preserve">Material</w:t>
            </w:r>
          </w:p>
        </w:tc>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nicht markieren</w:t>
            </w:r>
          </w:p>
        </w:tc>
        <w:tc>
          <w:tcPr>
            <w:tcW w:type="dxa" w:w="3438"/>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nicht markieren</w:t>
            </w:r>
          </w:p>
        </w:tc>
      </w:tr>
      <w:tr>
        <w:trPr>
          <w:tblHeader w:val="false"/>
        </w:trPr>
        <w:tc>
          <w:tcPr>
            <w:tcW w:type="dxa" w:w="2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t xml:space="preserve">G/L account (Sachkonto)</w:t>
            </w:r>
          </w:p>
        </w:tc>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bCs/>
              </w:rPr>
              <w:t xml:space="preserve">markieren</w:t>
            </w:r>
          </w:p>
        </w:tc>
        <w:tc>
          <w:tcPr>
            <w:tcW w:type="dxa" w:w="3438"/>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auswählen</w:t>
            </w:r>
          </w:p>
        </w:tc>
      </w:tr>
      <w:tr>
        <w:trPr>
          <w:tblHeader w:val="false"/>
        </w:trPr>
        <w:tc>
          <w:tcPr>
            <w:tcW w:type="dxa" w:w="2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t xml:space="preserve">Secondary costs (Sekundärkosten)</w:t>
            </w:r>
          </w:p>
        </w:tc>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nicht markieren</w:t>
            </w:r>
          </w:p>
        </w:tc>
        <w:tc>
          <w:tcPr>
            <w:tcW w:type="dxa" w:w="3438"/>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nicht markieren</w:t>
            </w:r>
          </w:p>
        </w:tc>
      </w:tr>
      <w:tr>
        <w:trPr>
          <w:tblHeader w:val="false"/>
        </w:trPr>
        <w:tc>
          <w:tcPr>
            <w:tcW w:type="dxa" w:w="2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t xml:space="preserve">Required during document entry: Document header text (Belegkopftext)</w:t>
            </w:r>
          </w:p>
        </w:tc>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bCs/>
              </w:rPr>
              <w:t xml:space="preserve">markieren</w:t>
            </w:r>
          </w:p>
        </w:tc>
        <w:tc>
          <w:tcPr>
            <w:tcW w:type="dxa" w:w="3438"/>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 (Schulung: Referenznummer)</w:t>
            </w:r>
          </w:p>
        </w:tc>
      </w:tr>
      <w:tr>
        <w:trPr>
          <w:tblHeader w:val="false"/>
        </w:trPr>
        <w:tc>
          <w:tcPr>
            <w:tcW w:type="dxa" w:w="2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t xml:space="preserve">Control data: Batch input only (Nur Batch-Input)</w:t>
            </w:r>
          </w:p>
        </w:tc>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bCs/>
              </w:rPr>
              <w:t xml:space="preserve">nicht</w:t>
            </w:r>
            <w:r>
              <w:t xml:space="preserve"> markieren</w:t>
            </w:r>
          </w:p>
        </w:tc>
        <w:tc>
          <w:tcPr>
            <w:tcW w:type="dxa" w:w="3438"/>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w:t>
            </w:r>
          </w:p>
        </w:tc>
      </w:tr>
    </w:tbl>
    <w:p>
      <w:pPr>
        <w:spacing w:after="60"/>
      </w:pPr>
    </w:p>
    <w:p>
      <w:pPr>
        <w:pStyle w:val="ListParagraph"/>
        <w:numPr>
          <w:ilvl w:val="0"/>
          <w:numId w:val="5"/>
        </w:numPr>
        <w:spacing w:after="60"/>
      </w:pPr>
      <w:r>
        <w:rPr>
          <w:b/>
          <w:bCs/>
        </w:rPr>
        <w:t xml:space="preserve">Save</w:t>
      </w:r>
      <w:r>
        <w:t xml:space="preserve">, mit </w:t>
      </w:r>
      <w:r>
        <w:rPr>
          <w:b/>
          <w:bCs/>
        </w:rPr>
        <w:t xml:space="preserve">Back</w:t>
      </w:r>
      <w:r>
        <w:t xml:space="preserve"> zur Übersicht zurück und in der Spalte </w:t>
      </w:r>
      <w:r>
        <w:rPr>
          <w:b/>
          <w:bCs/>
        </w:rPr>
        <w:t xml:space="preserve">Description</w:t>
      </w:r>
      <w:r>
        <w:t xml:space="preserve"> (Bezeichnung) neben Belegart ## den Text </w:t>
      </w:r>
      <w:r>
        <w:rPr>
          <w:rFonts w:ascii="Consolas" w:cs="Consolas" w:eastAsia="Consolas" w:hAnsi="Consolas"/>
          <w:b/>
          <w:bCs/>
          <w:color w:val="1F4E79"/>
        </w:rPr>
        <w:t xml:space="preserve">Toll Fees ##</w:t>
      </w:r>
      <w:r>
        <w:t xml:space="preserve"> eintragen (Schulung Schritt 2 f): „Autor.Aufwend.##"). </w:t>
      </w:r>
      <w:r>
        <w:rPr>
          <w:b/>
          <w:bCs/>
        </w:rPr>
        <w:t xml:space="preserve">Save</w:t>
      </w:r>
      <w:r>
        <w:t xml:space="preserve">.</w:t>
      </w:r>
    </w:p>
    <w:p>
      <w:pPr>
        <w:pBdr>
          <w:left w:val="single" w:color="2E75B6" w:sz="24" w:space="6"/>
        </w:pBdr>
        <w:shd w:fill="E8F1FB" w:color="auto" w:val="clear"/>
        <w:spacing w:after="120" w:before="120"/>
        <w:ind w:left="120" w:right="120"/>
      </w:pPr>
      <w:r>
        <w:rPr>
          <w:b/>
          <w:bCs/>
          <w:color w:val="2E75B6"/>
        </w:rPr>
        <w:t xml:space="preserve">Hinweis: </w:t>
      </w:r>
      <w:r>
        <w:t xml:space="preserve">Die Schulung setzt bei „Notwendig bei Belegerfassung" die </w:t>
      </w:r>
      <w:r>
        <w:rPr>
          <w:b/>
          <w:bCs/>
        </w:rPr>
        <w:t xml:space="preserve">Referenznummer</w:t>
      </w:r>
      <w:r>
        <w:t xml:space="preserve">; in der Prüfung soll das Interface den </w:t>
      </w:r>
      <w:r>
        <w:rPr>
          <w:b/>
          <w:bCs/>
        </w:rPr>
        <w:t xml:space="preserve">Belegkopftext</w:t>
      </w:r>
      <w:r>
        <w:t xml:space="preserve"> füllen – daher hier das Kennzeichen „Document header text". Laut S4F12, Lektion „Konfigurieren von Kopf und Positionen in Belegen des Finanzwesens (FI)", S. 212 (PDF 220): „Wenn Sie Referenznummer und Belegkopftext auswählen, werden diese Felder zu Mussfeldern im Belegkopf." Das erklärt auch den Hinweis in Aufgabe 3.4 („If you are prompted to enter the document header text …").</w:t>
      </w:r>
    </w:p>
    <w:p>
      <w:pPr>
        <w:pBdr>
          <w:left w:val="single" w:color="2E75B6" w:sz="24" w:space="6"/>
        </w:pBdr>
        <w:shd w:fill="E8F1FB" w:color="auto" w:val="clear"/>
        <w:spacing w:after="120" w:before="120"/>
        <w:ind w:left="120" w:right="120"/>
      </w:pPr>
      <w:r>
        <w:rPr>
          <w:b/>
          <w:bCs/>
          <w:color w:val="2E75B6"/>
        </w:rPr>
        <w:t xml:space="preserve">Hinweis: </w:t>
      </w:r>
      <w:r>
        <w:t xml:space="preserve">Die Lektion S4F12 S. 211–212 listet weitere Steuerungsfelder der Belegart (Nettobelegart, </w:t>
      </w:r>
      <w:r>
        <w:rPr>
          <w:b/>
          <w:bCs/>
        </w:rPr>
        <w:t xml:space="preserve">Nur ein Debitor/Kreditor erlaubt</w:t>
      </w:r>
      <w:r>
        <w:t xml:space="preserve">, Negativbuchungen erlaubt, Gesellschaftsübergreifend buchen). Diese sind in der Aufgabe nicht gefordert und bleiben wie bei KR. Außerdem: „Die Belegart AB lässt Buchungen auf alle Kontoarten zu. Schränken Sie bei allen anderen Belegarten die Kontoarten ein" (S. 212) – bestätigt die Einschränkung auf Lieferant + Sachkonto.</w:t>
      </w:r>
    </w:p>
    <w:p>
      <w:pPr>
        <w:pBdr>
          <w:left w:val="single" w:color="BF8F00" w:sz="24" w:space="6"/>
        </w:pBdr>
        <w:shd w:fill="FFF2CC" w:color="auto" w:val="clear"/>
        <w:spacing w:after="120" w:before="120"/>
        <w:ind w:left="120" w:right="120"/>
      </w:pPr>
      <w:r>
        <w:rPr>
          <w:b/>
          <w:bCs/>
          <w:color w:val="BF8F00"/>
        </w:rPr>
        <w:t xml:space="preserve">Nicht in den Schulungsunterlagen – eigene SAP-Kenntnis: </w:t>
      </w:r>
      <w:r>
        <w:t xml:space="preserve">Das Kennzeichen </w:t>
      </w:r>
      <w:r>
        <w:rPr>
          <w:b/>
          <w:bCs/>
        </w:rPr>
        <w:t xml:space="preserve">Batch input only</w:t>
      </w:r>
      <w:r>
        <w:t xml:space="preserve"> kommt in den Unterlagen nicht vor. Wird es gesetzt, kann die Belegart nur per Batch-Input (Interface) verwendet werden. Da die manuelle Eingabe „vorübergehend erlaubt" sein soll, bleibt es leer; nach Fertigstellung des Interface würde es gesetzt.</w:t>
      </w:r>
    </w:p>
    <w:p>
      <w:pPr>
        <w:pStyle w:val="Heading2"/>
      </w:pPr>
      <w:r>
        <w:t xml:space="preserve">Schritt 3.2 – Nummernkreis und Klassifizierung für die Belegaufteilung</w:t>
      </w:r>
    </w:p>
    <w:p>
      <w:pPr>
        <w:pBdr>
          <w:left w:val="single" w:color="7F7F7F" w:sz="24" w:space="6"/>
        </w:pBdr>
        <w:shd w:fill="EDEDED" w:color="auto" w:val="clear"/>
        <w:spacing w:after="120" w:before="120"/>
        <w:ind w:left="120" w:right="120"/>
      </w:pPr>
      <w:r>
        <w:rPr>
          <w:b/>
          <w:bCs/>
          <w:color w:val="7F7F7F"/>
        </w:rPr>
        <w:t xml:space="preserve">Aufgabe (Original): </w:t>
      </w:r>
      <w:r>
        <w:t xml:space="preserve">Nummernkreis für das laufende Jahr FEES##0000 – FEES##9999 (RTA-Nummer = SAP-Belegnummer). Nächste freie Position in der Folge A1 … A9, B1 … Z9. Danach Belegart ## für die Belegaufteilung wie KR klassifizieren.</w:t>
      </w:r>
    </w:p>
    <w:p>
      <w:pPr>
        <w:pStyle w:val="Heading3"/>
      </w:pPr>
      <w:r>
        <w:t xml:space="preserve">a) Nummernkreisintervall</w:t>
      </w:r>
    </w:p>
    <w:p>
      <w:pPr>
        <w:pBdr>
          <w:left w:val="single" w:color="7030A0" w:sz="24" w:space="6"/>
        </w:pBdr>
        <w:shd w:fill="F3E8FA" w:color="auto" w:val="clear"/>
        <w:spacing w:after="120" w:before="120"/>
        <w:ind w:left="120" w:right="120"/>
      </w:pPr>
      <w:r>
        <w:rPr>
          <w:b/>
          <w:bCs/>
          <w:color w:val="7030A0"/>
        </w:rPr>
        <w:t xml:space="preserve">Vergleichbare Übung in den Schulungsunterlagen: </w:t>
      </w:r>
      <w:r>
        <w:rPr>
          <w:b/>
          <w:bCs/>
        </w:rPr>
        <w:t xml:space="preserve">S4F12</w:t>
      </w:r>
      <w:r>
        <w:t xml:space="preserve">, Übung 12 „Einen Nummernkreis und eine Belegart anlegen", S. 216–217 (PDF 224–225) – Lösung Schritt 1 a)–h): Intervall einfügen mit Nr., Jahr, Von/Bis, Kennzeichen „Extern."</w:t>
      </w:r>
    </w:p>
    <w:p>
      <w:pPr>
        <w:pBdr>
          <w:left w:val="single" w:color="F0AB00" w:sz="24" w:space="6"/>
        </w:pBdr>
        <w:shd w:fill="FFF4D6" w:color="auto" w:val="clear"/>
        <w:spacing w:after="120" w:before="120"/>
        <w:ind w:left="120" w:right="120"/>
      </w:pPr>
      <w:r>
        <w:rPr>
          <w:b/>
          <w:bCs/>
          <w:color w:val="F0AB00"/>
        </w:rPr>
        <w:t xml:space="preserve">Transaktion / App: </w:t>
      </w:r>
      <w:r>
        <w:rPr>
          <w:rFonts w:ascii="Consolas" w:cs="Consolas" w:eastAsia="Consolas" w:hAnsi="Consolas"/>
          <w:b/>
          <w:bCs/>
          <w:color w:val="1F4E79"/>
        </w:rPr>
        <w:t xml:space="preserve">FBN1</w:t>
      </w:r>
      <w:r>
        <w:t xml:space="preserve"> – IMG: Financial Accounting → Financial Accounting Global Settings → Document → Document Number Ranges → Document Number Ranges for Entry View → Define Document Number Ranges for Entry View (Schulung: … → Belegnummernkreise → Belegnummernkreise definieren).</w:t>
      </w:r>
    </w:p>
    <w:p>
      <w:pPr>
        <w:pStyle w:val="ListParagraph"/>
        <w:numPr>
          <w:ilvl w:val="0"/>
          <w:numId w:val="6"/>
        </w:numPr>
        <w:spacing w:after="60"/>
      </w:pPr>
      <w:r>
        <w:t xml:space="preserve">IMG-Aktivität öffnen, </w:t>
      </w:r>
      <w:r>
        <w:rPr>
          <w:b/>
          <w:bCs/>
        </w:rPr>
        <w:t xml:space="preserve">Company Code</w:t>
      </w:r>
      <w:r>
        <w:t xml:space="preserve"> </w:t>
      </w:r>
      <w:r>
        <w:rPr>
          <w:rFonts w:ascii="Consolas" w:cs="Consolas" w:eastAsia="Consolas" w:hAnsi="Consolas"/>
          <w:b/>
          <w:bCs/>
          <w:color w:val="1F4E79"/>
        </w:rPr>
        <w:t xml:space="preserve">TA##</w:t>
      </w:r>
      <w:r>
        <w:t xml:space="preserve"> eingeben (Schulung 1 b).</w:t>
      </w:r>
    </w:p>
    <w:p>
      <w:pPr>
        <w:pStyle w:val="ListParagraph"/>
        <w:numPr>
          <w:ilvl w:val="0"/>
          <w:numId w:val="6"/>
        </w:numPr>
        <w:spacing w:after="60"/>
      </w:pPr>
      <w:r>
        <w:t xml:space="preserve">Zuerst </w:t>
      </w:r>
      <w:r>
        <w:rPr>
          <w:b/>
          <w:bCs/>
        </w:rPr>
        <w:t xml:space="preserve">Intervals</w:t>
      </w:r>
      <w:r>
        <w:t xml:space="preserve"> (Anzeigen) wählen und die vorhandenen Nummern (Spalte </w:t>
      </w:r>
      <w:r>
        <w:rPr>
          <w:b/>
          <w:bCs/>
        </w:rPr>
        <w:t xml:space="preserve">No.</w:t>
      </w:r>
      <w:r>
        <w:t xml:space="preserve">) prüfen: erste freie Nummer der Folge A1, A2 … A9, B1 … Z9 ermitteln.</w:t>
      </w:r>
    </w:p>
    <w:p>
      <w:pPr>
        <w:pStyle w:val="ListParagraph"/>
        <w:numPr>
          <w:ilvl w:val="0"/>
          <w:numId w:val="6"/>
        </w:numPr>
        <w:spacing w:after="60"/>
      </w:pPr>
      <w:r>
        <w:rPr>
          <w:b/>
          <w:bCs/>
        </w:rPr>
        <w:t xml:space="preserve">Change Intervals</w:t>
      </w:r>
      <w:r>
        <w:t xml:space="preserve"> (Intervalle ändern) → </w:t>
      </w:r>
      <w:r>
        <w:rPr>
          <w:b/>
          <w:bCs/>
        </w:rPr>
        <w:t xml:space="preserve">Insert Line</w:t>
      </w:r>
      <w:r>
        <w:t xml:space="preserve"> (Einfügen Zeile) – Schulung 1 c)–d).</w:t>
      </w:r>
    </w:p>
    <w:p>
      <w:pPr>
        <w:pStyle w:val="ListParagraph"/>
        <w:numPr>
          <w:ilvl w:val="0"/>
          <w:numId w:val="6"/>
        </w:numPr>
        <w:spacing w:after="60"/>
      </w:pPr>
      <w:r>
        <w:t xml:space="preserve">Daten erfassen (Schulung 1 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438"/>
      </w:tblGrid>
      <w:tr>
        <w:trPr>
          <w:tblHeader/>
        </w:trPr>
        <w:tc>
          <w:tcPr>
            <w:tcW w:type="dxa" w:w="2600"/>
            <w:tcBorders>
              <w:top w:val="single" w:color="A6A6A6" w:sz="4"/>
              <w:left w:val="single" w:color="A6A6A6" w:sz="4"/>
              <w:bottom w:val="single" w:color="A6A6A6" w:sz="4"/>
              <w:right w:val="single" w:color="A6A6A6" w:sz="4"/>
            </w:tcBorders>
            <w:shd w:fill="F0AB00" w:color="auto" w:val="clear"/>
            <w:tcMar>
              <w:top w:type="dxa" w:w="60"/>
              <w:left w:type="dxa" w:w="100"/>
              <w:bottom w:type="dxa" w:w="60"/>
              <w:right w:type="dxa" w:w="100"/>
            </w:tcMar>
          </w:tcPr>
          <w:p>
            <w:r>
              <w:rPr>
                <w:b/>
                <w:bCs/>
              </w:rPr>
              <w:t xml:space="preserve">Feld (EN / DE)</w:t>
            </w:r>
          </w:p>
        </w:tc>
        <w:tc>
          <w:tcPr>
            <w:tcW w:type="dxa" w:w="3600"/>
            <w:tcBorders>
              <w:top w:val="single" w:color="A6A6A6" w:sz="4"/>
              <w:left w:val="single" w:color="A6A6A6" w:sz="4"/>
              <w:bottom w:val="single" w:color="A6A6A6" w:sz="4"/>
              <w:right w:val="single" w:color="A6A6A6" w:sz="4"/>
            </w:tcBorders>
            <w:shd w:fill="F0AB00" w:color="auto" w:val="clear"/>
            <w:tcMar>
              <w:top w:type="dxa" w:w="60"/>
              <w:left w:type="dxa" w:w="100"/>
              <w:bottom w:type="dxa" w:w="60"/>
              <w:right w:type="dxa" w:w="100"/>
            </w:tcMar>
          </w:tcPr>
          <w:p>
            <w:r>
              <w:rPr>
                <w:b/>
                <w:bCs/>
              </w:rPr>
              <w:t xml:space="preserve">Wert Prüfung</w:t>
            </w:r>
          </w:p>
        </w:tc>
        <w:tc>
          <w:tcPr>
            <w:tcW w:type="dxa" w:w="3438"/>
            <w:tcBorders>
              <w:top w:val="single" w:color="A6A6A6" w:sz="4"/>
              <w:left w:val="single" w:color="A6A6A6" w:sz="4"/>
              <w:bottom w:val="single" w:color="A6A6A6" w:sz="4"/>
              <w:right w:val="single" w:color="A6A6A6" w:sz="4"/>
            </w:tcBorders>
            <w:shd w:fill="F0AB00" w:color="auto" w:val="clear"/>
            <w:tcMar>
              <w:top w:type="dxa" w:w="60"/>
              <w:left w:type="dxa" w:w="100"/>
              <w:bottom w:type="dxa" w:w="60"/>
              <w:right w:type="dxa" w:w="100"/>
            </w:tcMar>
          </w:tcPr>
          <w:p>
            <w:r>
              <w:rPr>
                <w:b/>
                <w:bCs/>
              </w:rPr>
              <w:t xml:space="preserve">Wert in der Schulung</w:t>
            </w:r>
          </w:p>
        </w:tc>
      </w:tr>
      <w:tr>
        <w:trPr>
          <w:tblHeader w:val="false"/>
        </w:trPr>
        <w:tc>
          <w:tcPr>
            <w:tcW w:type="dxa" w:w="2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t xml:space="preserve">No. (Nummernkreisnummer)</w:t>
            </w:r>
          </w:p>
        </w:tc>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nächste freie, z. B. </w:t>
            </w:r>
            <w:r>
              <w:rPr>
                <w:rFonts w:ascii="Consolas" w:cs="Consolas" w:eastAsia="Consolas" w:hAnsi="Consolas"/>
                <w:b/>
                <w:bCs/>
                <w:color w:val="1F4E79"/>
              </w:rPr>
              <w:t xml:space="preserve">A1</w:t>
            </w:r>
          </w:p>
        </w:tc>
        <w:tc>
          <w:tcPr>
            <w:tcW w:type="dxa" w:w="3438"/>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86</w:t>
            </w:r>
          </w:p>
        </w:tc>
      </w:tr>
      <w:tr>
        <w:trPr>
          <w:tblHeader w:val="false"/>
        </w:trPr>
        <w:tc>
          <w:tcPr>
            <w:tcW w:type="dxa" w:w="2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t xml:space="preserve">Year (Jahr)</w:t>
            </w:r>
          </w:p>
        </w:tc>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aktuelles Jahr</w:t>
            </w:r>
          </w:p>
        </w:tc>
        <w:tc>
          <w:tcPr>
            <w:tcW w:type="dxa" w:w="3438"/>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Aktuelles Jahr</w:t>
            </w:r>
          </w:p>
        </w:tc>
      </w:tr>
      <w:tr>
        <w:trPr>
          <w:tblHeader w:val="false"/>
        </w:trPr>
        <w:tc>
          <w:tcPr>
            <w:tcW w:type="dxa" w:w="2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t xml:space="preserve">From No. (von Nummer)</w:t>
            </w:r>
          </w:p>
        </w:tc>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onsolas" w:cs="Consolas" w:eastAsia="Consolas" w:hAnsi="Consolas"/>
                <w:b/>
                <w:bCs/>
                <w:color w:val="1F4E79"/>
              </w:rPr>
              <w:t xml:space="preserve">FEES##0000</w:t>
            </w:r>
          </w:p>
        </w:tc>
        <w:tc>
          <w:tcPr>
            <w:tcW w:type="dxa" w:w="3438"/>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8600000000</w:t>
            </w:r>
          </w:p>
        </w:tc>
      </w:tr>
      <w:tr>
        <w:trPr>
          <w:tblHeader w:val="false"/>
        </w:trPr>
        <w:tc>
          <w:tcPr>
            <w:tcW w:type="dxa" w:w="2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t xml:space="preserve">To Number (Bis Nummer)</w:t>
            </w:r>
          </w:p>
        </w:tc>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onsolas" w:cs="Consolas" w:eastAsia="Consolas" w:hAnsi="Consolas"/>
                <w:b/>
                <w:bCs/>
                <w:color w:val="1F4E79"/>
              </w:rPr>
              <w:t xml:space="preserve">FEES##9999</w:t>
            </w:r>
          </w:p>
        </w:tc>
        <w:tc>
          <w:tcPr>
            <w:tcW w:type="dxa" w:w="3438"/>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8699999999</w:t>
            </w:r>
          </w:p>
        </w:tc>
      </w:tr>
      <w:tr>
        <w:trPr>
          <w:tblHeader w:val="false"/>
        </w:trPr>
        <w:tc>
          <w:tcPr>
            <w:tcW w:type="dxa" w:w="2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t xml:space="preserve">Ext. (Extern.)</w:t>
            </w:r>
          </w:p>
        </w:tc>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bCs/>
              </w:rPr>
              <w:t xml:space="preserve">markieren</w:t>
            </w:r>
          </w:p>
        </w:tc>
        <w:tc>
          <w:tcPr>
            <w:tcW w:type="dxa" w:w="3438"/>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nicht markieren</w:t>
            </w:r>
          </w:p>
        </w:tc>
      </w:tr>
    </w:tbl>
    <w:p>
      <w:pPr>
        <w:spacing w:after="60"/>
      </w:pPr>
    </w:p>
    <w:p>
      <w:pPr>
        <w:pStyle w:val="ListParagraph"/>
        <w:numPr>
          <w:ilvl w:val="0"/>
          <w:numId w:val="7"/>
        </w:numPr>
        <w:spacing w:after="60"/>
      </w:pPr>
      <w:r>
        <w:t xml:space="preserve">Enter → </w:t>
      </w:r>
      <w:r>
        <w:rPr>
          <w:b/>
          <w:bCs/>
        </w:rPr>
        <w:t xml:space="preserve">Save</w:t>
      </w:r>
      <w:r>
        <w:t xml:space="preserve"> → Dialog „Transport number range intervals" mit </w:t>
      </w:r>
      <w:r>
        <w:rPr>
          <w:b/>
          <w:bCs/>
        </w:rPr>
        <w:t xml:space="preserve">Continue</w:t>
      </w:r>
      <w:r>
        <w:t xml:space="preserve"> (Enter) bestätigen (Schulung 1 f)–h).</w:t>
      </w:r>
    </w:p>
    <w:p>
      <w:pPr>
        <w:pStyle w:val="ListParagraph"/>
        <w:numPr>
          <w:ilvl w:val="0"/>
          <w:numId w:val="7"/>
        </w:numPr>
        <w:spacing w:after="60"/>
      </w:pPr>
      <w:r>
        <w:t xml:space="preserve">In </w:t>
      </w:r>
      <w:r>
        <w:rPr>
          <w:rFonts w:ascii="Consolas" w:cs="Consolas" w:eastAsia="Consolas" w:hAnsi="Consolas"/>
          <w:b/>
          <w:bCs/>
          <w:color w:val="1F4E79"/>
        </w:rPr>
        <w:t xml:space="preserve">OBA7</w:t>
      </w:r>
      <w:r>
        <w:t xml:space="preserve"> bei Belegart ## im Feld </w:t>
      </w:r>
      <w:r>
        <w:rPr>
          <w:b/>
          <w:bCs/>
        </w:rPr>
        <w:t xml:space="preserve">Number range</w:t>
      </w:r>
      <w:r>
        <w:t xml:space="preserve"> diese Nummer eintragen und sichern.</w:t>
      </w:r>
    </w:p>
    <w:p>
      <w:pPr>
        <w:pBdr>
          <w:left w:val="single" w:color="2E75B6" w:sz="24" w:space="6"/>
        </w:pBdr>
        <w:shd w:fill="E8F1FB" w:color="auto" w:val="clear"/>
        <w:spacing w:after="120" w:before="120"/>
        <w:ind w:left="120" w:right="120"/>
      </w:pPr>
      <w:r>
        <w:rPr>
          <w:b/>
          <w:bCs/>
          <w:color w:val="2E75B6"/>
        </w:rPr>
        <w:t xml:space="preserve">Hinweis: </w:t>
      </w:r>
      <w:r>
        <w:t xml:space="preserve">Abweichung zur Schulung: Dort wird interne Nummernvergabe verwendet („Extern." nicht markiert). Weil die RTA-Nummern übernommen werden, muss in der Prüfung </w:t>
      </w:r>
      <w:r>
        <w:rPr>
          <w:b/>
          <w:bCs/>
        </w:rPr>
        <w:t xml:space="preserve">Ext.</w:t>
      </w:r>
      <w:r>
        <w:t xml:space="preserve"> gesetzt sein.</w:t>
      </w:r>
    </w:p>
    <w:p>
      <w:pPr>
        <w:pBdr>
          <w:left w:val="single" w:color="7030A0" w:sz="24" w:space="6"/>
        </w:pBdr>
        <w:shd w:fill="F3E8FA" w:color="auto" w:val="clear"/>
        <w:spacing w:after="120" w:before="120"/>
        <w:ind w:left="120" w:right="120"/>
      </w:pPr>
      <w:r>
        <w:rPr>
          <w:b/>
          <w:bCs/>
          <w:color w:val="7030A0"/>
        </w:rPr>
        <w:t xml:space="preserve">Vergleichbare Übung in den Schulungsunterlagen: </w:t>
      </w:r>
      <w:r>
        <w:rPr>
          <w:b/>
          <w:bCs/>
        </w:rPr>
        <w:t xml:space="preserve">S4F12</w:t>
      </w:r>
      <w:r>
        <w:t xml:space="preserve">, Lektion „Konfigurieren von Kopf und Positionen in Belegen des Finanzwesens (FI)", S. 213–214 (PDF 221–222): „Bei der externen Nummernvergabe gibt der Benutzer die Nummer des Originalbelegs manuell ein, oder die Nummer wird automatisch aus einem anderen System übertragen … </w:t>
      </w:r>
      <w:r>
        <w:rPr>
          <w:b/>
          <w:bCs/>
        </w:rPr>
        <w:t xml:space="preserve">Die Nummern können alphanumerisch sein.</w:t>
      </w:r>
      <w:r>
        <w:t xml:space="preserve"> Der Belegnummernkreis muss für das Jahr definiert werden, in dem er verwendet wird." Option „Für jedes Geschäftsjahr" passt zur Vorgabe „Nummerierung ändert sich jedes Jahr" → Feld </w:t>
      </w:r>
      <w:r>
        <w:rPr>
          <w:b/>
          <w:bCs/>
        </w:rPr>
        <w:t xml:space="preserve">Year</w:t>
      </w:r>
      <w:r>
        <w:t xml:space="preserve"> = aktuelles Jahr (nicht 9999).</w:t>
      </w:r>
    </w:p>
    <w:p>
      <w:pPr>
        <w:pStyle w:val="Heading3"/>
      </w:pPr>
      <w:r>
        <w:t xml:space="preserve">b) Belegart für die Belegaufteilung klassifizieren</w:t>
      </w:r>
    </w:p>
    <w:p>
      <w:pPr>
        <w:pBdr>
          <w:left w:val="single" w:color="7030A0" w:sz="24" w:space="6"/>
        </w:pBdr>
        <w:shd w:fill="F3E8FA" w:color="auto" w:val="clear"/>
        <w:spacing w:after="120" w:before="120"/>
        <w:ind w:left="120" w:right="120"/>
      </w:pPr>
      <w:r>
        <w:rPr>
          <w:b/>
          <w:bCs/>
          <w:color w:val="7030A0"/>
        </w:rPr>
        <w:t xml:space="preserve">Vergleichbare Übung in den Schulungsunterlagen: </w:t>
      </w:r>
      <w:r>
        <w:rPr>
          <w:b/>
          <w:bCs/>
        </w:rPr>
        <w:t xml:space="preserve">S4F12</w:t>
      </w:r>
      <w:r>
        <w:t xml:space="preserve">, Übung 13 „Die Belegart für die Belegaufteilung klassifizieren", S. 219–220 (PDF 227–228) – Lösung a)–d): Vorfall 0300 (Kreditorenrechnung), Variante 0001 – entspricht den KR-Einstellungen</w:t>
      </w:r>
    </w:p>
    <w:p>
      <w:pPr>
        <w:pBdr>
          <w:left w:val="single" w:color="F0AB00" w:sz="24" w:space="6"/>
        </w:pBdr>
        <w:shd w:fill="FFF4D6" w:color="auto" w:val="clear"/>
        <w:spacing w:after="120" w:before="120"/>
        <w:ind w:left="120" w:right="120"/>
      </w:pPr>
      <w:r>
        <w:rPr>
          <w:b/>
          <w:bCs/>
          <w:color w:val="F0AB00"/>
        </w:rPr>
        <w:t xml:space="preserve">Transaktion / App: </w:t>
      </w:r>
      <w:r>
        <w:t xml:space="preserve">IMG: Financial Accounting → General Ledger Accounting → Business Transactions → Document Splitting → Classify Document Types for Document Splitting (Schulung: Finanzwesen → Hauptbuchhaltung → Geschäftsvorfälle → Belegaufteilung → Belegarten für Belegaufteilung klassifizieren; Transaktion </w:t>
      </w:r>
      <w:r>
        <w:rPr>
          <w:rFonts w:ascii="Consolas" w:cs="Consolas" w:eastAsia="Consolas" w:hAnsi="Consolas"/>
          <w:b/>
          <w:bCs/>
          <w:color w:val="1F4E79"/>
        </w:rPr>
        <w:t xml:space="preserve">GSP_VZ3</w:t>
      </w:r>
      <w:r>
        <w:t xml:space="preserve">).</w:t>
      </w:r>
    </w:p>
    <w:p>
      <w:pPr>
        <w:pStyle w:val="ListParagraph"/>
        <w:numPr>
          <w:ilvl w:val="0"/>
          <w:numId w:val="8"/>
        </w:numPr>
        <w:spacing w:after="60"/>
      </w:pPr>
      <w:r>
        <w:t xml:space="preserve">IMG-Aktivität öffnen.</w:t>
      </w:r>
    </w:p>
    <w:p>
      <w:pPr>
        <w:pStyle w:val="ListParagraph"/>
        <w:numPr>
          <w:ilvl w:val="0"/>
          <w:numId w:val="8"/>
        </w:numPr>
        <w:spacing w:after="60"/>
      </w:pPr>
      <w:r>
        <w:t xml:space="preserve">Zur Kontrolle mit </w:t>
      </w:r>
      <w:r>
        <w:rPr>
          <w:b/>
          <w:bCs/>
        </w:rPr>
        <w:t xml:space="preserve">Position…</w:t>
      </w:r>
      <w:r>
        <w:t xml:space="preserve"> die Belegart </w:t>
      </w:r>
      <w:r>
        <w:rPr>
          <w:b/>
          <w:bCs/>
        </w:rPr>
        <w:t xml:space="preserve">KR</w:t>
      </w:r>
      <w:r>
        <w:t xml:space="preserve"> anzeigen: Transaction </w:t>
      </w:r>
      <w:r>
        <w:rPr>
          <w:rFonts w:ascii="Consolas" w:cs="Consolas" w:eastAsia="Consolas" w:hAnsi="Consolas"/>
          <w:b/>
          <w:bCs/>
          <w:color w:val="1F4E79"/>
        </w:rPr>
        <w:t xml:space="preserve">0300</w:t>
      </w:r>
      <w:r>
        <w:t xml:space="preserve">, Variant </w:t>
      </w:r>
      <w:r>
        <w:rPr>
          <w:rFonts w:ascii="Consolas" w:cs="Consolas" w:eastAsia="Consolas" w:hAnsi="Consolas"/>
          <w:b/>
          <w:bCs/>
          <w:color w:val="1F4E79"/>
        </w:rPr>
        <w:t xml:space="preserve">0001</w:t>
      </w:r>
      <w:r>
        <w:t xml:space="preserve">.</w:t>
      </w:r>
    </w:p>
    <w:p>
      <w:pPr>
        <w:pStyle w:val="ListParagraph"/>
        <w:numPr>
          <w:ilvl w:val="0"/>
          <w:numId w:val="8"/>
        </w:numPr>
        <w:spacing w:after="60"/>
      </w:pPr>
      <w:r>
        <w:t xml:space="preserve">Mit </w:t>
      </w:r>
      <w:r>
        <w:rPr>
          <w:b/>
          <w:bCs/>
        </w:rPr>
        <w:t xml:space="preserve">Position…</w:t>
      </w:r>
      <w:r>
        <w:t xml:space="preserve"> die Belegart </w:t>
      </w:r>
      <w:r>
        <w:rPr>
          <w:rFonts w:ascii="Consolas" w:cs="Consolas" w:eastAsia="Consolas" w:hAnsi="Consolas"/>
          <w:b/>
          <w:bCs/>
          <w:color w:val="1F4E79"/>
        </w:rPr>
        <w:t xml:space="preserve">##</w:t>
      </w:r>
      <w:r>
        <w:t xml:space="preserve"> auswählen (bzw. </w:t>
      </w:r>
      <w:r>
        <w:rPr>
          <w:b/>
          <w:bCs/>
        </w:rPr>
        <w:t xml:space="preserve">New Entries</w:t>
      </w:r>
      <w:r>
        <w:t xml:space="preserve">).</w:t>
      </w:r>
    </w:p>
    <w:p>
      <w:pPr>
        <w:pStyle w:val="ListParagraph"/>
        <w:numPr>
          <w:ilvl w:val="0"/>
          <w:numId w:val="8"/>
        </w:numPr>
        <w:spacing w:after="60"/>
      </w:pPr>
      <w:r>
        <w:rPr>
          <w:b/>
          <w:bCs/>
        </w:rPr>
        <w:t xml:space="preserve">Transaction</w:t>
      </w:r>
      <w:r>
        <w:t xml:space="preserve"> (Vorfall) </w:t>
      </w:r>
      <w:r>
        <w:rPr>
          <w:rFonts w:ascii="Consolas" w:cs="Consolas" w:eastAsia="Consolas" w:hAnsi="Consolas"/>
          <w:b/>
          <w:bCs/>
          <w:color w:val="1F4E79"/>
        </w:rPr>
        <w:t xml:space="preserve">0300</w:t>
      </w:r>
      <w:r>
        <w:t xml:space="preserve"> (Vendor invoice / Kreditorenrechnung), </w:t>
      </w:r>
      <w:r>
        <w:rPr>
          <w:b/>
          <w:bCs/>
        </w:rPr>
        <w:t xml:space="preserve">Variant</w:t>
      </w:r>
      <w:r>
        <w:t xml:space="preserve"> </w:t>
      </w:r>
      <w:r>
        <w:rPr>
          <w:rFonts w:ascii="Consolas" w:cs="Consolas" w:eastAsia="Consolas" w:hAnsi="Consolas"/>
          <w:b/>
          <w:bCs/>
          <w:color w:val="1F4E79"/>
        </w:rPr>
        <w:t xml:space="preserve">0001</w:t>
      </w:r>
      <w:r>
        <w:t xml:space="preserve"> (Standard) eintragen.</w:t>
      </w:r>
    </w:p>
    <w:p>
      <w:pPr>
        <w:pStyle w:val="ListParagraph"/>
        <w:numPr>
          <w:ilvl w:val="0"/>
          <w:numId w:val="8"/>
        </w:numPr>
        <w:spacing w:after="60"/>
      </w:pPr>
      <w:r>
        <w:rPr>
          <w:b/>
          <w:bCs/>
        </w:rPr>
        <w:t xml:space="preserve">Save</w:t>
      </w:r>
      <w:r>
        <w:t xml:space="preserve"> (Schulung d).</w:t>
      </w:r>
    </w:p>
    <w:p>
      <w:pPr>
        <w:pStyle w:val="Heading2"/>
      </w:pPr>
      <w:r>
        <w:t xml:space="preserve">Schritt 3.3 – Lieferant RTA## anlegen</w:t>
      </w:r>
    </w:p>
    <w:p>
      <w:pPr>
        <w:pBdr>
          <w:left w:val="single" w:color="7F7F7F" w:sz="24" w:space="6"/>
        </w:pBdr>
        <w:shd w:fill="EDEDED" w:color="auto" w:val="clear"/>
        <w:spacing w:after="120" w:before="120"/>
        <w:ind w:left="120" w:right="120"/>
      </w:pPr>
      <w:r>
        <w:rPr>
          <w:b/>
          <w:bCs/>
          <w:color w:val="7F7F7F"/>
        </w:rPr>
        <w:t xml:space="preserve">Aufgabe (Original): </w:t>
      </w:r>
      <w:r>
        <w:t xml:space="preserve">Lieferant RTA##, Name „Road Transit Authority ##", SAP St. ##, 10117 Berlin, DE. Gruppierung BPAB (Ext. Alpha num), Rolle FLVN00 (FI Vendor), Abstimmkonto 21100000, Zahlungsbedingung 0003, Zuordnung automatisch „Pstng yr,month,curr."</w:t>
      </w:r>
    </w:p>
    <w:p>
      <w:pPr>
        <w:pBdr>
          <w:left w:val="single" w:color="7030A0" w:sz="24" w:space="6"/>
        </w:pBdr>
        <w:shd w:fill="F3E8FA" w:color="auto" w:val="clear"/>
        <w:spacing w:after="120" w:before="120"/>
        <w:ind w:left="120" w:right="120"/>
      </w:pPr>
      <w:r>
        <w:rPr>
          <w:b/>
          <w:bCs/>
          <w:color w:val="7030A0"/>
        </w:rPr>
        <w:t xml:space="preserve">Vergleichbare Übung in den Schulungsunterlagen: </w:t>
      </w:r>
      <w:r>
        <w:rPr>
          <w:b/>
          <w:bCs/>
        </w:rPr>
        <w:t xml:space="preserve">S4F12</w:t>
      </w:r>
      <w:r>
        <w:t xml:space="preserve">, Übung 9 „Customizing-Einstellungen für GP-Gruppierungen … (Aufgabe 3: Einen Geschäftspartner (Kreditor) anlegen)", S. 177–179 (PDF 185–187) – Organisation, externe alphanumerische Gruppierung, Buchungskreisdaten, Abstimmkonto 21100000; </w:t>
      </w:r>
      <w:r>
        <w:rPr>
          <w:b/>
          <w:bCs/>
        </w:rPr>
        <w:t xml:space="preserve">S4F10</w:t>
      </w:r>
      <w:r>
        <w:t xml:space="preserve">, Übung 13 „Kreditorenstammsatz anlegen", S. 117–120 (PDF 127–130) – Registerkarten „Lieferant: Kontoführung" (Abstimmkonto, Sortierschlüssel) und „Lieferant: Zahlungsverkehr" (Zahlungsbedingung); Standardrolle FLVN00: S4F12 Lösung 9, Aufgabe 1 Schritt 2, S. 170 (PDF 178).</w:t>
      </w:r>
    </w:p>
    <w:p>
      <w:pPr>
        <w:pBdr>
          <w:left w:val="single" w:color="F0AB00" w:sz="24" w:space="6"/>
        </w:pBdr>
        <w:shd w:fill="FFF4D6" w:color="auto" w:val="clear"/>
        <w:spacing w:after="120" w:before="120"/>
        <w:ind w:left="120" w:right="120"/>
      </w:pPr>
      <w:r>
        <w:rPr>
          <w:b/>
          <w:bCs/>
          <w:color w:val="F0AB00"/>
        </w:rPr>
        <w:t xml:space="preserve">Transaktion / App: </w:t>
      </w:r>
      <w:r>
        <w:t xml:space="preserve">Fiori-App </w:t>
      </w:r>
      <w:r>
        <w:rPr>
          <w:b/>
          <w:bCs/>
        </w:rPr>
        <w:t xml:space="preserve">Maintain Business Partner</w:t>
      </w:r>
      <w:r>
        <w:t xml:space="preserve"> (Geschäftspartner pflegen), Kachelgruppe Kreditoren – entspricht Transaktion </w:t>
      </w:r>
      <w:r>
        <w:rPr>
          <w:rFonts w:ascii="Consolas" w:cs="Consolas" w:eastAsia="Consolas" w:hAnsi="Consolas"/>
          <w:b/>
          <w:bCs/>
          <w:color w:val="1F4E79"/>
        </w:rPr>
        <w:t xml:space="preserve">BP</w:t>
      </w:r>
      <w:r>
        <w:t xml:space="preserve">.</w:t>
      </w:r>
    </w:p>
    <w:p>
      <w:pPr>
        <w:pStyle w:val="ListParagraph"/>
        <w:numPr>
          <w:ilvl w:val="0"/>
          <w:numId w:val="9"/>
        </w:numPr>
        <w:spacing w:after="60"/>
      </w:pPr>
      <w:r>
        <w:t xml:space="preserve">App </w:t>
      </w:r>
      <w:r>
        <w:rPr>
          <w:b/>
          <w:bCs/>
        </w:rPr>
        <w:t xml:space="preserve">Maintain Business Partner</w:t>
      </w:r>
      <w:r>
        <w:t xml:space="preserve"> (Geschäftspartner pflegen) öffnen → </w:t>
      </w:r>
      <w:r>
        <w:rPr>
          <w:b/>
          <w:bCs/>
        </w:rPr>
        <w:t xml:space="preserve">Organization</w:t>
      </w:r>
      <w:r>
        <w:t xml:space="preserve"> (Organisation) wählen (Schulung S4F12 S. 178 b).</w:t>
      </w:r>
    </w:p>
    <w:p>
      <w:pPr>
        <w:pStyle w:val="ListParagraph"/>
        <w:numPr>
          <w:ilvl w:val="0"/>
          <w:numId w:val="9"/>
        </w:numPr>
        <w:spacing w:after="60"/>
      </w:pPr>
      <w:r>
        <w:t xml:space="preserve">Erfassen: </w:t>
      </w:r>
      <w:r>
        <w:rPr>
          <w:b/>
          <w:bCs/>
        </w:rPr>
        <w:t xml:space="preserve">Business Partner</w:t>
      </w:r>
      <w:r>
        <w:t xml:space="preserve"> </w:t>
      </w:r>
      <w:r>
        <w:rPr>
          <w:rFonts w:ascii="Consolas" w:cs="Consolas" w:eastAsia="Consolas" w:hAnsi="Consolas"/>
          <w:b/>
          <w:bCs/>
          <w:color w:val="1F4E79"/>
        </w:rPr>
        <w:t xml:space="preserve">RTA##</w:t>
      </w:r>
      <w:r>
        <w:t xml:space="preserve">, </w:t>
      </w:r>
      <w:r>
        <w:rPr>
          <w:b/>
          <w:bCs/>
        </w:rPr>
        <w:t xml:space="preserve">Grouping</w:t>
      </w:r>
      <w:r>
        <w:t xml:space="preserve"> </w:t>
      </w:r>
      <w:r>
        <w:rPr>
          <w:rFonts w:ascii="Consolas" w:cs="Consolas" w:eastAsia="Consolas" w:hAnsi="Consolas"/>
          <w:b/>
          <w:bCs/>
          <w:color w:val="1F4E79"/>
        </w:rPr>
        <w:t xml:space="preserve">BPAB – Ext. Alpha num</w:t>
      </w:r>
      <w:r>
        <w:t xml:space="preserve"> (Schulung: „Ext.alphanum.Numm. (a-z; CUST/VEND)"), </w:t>
      </w:r>
      <w:r>
        <w:rPr>
          <w:b/>
          <w:bCs/>
        </w:rPr>
        <w:t xml:space="preserve">Create in BP role</w:t>
      </w:r>
      <w:r>
        <w:t xml:space="preserve"> </w:t>
      </w:r>
      <w:r>
        <w:rPr>
          <w:rFonts w:ascii="Consolas" w:cs="Consolas" w:eastAsia="Consolas" w:hAnsi="Consolas"/>
          <w:b/>
          <w:bCs/>
          <w:color w:val="1F4E79"/>
        </w:rPr>
        <w:t xml:space="preserve">FLVN00 – FI Vendor</w:t>
      </w:r>
      <w:r>
        <w:t xml:space="preserve"> (Schulung: Training FI Vendor S4F bzw. FI-Kreditor).</w:t>
      </w:r>
    </w:p>
    <w:p>
      <w:pPr>
        <w:pStyle w:val="ListParagraph"/>
        <w:numPr>
          <w:ilvl w:val="0"/>
          <w:numId w:val="9"/>
        </w:numPr>
        <w:spacing w:after="60"/>
      </w:pPr>
      <w:r>
        <w:t xml:space="preserve">Dialog zum Rollenwechsel mit </w:t>
      </w:r>
      <w:r>
        <w:rPr>
          <w:b/>
          <w:bCs/>
        </w:rPr>
        <w:t xml:space="preserve">Create</w:t>
      </w:r>
      <w:r>
        <w:t xml:space="preserve"> (Anlegen) bestätigen (Schulung d).</w:t>
      </w:r>
    </w:p>
    <w:p>
      <w:pPr>
        <w:pStyle w:val="ListParagraph"/>
        <w:numPr>
          <w:ilvl w:val="0"/>
          <w:numId w:val="9"/>
        </w:numPr>
        <w:spacing w:after="60"/>
      </w:pPr>
      <w:r>
        <w:t xml:space="preserve">Registerkarte </w:t>
      </w:r>
      <w:r>
        <w:rPr>
          <w:b/>
          <w:bCs/>
        </w:rPr>
        <w:t xml:space="preserve">Address</w:t>
      </w:r>
      <w:r>
        <w:t xml:space="preserve"> (Anschrift): </w:t>
      </w:r>
      <w:r>
        <w:rPr>
          <w:b/>
          <w:bCs/>
        </w:rPr>
        <w:t xml:space="preserve">Name</w:t>
      </w:r>
      <w:r>
        <w:t xml:space="preserve"> </w:t>
      </w:r>
      <w:r>
        <w:rPr>
          <w:rFonts w:ascii="Consolas" w:cs="Consolas" w:eastAsia="Consolas" w:hAnsi="Consolas"/>
          <w:b/>
          <w:bCs/>
          <w:color w:val="1F4E79"/>
        </w:rPr>
        <w:t xml:space="preserve">Road Transit Authority ##</w:t>
      </w:r>
      <w:r>
        <w:t xml:space="preserve">, </w:t>
      </w:r>
      <w:r>
        <w:rPr>
          <w:b/>
          <w:bCs/>
        </w:rPr>
        <w:t xml:space="preserve">Search Term 1</w:t>
      </w:r>
      <w:r>
        <w:t xml:space="preserve"> z. B. </w:t>
      </w:r>
      <w:r>
        <w:rPr>
          <w:rFonts w:ascii="Consolas" w:cs="Consolas" w:eastAsia="Consolas" w:hAnsi="Consolas"/>
          <w:b/>
          <w:bCs/>
          <w:color w:val="1F4E79"/>
        </w:rPr>
        <w:t xml:space="preserve">RTA##</w:t>
      </w:r>
      <w:r>
        <w:t xml:space="preserve">, </w:t>
      </w:r>
      <w:r>
        <w:rPr>
          <w:b/>
          <w:bCs/>
        </w:rPr>
        <w:t xml:space="preserve">Street / House Number</w:t>
      </w:r>
      <w:r>
        <w:t xml:space="preserve"> </w:t>
      </w:r>
      <w:r>
        <w:rPr>
          <w:rFonts w:ascii="Consolas" w:cs="Consolas" w:eastAsia="Consolas" w:hAnsi="Consolas"/>
          <w:b/>
          <w:bCs/>
          <w:color w:val="1F4E79"/>
        </w:rPr>
        <w:t xml:space="preserve">SAP St.</w:t>
      </w:r>
      <w:r>
        <w:t xml:space="preserve"> / </w:t>
      </w:r>
      <w:r>
        <w:rPr>
          <w:rFonts w:ascii="Consolas" w:cs="Consolas" w:eastAsia="Consolas" w:hAnsi="Consolas"/>
          <w:b/>
          <w:bCs/>
          <w:color w:val="1F4E79"/>
        </w:rPr>
        <w:t xml:space="preserve">##</w:t>
      </w:r>
      <w:r>
        <w:t xml:space="preserve">, </w:t>
      </w:r>
      <w:r>
        <w:rPr>
          <w:b/>
          <w:bCs/>
        </w:rPr>
        <w:t xml:space="preserve">Postal Code</w:t>
      </w:r>
      <w:r>
        <w:t xml:space="preserve"> </w:t>
      </w:r>
      <w:r>
        <w:rPr>
          <w:rFonts w:ascii="Consolas" w:cs="Consolas" w:eastAsia="Consolas" w:hAnsi="Consolas"/>
          <w:b/>
          <w:bCs/>
          <w:color w:val="1F4E79"/>
        </w:rPr>
        <w:t xml:space="preserve">10117</w:t>
      </w:r>
      <w:r>
        <w:t xml:space="preserve">, </w:t>
      </w:r>
      <w:r>
        <w:rPr>
          <w:b/>
          <w:bCs/>
        </w:rPr>
        <w:t xml:space="preserve">City</w:t>
      </w:r>
      <w:r>
        <w:t xml:space="preserve"> </w:t>
      </w:r>
      <w:r>
        <w:rPr>
          <w:rFonts w:ascii="Consolas" w:cs="Consolas" w:eastAsia="Consolas" w:hAnsi="Consolas"/>
          <w:b/>
          <w:bCs/>
          <w:color w:val="1F4E79"/>
        </w:rPr>
        <w:t xml:space="preserve">Berlin</w:t>
      </w:r>
      <w:r>
        <w:t xml:space="preserve">, </w:t>
      </w:r>
      <w:r>
        <w:rPr>
          <w:b/>
          <w:bCs/>
        </w:rPr>
        <w:t xml:space="preserve">Country</w:t>
      </w:r>
      <w:r>
        <w:t xml:space="preserve"> </w:t>
      </w:r>
      <w:r>
        <w:rPr>
          <w:rFonts w:ascii="Consolas" w:cs="Consolas" w:eastAsia="Consolas" w:hAnsi="Consolas"/>
          <w:b/>
          <w:bCs/>
          <w:color w:val="1F4E79"/>
        </w:rPr>
        <w:t xml:space="preserve">DE</w:t>
      </w:r>
      <w:r>
        <w:t xml:space="preserve">, </w:t>
      </w:r>
      <w:r>
        <w:rPr>
          <w:b/>
          <w:bCs/>
        </w:rPr>
        <w:t xml:space="preserve">Language</w:t>
      </w:r>
      <w:r>
        <w:t xml:space="preserve"> z. B. EN (Schulung e).</w:t>
      </w:r>
    </w:p>
    <w:p>
      <w:pPr>
        <w:pStyle w:val="ListParagraph"/>
        <w:numPr>
          <w:ilvl w:val="0"/>
          <w:numId w:val="9"/>
        </w:numPr>
        <w:spacing w:after="60"/>
      </w:pPr>
      <w:r>
        <w:t xml:space="preserve">Oben </w:t>
      </w:r>
      <w:r>
        <w:rPr>
          <w:b/>
          <w:bCs/>
        </w:rPr>
        <w:t xml:space="preserve">Company Code</w:t>
      </w:r>
      <w:r>
        <w:t xml:space="preserve"> (Buchungskreis) wählen, </w:t>
      </w:r>
      <w:r>
        <w:rPr>
          <w:rFonts w:ascii="Consolas" w:cs="Consolas" w:eastAsia="Consolas" w:hAnsi="Consolas"/>
          <w:b/>
          <w:bCs/>
          <w:color w:val="1F4E79"/>
        </w:rPr>
        <w:t xml:space="preserve">TA##</w:t>
      </w:r>
      <w:r>
        <w:t xml:space="preserve"> eingeben, Enter (Schulung f–g).</w:t>
      </w:r>
    </w:p>
    <w:p>
      <w:pPr>
        <w:pStyle w:val="ListParagraph"/>
        <w:numPr>
          <w:ilvl w:val="0"/>
          <w:numId w:val="9"/>
        </w:numPr>
        <w:spacing w:after="60"/>
      </w:pPr>
      <w:r>
        <w:t xml:space="preserve">Registerkarte </w:t>
      </w:r>
      <w:r>
        <w:rPr>
          <w:b/>
          <w:bCs/>
        </w:rPr>
        <w:t xml:space="preserve">Vendor: Account Management</w:t>
      </w:r>
      <w:r>
        <w:t xml:space="preserve"> (Lieferant: Kontoführung): </w:t>
      </w:r>
      <w:r>
        <w:rPr>
          <w:b/>
          <w:bCs/>
        </w:rPr>
        <w:t xml:space="preserve">Reconciliation acct</w:t>
      </w:r>
      <w:r>
        <w:t xml:space="preserve"> </w:t>
      </w:r>
      <w:r>
        <w:rPr>
          <w:rFonts w:ascii="Consolas" w:cs="Consolas" w:eastAsia="Consolas" w:hAnsi="Consolas"/>
          <w:b/>
          <w:bCs/>
          <w:color w:val="1F4E79"/>
        </w:rPr>
        <w:t xml:space="preserve">21100000</w:t>
      </w:r>
      <w:r>
        <w:t xml:space="preserve"> (Trade Payables domestic); </w:t>
      </w:r>
      <w:r>
        <w:rPr>
          <w:b/>
          <w:bCs/>
        </w:rPr>
        <w:t xml:space="preserve">Sort Key</w:t>
      </w:r>
      <w:r>
        <w:t xml:space="preserve"> (SortierSchlüssel): per F4 den Schlüssel mit der Bezeichnung </w:t>
      </w:r>
      <w:r>
        <w:rPr>
          <w:b/>
          <w:bCs/>
        </w:rPr>
        <w:t xml:space="preserve">„Pstng yr,month,curr."</w:t>
      </w:r>
      <w:r>
        <w:t xml:space="preserve"> wählen (Schulung S4F10 S. 118: Feld SortierSchlüssel auf dieser Registerkarte, dort Wert 001).</w:t>
      </w:r>
    </w:p>
    <w:p>
      <w:pPr>
        <w:pStyle w:val="ListParagraph"/>
        <w:numPr>
          <w:ilvl w:val="0"/>
          <w:numId w:val="9"/>
        </w:numPr>
        <w:spacing w:after="60"/>
      </w:pPr>
      <w:r>
        <w:t xml:space="preserve">Registerkarte </w:t>
      </w:r>
      <w:r>
        <w:rPr>
          <w:b/>
          <w:bCs/>
        </w:rPr>
        <w:t xml:space="preserve">Vendor: Payment Transactions</w:t>
      </w:r>
      <w:r>
        <w:t xml:space="preserve"> (Lieferant: Zahlungsverkehr): </w:t>
      </w:r>
      <w:r>
        <w:rPr>
          <w:b/>
          <w:bCs/>
        </w:rPr>
        <w:t xml:space="preserve">Payment Terms</w:t>
      </w:r>
      <w:r>
        <w:t xml:space="preserve"> </w:t>
      </w:r>
      <w:r>
        <w:rPr>
          <w:rFonts w:ascii="Consolas" w:cs="Consolas" w:eastAsia="Consolas" w:hAnsi="Consolas"/>
          <w:b/>
          <w:bCs/>
          <w:color w:val="1F4E79"/>
        </w:rPr>
        <w:t xml:space="preserve">0003</w:t>
      </w:r>
      <w:r>
        <w:t xml:space="preserve"> (Schulung S4F10 S. 118: Zahlungsbedingung 0001).</w:t>
      </w:r>
    </w:p>
    <w:p>
      <w:pPr>
        <w:pStyle w:val="ListParagraph"/>
        <w:numPr>
          <w:ilvl w:val="0"/>
          <w:numId w:val="9"/>
        </w:numPr>
        <w:spacing w:after="60"/>
      </w:pPr>
      <w:r>
        <w:rPr>
          <w:b/>
          <w:bCs/>
        </w:rPr>
        <w:t xml:space="preserve">Save</w:t>
      </w:r>
      <w:r>
        <w:t xml:space="preserve"> → Meldung „Business partner RTA## created" (Schulung S4F12 S. 179 i).</w:t>
      </w:r>
    </w:p>
    <w:p>
      <w:pPr>
        <w:pBdr>
          <w:left w:val="single" w:color="2E75B6" w:sz="24" w:space="6"/>
        </w:pBdr>
        <w:shd w:fill="E8F1FB" w:color="auto" w:val="clear"/>
        <w:spacing w:after="120" w:before="120"/>
        <w:ind w:left="120" w:right="120"/>
      </w:pPr>
      <w:r>
        <w:rPr>
          <w:b/>
          <w:bCs/>
          <w:color w:val="2E75B6"/>
        </w:rPr>
        <w:t xml:space="preserve">Hinweis: </w:t>
      </w:r>
      <w:r>
        <w:t xml:space="preserve">Das Feld </w:t>
      </w:r>
      <w:r>
        <w:rPr>
          <w:b/>
          <w:bCs/>
        </w:rPr>
        <w:t xml:space="preserve">Assignment</w:t>
      </w:r>
      <w:r>
        <w:t xml:space="preserve"> (Zuordnung) wird über den </w:t>
      </w:r>
      <w:r>
        <w:rPr>
          <w:b/>
          <w:bCs/>
        </w:rPr>
        <w:t xml:space="preserve">Sortierschlüssel</w:t>
      </w:r>
      <w:r>
        <w:t xml:space="preserve"> im Stammsatz automatisch gefüllt. Die Schulung zeigt Sortierschlüssel-Werte 001/003/008 (S4F10 S. 118, S4F12 S. 120/123); der Schlüssel „Pstng yr,month,curr." kommt nicht vor – daher per F4-Hilfe nach dem Text suchen. Ist das Feld nicht eingabebereit, liegt das am Feldstatus (siehe S4F12 Ü10, S. 183–184).</w:t>
      </w:r>
    </w:p>
    <w:p>
      <w:pPr>
        <w:pStyle w:val="Heading2"/>
      </w:pPr>
      <w:r>
        <w:t xml:space="preserve">Schritt 3.4 – Test: Eingangsrechnung mit Belegart ##</w:t>
      </w:r>
    </w:p>
    <w:p>
      <w:pPr>
        <w:pBdr>
          <w:left w:val="single" w:color="7F7F7F" w:sz="24" w:space="6"/>
        </w:pBdr>
        <w:shd w:fill="EDEDED" w:color="auto" w:val="clear"/>
        <w:spacing w:after="120" w:before="120"/>
        <w:ind w:left="120" w:right="120"/>
      </w:pPr>
      <w:r>
        <w:rPr>
          <w:b/>
          <w:bCs/>
          <w:color w:val="7F7F7F"/>
        </w:rPr>
        <w:t xml:space="preserve">Aufgabe (Original): </w:t>
      </w:r>
      <w:r>
        <w:t xml:space="preserve">App „Create Incoming Invoices", Belegart ##, Rechnung FEES##7788, 500 EUR + 10 % USt, Datum heute, Sachkonto 61005000, Kostenstelle TA##1100, Belegkopftext ##.</w:t>
      </w:r>
    </w:p>
    <w:p>
      <w:pPr>
        <w:pBdr>
          <w:left w:val="single" w:color="7030A0" w:sz="24" w:space="6"/>
        </w:pBdr>
        <w:shd w:fill="F3E8FA" w:color="auto" w:val="clear"/>
        <w:spacing w:after="120" w:before="120"/>
        <w:ind w:left="120" w:right="120"/>
      </w:pPr>
      <w:r>
        <w:rPr>
          <w:b/>
          <w:bCs/>
          <w:color w:val="7030A0"/>
        </w:rPr>
        <w:t xml:space="preserve">Vergleichbare Übung in den Schulungsunterlagen: </w:t>
      </w:r>
      <w:r>
        <w:rPr>
          <w:b/>
          <w:bCs/>
        </w:rPr>
        <w:t xml:space="preserve">S4F12</w:t>
      </w:r>
      <w:r>
        <w:t xml:space="preserve">, Übung 17 „FI-Belege buchen", S. 258–260 (PDF 266–268) – Schritt 2: Eingangsrechnung mit eigener Belegart ##, Steuer rechnen, Steuerkennzeichen 1I, Hinweis zu den Bearbeitungsoptionen für das Feld Belegart; </w:t>
      </w:r>
      <w:r>
        <w:rPr>
          <w:b/>
          <w:bCs/>
        </w:rPr>
        <w:t xml:space="preserve">S4F13</w:t>
      </w:r>
      <w:r>
        <w:t xml:space="preserve">, Übung 4 „Belege für automatische Zahlungen eingeben", S. 43–44 (PDF 51–52)</w:t>
      </w:r>
    </w:p>
    <w:p>
      <w:pPr>
        <w:pBdr>
          <w:left w:val="single" w:color="F0AB00" w:sz="24" w:space="6"/>
        </w:pBdr>
        <w:shd w:fill="FFF4D6" w:color="auto" w:val="clear"/>
        <w:spacing w:after="120" w:before="120"/>
        <w:ind w:left="120" w:right="120"/>
      </w:pPr>
      <w:r>
        <w:rPr>
          <w:b/>
          <w:bCs/>
          <w:color w:val="F0AB00"/>
        </w:rPr>
        <w:t xml:space="preserve">Transaktion / App: </w:t>
      </w:r>
      <w:r>
        <w:t xml:space="preserve">Fiori-App </w:t>
      </w:r>
      <w:r>
        <w:rPr>
          <w:b/>
          <w:bCs/>
        </w:rPr>
        <w:t xml:space="preserve">Create Incoming Invoices</w:t>
      </w:r>
      <w:r>
        <w:t xml:space="preserve"> (Eingangsrechnungen anlegen), Kachelgruppe Kreditoren – entspricht </w:t>
      </w:r>
      <w:r>
        <w:rPr>
          <w:rFonts w:ascii="Consolas" w:cs="Consolas" w:eastAsia="Consolas" w:hAnsi="Consolas"/>
          <w:b/>
          <w:bCs/>
          <w:color w:val="1F4E79"/>
        </w:rPr>
        <w:t xml:space="preserve">FB60</w:t>
      </w:r>
      <w:r>
        <w:t xml:space="preserve">.</w:t>
      </w:r>
    </w:p>
    <w:p>
      <w:pPr>
        <w:pStyle w:val="ListParagraph"/>
        <w:numPr>
          <w:ilvl w:val="0"/>
          <w:numId w:val="10"/>
        </w:numPr>
        <w:spacing w:after="60"/>
      </w:pPr>
      <w:r>
        <w:t xml:space="preserve">App öffnen; bei Aufforderung </w:t>
      </w:r>
      <w:r>
        <w:rPr>
          <w:b/>
          <w:bCs/>
        </w:rPr>
        <w:t xml:space="preserve">Company Code</w:t>
      </w:r>
      <w:r>
        <w:t xml:space="preserve"> </w:t>
      </w:r>
      <w:r>
        <w:rPr>
          <w:rFonts w:ascii="Consolas" w:cs="Consolas" w:eastAsia="Consolas" w:hAnsi="Consolas"/>
          <w:b/>
          <w:bCs/>
          <w:color w:val="1F4E79"/>
        </w:rPr>
        <w:t xml:space="preserve">TA##</w:t>
      </w:r>
      <w:r>
        <w:t xml:space="preserve"> (sonst Drucktaste </w:t>
      </w:r>
      <w:r>
        <w:rPr>
          <w:b/>
          <w:bCs/>
        </w:rPr>
        <w:t xml:space="preserve">Change Company Code</w:t>
      </w:r>
      <w:r>
        <w:t xml:space="preserve">, F7 – Schulung S4F12 S. 259 b).</w:t>
      </w:r>
    </w:p>
    <w:p>
      <w:pPr>
        <w:pStyle w:val="ListParagraph"/>
        <w:numPr>
          <w:ilvl w:val="0"/>
          <w:numId w:val="10"/>
        </w:numPr>
        <w:spacing w:after="60"/>
      </w:pPr>
      <w:r>
        <w:t xml:space="preserve">Wird das Feld </w:t>
      </w:r>
      <w:r>
        <w:rPr>
          <w:b/>
          <w:bCs/>
        </w:rPr>
        <w:t xml:space="preserve">Document Type</w:t>
      </w:r>
      <w:r>
        <w:t xml:space="preserve"> nicht angezeigt: </w:t>
      </w:r>
      <w:r>
        <w:rPr>
          <w:b/>
          <w:bCs/>
        </w:rPr>
        <w:t xml:space="preserve">Editing Options</w:t>
      </w:r>
      <w:r>
        <w:t xml:space="preserve"> (Bearbeitungsoptionen) → </w:t>
      </w:r>
      <w:r>
        <w:rPr>
          <w:b/>
          <w:bCs/>
        </w:rPr>
        <w:t xml:space="preserve">Doc. Type Option</w:t>
      </w:r>
      <w:r>
        <w:t xml:space="preserve"> „Document type ready for input" bzw. „4 Eingabe mit Kurzbezeichnung" → </w:t>
      </w:r>
      <w:r>
        <w:rPr>
          <w:b/>
          <w:bCs/>
        </w:rPr>
        <w:t xml:space="preserve">Change user master</w:t>
      </w:r>
      <w:r>
        <w:t xml:space="preserve"> → Back (Hinweis S4F12 S. 259 / S4F13 S. 44 c).</w:t>
      </w:r>
    </w:p>
    <w:p>
      <w:pPr>
        <w:pStyle w:val="ListParagraph"/>
        <w:numPr>
          <w:ilvl w:val="0"/>
          <w:numId w:val="10"/>
        </w:numPr>
        <w:spacing w:after="60"/>
      </w:pPr>
      <w:r>
        <w:t xml:space="preserve">Registerkarte </w:t>
      </w:r>
      <w:r>
        <w:rPr>
          <w:b/>
          <w:bCs/>
        </w:rPr>
        <w:t xml:space="preserve">Basic Data</w:t>
      </w:r>
      <w:r>
        <w:t xml:space="preserve"> (Grunddaten):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0"/>
        <w:gridCol w:w="5838"/>
      </w:tblGrid>
      <w:tr>
        <w:trPr>
          <w:tblHeader/>
        </w:trPr>
        <w:tc>
          <w:tcPr>
            <w:tcW w:type="dxa" w:w="3800"/>
            <w:tcBorders>
              <w:top w:val="single" w:color="A6A6A6" w:sz="4"/>
              <w:left w:val="single" w:color="A6A6A6" w:sz="4"/>
              <w:bottom w:val="single" w:color="A6A6A6" w:sz="4"/>
              <w:right w:val="single" w:color="A6A6A6" w:sz="4"/>
            </w:tcBorders>
            <w:shd w:fill="F0AB00" w:color="auto" w:val="clear"/>
            <w:tcMar>
              <w:top w:type="dxa" w:w="60"/>
              <w:left w:type="dxa" w:w="100"/>
              <w:bottom w:type="dxa" w:w="60"/>
              <w:right w:type="dxa" w:w="100"/>
            </w:tcMar>
          </w:tcPr>
          <w:p>
            <w:r>
              <w:rPr>
                <w:b/>
                <w:bCs/>
              </w:rPr>
              <w:t xml:space="preserve">Feld (EN / DE)</w:t>
            </w:r>
          </w:p>
        </w:tc>
        <w:tc>
          <w:tcPr>
            <w:tcW w:type="dxa" w:w="5838"/>
            <w:tcBorders>
              <w:top w:val="single" w:color="A6A6A6" w:sz="4"/>
              <w:left w:val="single" w:color="A6A6A6" w:sz="4"/>
              <w:bottom w:val="single" w:color="A6A6A6" w:sz="4"/>
              <w:right w:val="single" w:color="A6A6A6" w:sz="4"/>
            </w:tcBorders>
            <w:shd w:fill="F0AB00" w:color="auto" w:val="clear"/>
            <w:tcMar>
              <w:top w:type="dxa" w:w="60"/>
              <w:left w:type="dxa" w:w="100"/>
              <w:bottom w:type="dxa" w:w="60"/>
              <w:right w:type="dxa" w:w="100"/>
            </w:tcMar>
          </w:tcPr>
          <w:p>
            <w:r>
              <w:rPr>
                <w:b/>
                <w:bCs/>
              </w:rPr>
              <w:t xml:space="preserve">Wert Prüfung</w:t>
            </w:r>
          </w:p>
        </w:tc>
      </w:tr>
      <w:tr>
        <w:trPr>
          <w:tblHeader w:val="false"/>
        </w:trPr>
        <w:tc>
          <w:tcPr>
            <w:tcW w:type="dxa" w:w="38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t xml:space="preserve">Supplier (Lieferant)</w:t>
            </w:r>
          </w:p>
        </w:tc>
        <w:tc>
          <w:tcPr>
            <w:tcW w:type="dxa" w:w="58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onsolas" w:cs="Consolas" w:eastAsia="Consolas" w:hAnsi="Consolas"/>
                <w:b/>
                <w:bCs/>
                <w:color w:val="1F4E79"/>
              </w:rPr>
              <w:t xml:space="preserve">RTA##</w:t>
            </w:r>
          </w:p>
        </w:tc>
      </w:tr>
      <w:tr>
        <w:trPr>
          <w:tblHeader w:val="false"/>
        </w:trPr>
        <w:tc>
          <w:tcPr>
            <w:tcW w:type="dxa" w:w="38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t xml:space="preserve">Invoice Date (Rechnungsdatum)</w:t>
            </w:r>
          </w:p>
        </w:tc>
        <w:tc>
          <w:tcPr>
            <w:tcW w:type="dxa" w:w="5838"/>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heute</w:t>
            </w:r>
          </w:p>
        </w:tc>
      </w:tr>
      <w:tr>
        <w:trPr>
          <w:tblHeader w:val="false"/>
        </w:trPr>
        <w:tc>
          <w:tcPr>
            <w:tcW w:type="dxa" w:w="38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t xml:space="preserve">Posting Date (Buchungsdatum)</w:t>
            </w:r>
          </w:p>
        </w:tc>
        <w:tc>
          <w:tcPr>
            <w:tcW w:type="dxa" w:w="5838"/>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heute</w:t>
            </w:r>
          </w:p>
        </w:tc>
      </w:tr>
      <w:tr>
        <w:trPr>
          <w:tblHeader w:val="false"/>
        </w:trPr>
        <w:tc>
          <w:tcPr>
            <w:tcW w:type="dxa" w:w="38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t xml:space="preserve">Reference (Referenz)</w:t>
            </w:r>
          </w:p>
        </w:tc>
        <w:tc>
          <w:tcPr>
            <w:tcW w:type="dxa" w:w="58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onsolas" w:cs="Consolas" w:eastAsia="Consolas" w:hAnsi="Consolas"/>
                <w:b/>
                <w:bCs/>
                <w:color w:val="1F4E79"/>
              </w:rPr>
              <w:t xml:space="preserve">FEES##7788</w:t>
            </w:r>
          </w:p>
        </w:tc>
      </w:tr>
      <w:tr>
        <w:trPr>
          <w:tblHeader w:val="false"/>
        </w:trPr>
        <w:tc>
          <w:tcPr>
            <w:tcW w:type="dxa" w:w="38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t xml:space="preserve">Document Type (Belegart)</w:t>
            </w:r>
          </w:p>
        </w:tc>
        <w:tc>
          <w:tcPr>
            <w:tcW w:type="dxa" w:w="58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onsolas" w:cs="Consolas" w:eastAsia="Consolas" w:hAnsi="Consolas"/>
                <w:b/>
                <w:bCs/>
                <w:color w:val="1F4E79"/>
              </w:rPr>
              <w:t xml:space="preserve">##</w:t>
            </w:r>
            <w:r>
              <w:t xml:space="preserve"> (Toll Fees ##)</w:t>
            </w:r>
          </w:p>
        </w:tc>
      </w:tr>
      <w:tr>
        <w:trPr>
          <w:tblHeader w:val="false"/>
        </w:trPr>
        <w:tc>
          <w:tcPr>
            <w:tcW w:type="dxa" w:w="38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t xml:space="preserve">Amount (Betrag) / Currency</w:t>
            </w:r>
          </w:p>
        </w:tc>
        <w:tc>
          <w:tcPr>
            <w:tcW w:type="dxa" w:w="58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onsolas" w:cs="Consolas" w:eastAsia="Consolas" w:hAnsi="Consolas"/>
                <w:b/>
                <w:bCs/>
                <w:color w:val="1F4E79"/>
              </w:rPr>
              <w:t xml:space="preserve">550,00</w:t>
            </w:r>
            <w:r>
              <w:t xml:space="preserve"> EUR (500 netto + 10 %)</w:t>
            </w:r>
          </w:p>
        </w:tc>
      </w:tr>
      <w:tr>
        <w:trPr>
          <w:tblHeader w:val="false"/>
        </w:trPr>
        <w:tc>
          <w:tcPr>
            <w:tcW w:type="dxa" w:w="38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t xml:space="preserve">Calculate Tax (Steuer rechnen)</w:t>
            </w:r>
          </w:p>
        </w:tc>
        <w:tc>
          <w:tcPr>
            <w:tcW w:type="dxa" w:w="5838"/>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markieren</w:t>
            </w:r>
          </w:p>
        </w:tc>
      </w:tr>
      <w:tr>
        <w:trPr>
          <w:tblHeader w:val="false"/>
        </w:trPr>
        <w:tc>
          <w:tcPr>
            <w:tcW w:type="dxa" w:w="38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t xml:space="preserve">Tax Code (Steuerkennzeichen)</w:t>
            </w:r>
          </w:p>
        </w:tc>
        <w:tc>
          <w:tcPr>
            <w:tcW w:type="dxa" w:w="58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onsolas" w:cs="Consolas" w:eastAsia="Consolas" w:hAnsi="Consolas"/>
                <w:b/>
                <w:bCs/>
                <w:color w:val="1F4E79"/>
              </w:rPr>
              <w:t xml:space="preserve">1I</w:t>
            </w:r>
            <w:r>
              <w:t xml:space="preserve"> (10 % Input Tax (Training))</w:t>
            </w:r>
          </w:p>
        </w:tc>
      </w:tr>
    </w:tbl>
    <w:p>
      <w:pPr>
        <w:spacing w:after="60"/>
      </w:pPr>
    </w:p>
    <w:p>
      <w:pPr>
        <w:pStyle w:val="ListParagraph"/>
        <w:numPr>
          <w:ilvl w:val="0"/>
          <w:numId w:val="11"/>
        </w:numPr>
        <w:spacing w:after="60"/>
      </w:pPr>
      <w:r>
        <w:t xml:space="preserve">Positionszeile: </w:t>
      </w:r>
      <w:r>
        <w:rPr>
          <w:b/>
          <w:bCs/>
        </w:rPr>
        <w:t xml:space="preserve">G/L Account</w:t>
      </w:r>
      <w:r>
        <w:t xml:space="preserve"> </w:t>
      </w:r>
      <w:r>
        <w:rPr>
          <w:rFonts w:ascii="Consolas" w:cs="Consolas" w:eastAsia="Consolas" w:hAnsi="Consolas"/>
          <w:b/>
          <w:bCs/>
          <w:color w:val="1F4E79"/>
        </w:rPr>
        <w:t xml:space="preserve">61005000</w:t>
      </w:r>
      <w:r>
        <w:t xml:space="preserve">, </w:t>
      </w:r>
      <w:r>
        <w:rPr>
          <w:b/>
          <w:bCs/>
        </w:rPr>
        <w:t xml:space="preserve">D/C</w:t>
      </w:r>
      <w:r>
        <w:t xml:space="preserve"> Debit (Soll), </w:t>
      </w:r>
      <w:r>
        <w:rPr>
          <w:b/>
          <w:bCs/>
        </w:rPr>
        <w:t xml:space="preserve">Amount in Doc. Curr.</w:t>
      </w:r>
      <w:r>
        <w:t xml:space="preserve"> </w:t>
      </w:r>
      <w:r>
        <w:rPr>
          <w:rFonts w:ascii="Consolas" w:cs="Consolas" w:eastAsia="Consolas" w:hAnsi="Consolas"/>
          <w:b/>
          <w:bCs/>
          <w:color w:val="1F4E79"/>
        </w:rPr>
        <w:t xml:space="preserve">*</w:t>
      </w:r>
      <w:r>
        <w:t xml:space="preserve"> (Schulung S4F13 S. 44 g), </w:t>
      </w:r>
      <w:r>
        <w:rPr>
          <w:b/>
          <w:bCs/>
        </w:rPr>
        <w:t xml:space="preserve">Cost Center</w:t>
      </w:r>
      <w:r>
        <w:t xml:space="preserve"> </w:t>
      </w:r>
      <w:r>
        <w:rPr>
          <w:rFonts w:ascii="Consolas" w:cs="Consolas" w:eastAsia="Consolas" w:hAnsi="Consolas"/>
          <w:b/>
          <w:bCs/>
          <w:color w:val="1F4E79"/>
        </w:rPr>
        <w:t xml:space="preserve">TA##1100</w:t>
      </w:r>
      <w:r>
        <w:t xml:space="preserve">.</w:t>
      </w:r>
    </w:p>
    <w:p>
      <w:pPr>
        <w:pStyle w:val="ListParagraph"/>
        <w:numPr>
          <w:ilvl w:val="0"/>
          <w:numId w:val="11"/>
        </w:numPr>
        <w:spacing w:after="60"/>
      </w:pPr>
      <w:r>
        <w:t xml:space="preserve">Externe Nummernvergabe: Das System fordert die </w:t>
      </w:r>
      <w:r>
        <w:rPr>
          <w:b/>
          <w:bCs/>
        </w:rPr>
        <w:t xml:space="preserve">Document Number</w:t>
      </w:r>
      <w:r>
        <w:t xml:space="preserve"> an → </w:t>
      </w:r>
      <w:r>
        <w:rPr>
          <w:rFonts w:ascii="Consolas" w:cs="Consolas" w:eastAsia="Consolas" w:hAnsi="Consolas"/>
          <w:b/>
          <w:bCs/>
          <w:color w:val="1F4E79"/>
        </w:rPr>
        <w:t xml:space="preserve">FEES##7788</w:t>
      </w:r>
      <w:r>
        <w:t xml:space="preserve"> eingeben. Wird nach dem </w:t>
      </w:r>
      <w:r>
        <w:rPr>
          <w:b/>
          <w:bCs/>
        </w:rPr>
        <w:t xml:space="preserve">Doc. Header Text</w:t>
      </w:r>
      <w:r>
        <w:t xml:space="preserve"> gefragt (Mussfeld aus 3.1) → </w:t>
      </w:r>
      <w:r>
        <w:rPr>
          <w:rFonts w:ascii="Consolas" w:cs="Consolas" w:eastAsia="Consolas" w:hAnsi="Consolas"/>
          <w:b/>
          <w:bCs/>
          <w:color w:val="1F4E79"/>
        </w:rPr>
        <w:t xml:space="preserve">##</w:t>
      </w:r>
      <w:r>
        <w:t xml:space="preserve">.</w:t>
      </w:r>
    </w:p>
    <w:p>
      <w:pPr>
        <w:pStyle w:val="ListParagraph"/>
        <w:numPr>
          <w:ilvl w:val="0"/>
          <w:numId w:val="11"/>
        </w:numPr>
        <w:spacing w:after="60"/>
      </w:pPr>
      <w:r>
        <w:rPr>
          <w:b/>
          <w:bCs/>
        </w:rPr>
        <w:t xml:space="preserve">Simulate</w:t>
      </w:r>
      <w:r>
        <w:t xml:space="preserve"> → prüfen: Kreditor 550 Haben, 61005000 500 Soll mit TA##1100, Vorsteuer 50 Soll, Zuordnung beim Kreditor gefüllt, Zahlungsbedingung 0003 → </w:t>
      </w:r>
      <w:r>
        <w:rPr>
          <w:b/>
          <w:bCs/>
        </w:rPr>
        <w:t xml:space="preserve">Post</w:t>
      </w:r>
      <w:r>
        <w:t xml:space="preserve">.</w:t>
      </w:r>
    </w:p>
    <w:p>
      <w:pPr>
        <w:pBdr>
          <w:left w:val="single" w:color="548235" w:sz="24" w:space="6"/>
        </w:pBdr>
        <w:shd w:fill="E9F5E9" w:color="auto" w:val="clear"/>
        <w:spacing w:after="120" w:before="120"/>
        <w:ind w:left="120" w:right="120"/>
      </w:pPr>
      <w:r>
        <w:rPr>
          <w:b/>
          <w:bCs/>
          <w:color w:val="548235"/>
        </w:rPr>
        <w:t xml:space="preserve">Ergebnis / Kontrolle: </w:t>
      </w:r>
      <w:r>
        <w:t xml:space="preserve">Beleg FEES##7788 in TA## mit Belegart ##, Belegkopftext ##, Zuordnung (Jahr/Monat/Währung).</w:t>
      </w:r>
    </w:p>
    <w:p>
      <w:pPr>
        <w:pBdr>
          <w:left w:val="single" w:color="7030A0" w:sz="24" w:space="6"/>
        </w:pBdr>
        <w:shd w:fill="F3E8FA" w:color="auto" w:val="clear"/>
        <w:spacing w:after="120" w:before="120"/>
        <w:ind w:left="120" w:right="120"/>
      </w:pPr>
      <w:r>
        <w:rPr>
          <w:b/>
          <w:bCs/>
          <w:color w:val="7030A0"/>
        </w:rPr>
        <w:t xml:space="preserve">Vergleichbare Übung in den Schulungsunterlagen: </w:t>
      </w:r>
      <w:r>
        <w:rPr>
          <w:b/>
          <w:bCs/>
        </w:rPr>
        <w:t xml:space="preserve">S4F12</w:t>
      </w:r>
      <w:r>
        <w:t xml:space="preserve">, S. 210 (PDF 218): „Bei der internen Nummernvergabe wird die Belegnummer vom System zugeordnet. </w:t>
      </w:r>
      <w:r>
        <w:rPr>
          <w:b/>
          <w:bCs/>
        </w:rPr>
        <w:t xml:space="preserve">Bei der externen Nummernvergabe ordnet der Benutzer die Belegnummer im Feld Belegnummer zu.</w:t>
      </w:r>
      <w:r>
        <w:t xml:space="preserve">" – Die genaue Position des Feldes in der Enjoy-Transaktion (Kopf oder Abfrage beim Buchen) zeigt die Schulung nicht.</w:t>
      </w:r>
    </w:p>
    <w:p>
      <w:r>
        <w:br w:type="page"/>
      </w:r>
    </w:p>
    <w:p>
      <w:pPr>
        <w:pStyle w:val="Heading1"/>
      </w:pPr>
      <w:r>
        <w:t xml:space="preserve">Task 4: Closing Operations – Perform Value Adjustments for Overdue Receivables</w:t>
      </w:r>
    </w:p>
    <w:p>
      <w:pPr>
        <w:pStyle w:val="Heading2"/>
      </w:pPr>
      <w:r>
        <w:t xml:space="preserve">Schritt 4.1 – Neuen Wertberichtigungsschlüssel anlegen</w:t>
      </w:r>
    </w:p>
    <w:p>
      <w:pPr>
        <w:pBdr>
          <w:left w:val="single" w:color="7F7F7F" w:sz="24" w:space="6"/>
        </w:pBdr>
        <w:shd w:fill="EDEDED" w:color="auto" w:val="clear"/>
        <w:spacing w:after="120" w:before="120"/>
        <w:ind w:left="120" w:right="120"/>
      </w:pPr>
      <w:r>
        <w:rPr>
          <w:b/>
          <w:bCs/>
          <w:color w:val="7F7F7F"/>
        </w:rPr>
        <w:t xml:space="preserve">Aufgabe (Original): </w:t>
      </w:r>
      <w:r>
        <w:t xml:space="preserve">Wertberichtigungsschlüssel ##: ab 30 Tagen 10 %, ab 60 Tagen 20 %; für den Bewertungsbereich zu Ledger 0L in TA##; Basis gebuchte Nettobeträge.</w:t>
      </w:r>
    </w:p>
    <w:p>
      <w:pPr>
        <w:pBdr>
          <w:left w:val="single" w:color="7030A0" w:sz="24" w:space="6"/>
        </w:pBdr>
        <w:shd w:fill="F3E8FA" w:color="auto" w:val="clear"/>
        <w:spacing w:after="120" w:before="120"/>
        <w:ind w:left="120" w:right="120"/>
      </w:pPr>
      <w:r>
        <w:rPr>
          <w:b/>
          <w:bCs/>
          <w:color w:val="7030A0"/>
        </w:rPr>
        <w:t xml:space="preserve">Vergleichbare Übung in den Schulungsunterlagen: </w:t>
      </w:r>
      <w:r>
        <w:rPr>
          <w:b/>
          <w:bCs/>
        </w:rPr>
        <w:t xml:space="preserve">S4F15</w:t>
      </w:r>
      <w:r>
        <w:t xml:space="preserve">, Lektion „Wertberichtigungen verwalten", S. 163 (PDF 171): Schritt 1 „Definieren Sie im Customizing der Debitorenbuchhaltung für einen Wertberichtigungsschlüssel den Sollzinssatz (prozentualer Aufwand) und die Überfälligkeit in Tagen"; Schritt 3 „Ordnen Sie den Wertberichtigungsschlüssel dem Stammsatz jedes Debitorenkontos zu". Bewertungsbereich der Schulung: </w:t>
      </w:r>
      <w:r>
        <w:rPr>
          <w:b/>
          <w:bCs/>
        </w:rPr>
        <w:t xml:space="preserve">IF</w:t>
      </w:r>
      <w:r>
        <w:t xml:space="preserve"> (S4F15 Ü8, S. 166/169; S4F10 Ü44, S. 340). Eine Customizing-Übung zum Schlüssel gibt es in den Unterlagen </w:t>
      </w:r>
      <w:r>
        <w:rPr>
          <w:b/>
          <w:bCs/>
        </w:rPr>
        <w:t xml:space="preserve">nicht</w:t>
      </w:r>
      <w:r>
        <w:t xml:space="preserve"> (die Schulung nutzt den vorkonfigurierten Schlüssel AB).</w:t>
      </w:r>
    </w:p>
    <w:p>
      <w:pPr>
        <w:pStyle w:val="Heading3"/>
      </w:pPr>
      <w:r>
        <w:t xml:space="preserve">a) Bewertungsbereich zu Ledger 0L ermitteln</w:t>
      </w:r>
    </w:p>
    <w:p>
      <w:pPr>
        <w:pBdr>
          <w:left w:val="single" w:color="7030A0" w:sz="24" w:space="6"/>
        </w:pBdr>
        <w:shd w:fill="F3E8FA" w:color="auto" w:val="clear"/>
        <w:spacing w:after="120" w:before="120"/>
        <w:ind w:left="120" w:right="120"/>
      </w:pPr>
      <w:r>
        <w:rPr>
          <w:b/>
          <w:bCs/>
          <w:color w:val="7030A0"/>
        </w:rPr>
        <w:t xml:space="preserve">Vergleichbare Übung in den Schulungsunterlagen: </w:t>
      </w:r>
      <w:r>
        <w:rPr>
          <w:b/>
          <w:bCs/>
        </w:rPr>
        <w:t xml:space="preserve">S4F15</w:t>
      </w:r>
      <w:r>
        <w:t xml:space="preserve">, Lektion „Fremdwährungsbewertung verwalten", Abschnitt „Bewertung: Ledgerlösung", S. 140 (PDF 148): IMG-Pfade „Bewertungsbereiche definieren", „Bewertungsbereich Rechnungslegungsvorschrift zuordnen" und „Rechnungslegungsvorschrift Ledger-Gruppen zuordnen"; </w:t>
      </w:r>
      <w:r>
        <w:rPr>
          <w:b/>
          <w:bCs/>
        </w:rPr>
        <w:t xml:space="preserve">S4F15</w:t>
      </w:r>
      <w:r>
        <w:t xml:space="preserve">, Übung 7 „Fremdwährungsbewertung offener Positionen verwalten", S. 151–152 (PDF 159–160) – Bewertungsbereich IF (Bewertungsmethode IFRS) im IMG „Bewertungsbereiche definieren"; führendes Ledger 0L = „Ledger für int. RechnLegVorsch": S4F12 Lösung 5, S. 54.</w:t>
      </w:r>
    </w:p>
    <w:p>
      <w:pPr>
        <w:pStyle w:val="ListParagraph"/>
        <w:numPr>
          <w:ilvl w:val="0"/>
          <w:numId w:val="12"/>
        </w:numPr>
        <w:spacing w:after="60"/>
      </w:pPr>
      <w:r>
        <w:t xml:space="preserve">Zuerst die Rechnungslegungsvorschrift des Ledgers 0L ermitteln: </w:t>
      </w:r>
      <w:r>
        <w:rPr>
          <w:rFonts w:ascii="Consolas" w:cs="Consolas" w:eastAsia="Consolas" w:hAnsi="Consolas"/>
          <w:b/>
          <w:bCs/>
          <w:color w:val="1F4E79"/>
        </w:rPr>
        <w:t xml:space="preserve">SPRO</w:t>
      </w:r>
      <w:r>
        <w:t xml:space="preserve"> → Financial Accounting Global Settings → Ledgers → Parallel Accounting → </w:t>
      </w:r>
      <w:r>
        <w:rPr>
          <w:b/>
          <w:bCs/>
        </w:rPr>
        <w:t xml:space="preserve">Assign Accounting Principle to Ledger Groups</w:t>
      </w:r>
      <w:r>
        <w:t xml:space="preserve"> (Schulung: Grundeinstellungen Finanzwesen → Bücher → Parallele Rechnungslegung → Rechnungslegungsvorschrift Ledger-Gruppen zuordnen) – Zeile Ledger-Gruppe 0L.</w:t>
      </w:r>
    </w:p>
    <w:p>
      <w:pPr>
        <w:pStyle w:val="ListParagraph"/>
        <w:numPr>
          <w:ilvl w:val="0"/>
          <w:numId w:val="12"/>
        </w:numPr>
        <w:spacing w:after="60"/>
      </w:pPr>
      <w:r>
        <w:t xml:space="preserve">Dann: Financial Accounting → General Ledger Accounting → Periodic Processing → Valuate → </w:t>
      </w:r>
      <w:r>
        <w:rPr>
          <w:b/>
          <w:bCs/>
        </w:rPr>
        <w:t xml:space="preserve">Assign Valuation Areas and Accounting Principles</w:t>
      </w:r>
      <w:r>
        <w:t xml:space="preserve"> (Schulung: Hauptbuchhaltung → Periodische Arbeiten → Bewerten → Bewertungsbereich Rechnungslegungsvorschrift zuordnen) – Bewertungsbereich zu dieser Rechnungslegungsvorschrift ablesen (Schulung: </w:t>
      </w:r>
      <w:r>
        <w:rPr>
          <w:b/>
          <w:bCs/>
        </w:rPr>
        <w:t xml:space="preserve">IF</w:t>
      </w:r>
      <w:r>
        <w:t xml:space="preserve">).</w:t>
      </w:r>
    </w:p>
    <w:p>
      <w:pPr>
        <w:pStyle w:val="ListParagraph"/>
        <w:numPr>
          <w:ilvl w:val="0"/>
          <w:numId w:val="12"/>
        </w:numPr>
        <w:spacing w:after="60"/>
      </w:pPr>
      <w:r>
        <w:t xml:space="preserve">Bewertungsbereich notieren (wird in 4.4 benötigt).</w:t>
      </w:r>
    </w:p>
    <w:p>
      <w:pPr>
        <w:pStyle w:val="Heading3"/>
      </w:pPr>
      <w:r>
        <w:t xml:space="preserve">b) Schlüssel ## mit Prozentsätzen anlegen</w:t>
      </w:r>
    </w:p>
    <w:p>
      <w:pPr>
        <w:pBdr>
          <w:left w:val="single" w:color="7030A0" w:sz="24" w:space="6"/>
        </w:pBdr>
        <w:shd w:fill="F3E8FA" w:color="auto" w:val="clear"/>
        <w:spacing w:after="120" w:before="120"/>
        <w:ind w:left="120" w:right="120"/>
      </w:pPr>
      <w:r>
        <w:rPr>
          <w:b/>
          <w:bCs/>
          <w:color w:val="7030A0"/>
        </w:rPr>
        <w:t xml:space="preserve">Vergleichbare Übung in den Schulungsunterlagen: </w:t>
      </w:r>
      <w:r>
        <w:t xml:space="preserve">Zuordnung des Schlüssels erfolgt im Debitorenstamm, nicht im Beleg: </w:t>
      </w:r>
      <w:r>
        <w:rPr>
          <w:b/>
          <w:bCs/>
        </w:rPr>
        <w:t xml:space="preserve">S4F15</w:t>
      </w:r>
      <w:r>
        <w:t xml:space="preserve">, Lernkontrolle Frage 9, S. 194 (PDF 202); mehrere Schlüssel für unterschiedliche Bonitäten, Prozentsatz nach Tagen der Überfälligkeit: </w:t>
      </w:r>
      <w:r>
        <w:rPr>
          <w:b/>
          <w:bCs/>
        </w:rPr>
        <w:t xml:space="preserve">S4F10</w:t>
      </w:r>
      <w:r>
        <w:t xml:space="preserve">, S. 331 (PDF 341) und Lernkontrolle Frage 10, S. 350 (PDF 360).</w:t>
      </w:r>
    </w:p>
    <w:p>
      <w:pPr>
        <w:pBdr>
          <w:left w:val="single" w:color="BF8F00" w:sz="24" w:space="6"/>
        </w:pBdr>
        <w:shd w:fill="FFF2CC" w:color="auto" w:val="clear"/>
        <w:spacing w:after="120" w:before="120"/>
        <w:ind w:left="120" w:right="120"/>
      </w:pPr>
      <w:r>
        <w:rPr>
          <w:b/>
          <w:bCs/>
          <w:color w:val="BF8F00"/>
        </w:rPr>
        <w:t xml:space="preserve">Nicht in den Schulungsunterlagen – eigene SAP-Kenntnis: </w:t>
      </w:r>
      <w:r>
        <w:t xml:space="preserve">IMG-Pfad (nicht in den Unterlagen): Financial Accounting → Accounts Receivable and Accounts Payable → Business Transactions → Closing → Valuate → Valuations → </w:t>
      </w:r>
      <w:r>
        <w:rPr>
          <w:b/>
          <w:bCs/>
        </w:rPr>
        <w:t xml:space="preserve">Define Value Adjustment Key</w:t>
      </w:r>
      <w:r>
        <w:t xml:space="preserve">. Die genaue Feldbezeichnung kann je Release leicht abweichen.</w:t>
      </w:r>
    </w:p>
    <w:p>
      <w:pPr>
        <w:pStyle w:val="ListParagraph"/>
        <w:numPr>
          <w:ilvl w:val="0"/>
          <w:numId w:val="13"/>
        </w:numPr>
        <w:spacing w:after="60"/>
      </w:pPr>
      <w:r>
        <w:t xml:space="preserve">IMG-Aktivität </w:t>
      </w:r>
      <w:r>
        <w:rPr>
          <w:b/>
          <w:bCs/>
        </w:rPr>
        <w:t xml:space="preserve">Define Value Adjustment Key</w:t>
      </w:r>
      <w:r>
        <w:t xml:space="preserve"> öffnen → </w:t>
      </w:r>
      <w:r>
        <w:rPr>
          <w:b/>
          <w:bCs/>
        </w:rPr>
        <w:t xml:space="preserve">New Entries</w:t>
      </w:r>
      <w:r>
        <w:t xml:space="preserve">: </w:t>
      </w:r>
      <w:r>
        <w:rPr>
          <w:b/>
          <w:bCs/>
        </w:rPr>
        <w:t xml:space="preserve">Value Adjustment Key</w:t>
      </w:r>
      <w:r>
        <w:t xml:space="preserve"> </w:t>
      </w:r>
      <w:r>
        <w:rPr>
          <w:rFonts w:ascii="Consolas" w:cs="Consolas" w:eastAsia="Consolas" w:hAnsi="Consolas"/>
          <w:b/>
          <w:bCs/>
          <w:color w:val="1F4E79"/>
        </w:rPr>
        <w:t xml:space="preserve">##</w:t>
      </w:r>
      <w:r>
        <w:t xml:space="preserve">, Bezeichnung z. B. „Bike Retailer ##" → </w:t>
      </w:r>
      <w:r>
        <w:rPr>
          <w:b/>
          <w:bCs/>
        </w:rPr>
        <w:t xml:space="preserve">Save</w:t>
      </w:r>
      <w:r>
        <w:t xml:space="preserve">.</w:t>
      </w:r>
    </w:p>
    <w:p>
      <w:pPr>
        <w:pStyle w:val="ListParagraph"/>
        <w:numPr>
          <w:ilvl w:val="0"/>
          <w:numId w:val="13"/>
        </w:numPr>
        <w:spacing w:after="60"/>
      </w:pPr>
      <w:r>
        <w:t xml:space="preserve">Schlüssel ## markieren → in der Dialogstruktur die Prozentsätze (Percentage Rates) öffnen → </w:t>
      </w:r>
      <w:r>
        <w:rPr>
          <w:b/>
          <w:bCs/>
        </w:rPr>
        <w:t xml:space="preserve">New Entries</w:t>
      </w:r>
      <w:r>
        <w:t xml:space="preserve">:</w:t>
      </w:r>
    </w:p>
    <w:p>
      <w:pPr>
        <w:pStyle w:val="ListParagraph"/>
        <w:numPr>
          <w:ilvl w:val="0"/>
          <w:numId w:val="14"/>
        </w:numPr>
        <w:spacing w:after="40"/>
      </w:pPr>
      <w:r>
        <w:t xml:space="preserve">Zeile 1: </w:t>
      </w:r>
      <w:r>
        <w:rPr>
          <w:b/>
          <w:bCs/>
        </w:rPr>
        <w:t xml:space="preserve">Valuation Area</w:t>
      </w:r>
      <w:r>
        <w:t xml:space="preserve"> = Bereich aus a) (z. B. </w:t>
      </w:r>
      <w:r>
        <w:rPr>
          <w:rFonts w:ascii="Consolas" w:cs="Consolas" w:eastAsia="Consolas" w:hAnsi="Consolas"/>
          <w:b/>
          <w:bCs/>
          <w:color w:val="1F4E79"/>
        </w:rPr>
        <w:t xml:space="preserve">IF</w:t>
      </w:r>
      <w:r>
        <w:t xml:space="preserve">), </w:t>
      </w:r>
      <w:r>
        <w:rPr>
          <w:b/>
          <w:bCs/>
        </w:rPr>
        <w:t xml:space="preserve">Days overdue</w:t>
      </w:r>
      <w:r>
        <w:t xml:space="preserve"> </w:t>
      </w:r>
      <w:r>
        <w:rPr>
          <w:rFonts w:ascii="Consolas" w:cs="Consolas" w:eastAsia="Consolas" w:hAnsi="Consolas"/>
          <w:b/>
          <w:bCs/>
          <w:color w:val="1F4E79"/>
        </w:rPr>
        <w:t xml:space="preserve">30</w:t>
      </w:r>
      <w:r>
        <w:t xml:space="preserve">, </w:t>
      </w:r>
      <w:r>
        <w:rPr>
          <w:b/>
          <w:bCs/>
        </w:rPr>
        <w:t xml:space="preserve">Percentage</w:t>
      </w:r>
      <w:r>
        <w:t xml:space="preserve"> </w:t>
      </w:r>
      <w:r>
        <w:rPr>
          <w:rFonts w:ascii="Consolas" w:cs="Consolas" w:eastAsia="Consolas" w:hAnsi="Consolas"/>
          <w:b/>
          <w:bCs/>
          <w:color w:val="1F4E79"/>
        </w:rPr>
        <w:t xml:space="preserve">10</w:t>
      </w:r>
      <w:r>
        <w:t xml:space="preserve">, </w:t>
      </w:r>
      <w:r>
        <w:rPr>
          <w:b/>
          <w:bCs/>
        </w:rPr>
        <w:t xml:space="preserve">Posting Type / Base</w:t>
      </w:r>
      <w:r>
        <w:t xml:space="preserve"> </w:t>
      </w:r>
      <w:r>
        <w:rPr>
          <w:rFonts w:ascii="Consolas" w:cs="Consolas" w:eastAsia="Consolas" w:hAnsi="Consolas"/>
          <w:b/>
          <w:bCs/>
          <w:color w:val="1F4E79"/>
        </w:rPr>
        <w:t xml:space="preserve">Net amount</w:t>
      </w:r>
    </w:p>
    <w:p>
      <w:pPr>
        <w:pStyle w:val="ListParagraph"/>
        <w:numPr>
          <w:ilvl w:val="0"/>
          <w:numId w:val="14"/>
        </w:numPr>
        <w:spacing w:after="40"/>
      </w:pPr>
      <w:r>
        <w:t xml:space="preserve">Zeile 2: </w:t>
      </w:r>
      <w:r>
        <w:rPr>
          <w:b/>
          <w:bCs/>
        </w:rPr>
        <w:t xml:space="preserve">Valuation Area</w:t>
      </w:r>
      <w:r>
        <w:t xml:space="preserve"> wie oben, </w:t>
      </w:r>
      <w:r>
        <w:rPr>
          <w:b/>
          <w:bCs/>
        </w:rPr>
        <w:t xml:space="preserve">Days overdue</w:t>
      </w:r>
      <w:r>
        <w:t xml:space="preserve"> </w:t>
      </w:r>
      <w:r>
        <w:rPr>
          <w:rFonts w:ascii="Consolas" w:cs="Consolas" w:eastAsia="Consolas" w:hAnsi="Consolas"/>
          <w:b/>
          <w:bCs/>
          <w:color w:val="1F4E79"/>
        </w:rPr>
        <w:t xml:space="preserve">60</w:t>
      </w:r>
      <w:r>
        <w:t xml:space="preserve">, </w:t>
      </w:r>
      <w:r>
        <w:rPr>
          <w:b/>
          <w:bCs/>
        </w:rPr>
        <w:t xml:space="preserve">Percentage</w:t>
      </w:r>
      <w:r>
        <w:t xml:space="preserve"> </w:t>
      </w:r>
      <w:r>
        <w:rPr>
          <w:rFonts w:ascii="Consolas" w:cs="Consolas" w:eastAsia="Consolas" w:hAnsi="Consolas"/>
          <w:b/>
          <w:bCs/>
          <w:color w:val="1F4E79"/>
        </w:rPr>
        <w:t xml:space="preserve">20</w:t>
      </w:r>
      <w:r>
        <w:t xml:space="preserve">, </w:t>
      </w:r>
      <w:r>
        <w:rPr>
          <w:b/>
          <w:bCs/>
        </w:rPr>
        <w:t xml:space="preserve">Posting Type / Base</w:t>
      </w:r>
      <w:r>
        <w:t xml:space="preserve"> </w:t>
      </w:r>
      <w:r>
        <w:rPr>
          <w:rFonts w:ascii="Consolas" w:cs="Consolas" w:eastAsia="Consolas" w:hAnsi="Consolas"/>
          <w:b/>
          <w:bCs/>
          <w:color w:val="1F4E79"/>
        </w:rPr>
        <w:t xml:space="preserve">Net amount</w:t>
      </w:r>
    </w:p>
    <w:p>
      <w:pPr>
        <w:pStyle w:val="ListParagraph"/>
        <w:numPr>
          <w:ilvl w:val="0"/>
          <w:numId w:val="13"/>
        </w:numPr>
        <w:spacing w:after="60"/>
      </w:pPr>
      <w:r>
        <w:t xml:space="preserve">„Valuate manually" nicht setzen. </w:t>
      </w:r>
      <w:r>
        <w:rPr>
          <w:b/>
          <w:bCs/>
        </w:rPr>
        <w:t xml:space="preserve">Save</w:t>
      </w:r>
      <w:r>
        <w:t xml:space="preserve">.</w:t>
      </w:r>
    </w:p>
    <w:p>
      <w:pPr>
        <w:pStyle w:val="Heading2"/>
      </w:pPr>
      <w:r>
        <w:t xml:space="preserve">Schritt 4.2 – Geschäftspartner TS4FI## anlegen</w:t>
      </w:r>
    </w:p>
    <w:p>
      <w:pPr>
        <w:pBdr>
          <w:left w:val="single" w:color="7F7F7F" w:sz="24" w:space="6"/>
        </w:pBdr>
        <w:shd w:fill="EDEDED" w:color="auto" w:val="clear"/>
        <w:spacing w:after="120" w:before="120"/>
        <w:ind w:left="120" w:right="120"/>
      </w:pPr>
      <w:r>
        <w:rPr>
          <w:b/>
          <w:bCs/>
          <w:color w:val="7F7F7F"/>
        </w:rPr>
        <w:t xml:space="preserve">Aufgabe (Original): </w:t>
      </w:r>
      <w:r>
        <w:t xml:space="preserve">GP TS4FI## als Debitor in TA## durch Kopieren von T-AC## mit der App „Manage Business Partner Master Data"; Last Name „Bike Retailer ##"; übrige allgemeine Daten unverändert. Die neuen Regeln gelten nur für diesen Kunden.</w:t>
      </w:r>
    </w:p>
    <w:p>
      <w:pPr>
        <w:pBdr>
          <w:left w:val="single" w:color="7030A0" w:sz="24" w:space="6"/>
        </w:pBdr>
        <w:shd w:fill="F3E8FA" w:color="auto" w:val="clear"/>
        <w:spacing w:after="120" w:before="120"/>
        <w:ind w:left="120" w:right="120"/>
      </w:pPr>
      <w:r>
        <w:rPr>
          <w:b/>
          <w:bCs/>
          <w:color w:val="7030A0"/>
        </w:rPr>
        <w:t xml:space="preserve">Vergleichbare Übung in den Schulungsunterlagen: </w:t>
      </w:r>
      <w:r>
        <w:rPr>
          <w:b/>
          <w:bCs/>
        </w:rPr>
        <w:t xml:space="preserve">S4F15</w:t>
      </w:r>
      <w:r>
        <w:t xml:space="preserve">, Übung 8 „Eine pauschalierte Einzelwertberichtigung durchführen", S. 167–168 (PDF 175–176) – Schritt 1 h): Registerkarte „Debitor: Kontoführung", Feld </w:t>
      </w:r>
      <w:r>
        <w:rPr>
          <w:b/>
          <w:bCs/>
        </w:rPr>
        <w:t xml:space="preserve">Wertberichtigung</w:t>
      </w:r>
      <w:r>
        <w:t xml:space="preserve"> = Schlüssel; </w:t>
      </w:r>
      <w:r>
        <w:rPr>
          <w:b/>
          <w:bCs/>
        </w:rPr>
        <w:t xml:space="preserve">S4F10</w:t>
      </w:r>
      <w:r>
        <w:t xml:space="preserve">, Übung 43 „Eine pauschalierte Einzelwertberichtigung anwenden", S. 335–336 (PDF 345–346) – Schritt 1 g)</w:t>
      </w:r>
    </w:p>
    <w:p>
      <w:pPr>
        <w:pBdr>
          <w:left w:val="single" w:color="F0AB00" w:sz="24" w:space="6"/>
        </w:pBdr>
        <w:shd w:fill="FFF4D6" w:color="auto" w:val="clear"/>
        <w:spacing w:after="120" w:before="120"/>
        <w:ind w:left="120" w:right="120"/>
      </w:pPr>
      <w:r>
        <w:rPr>
          <w:b/>
          <w:bCs/>
          <w:color w:val="F0AB00"/>
        </w:rPr>
        <w:t xml:space="preserve">Transaktion / App: </w:t>
      </w:r>
      <w:r>
        <w:t xml:space="preserve">Fiori-App </w:t>
      </w:r>
      <w:r>
        <w:rPr>
          <w:b/>
          <w:bCs/>
        </w:rPr>
        <w:t xml:space="preserve">Manage Business Partner Master Data</w:t>
      </w:r>
      <w:r>
        <w:t xml:space="preserve"> (laut Aufgabe). Alternativ für die Pflege des Schlüssels: „Geschäftspartner pflegen" / </w:t>
      </w:r>
      <w:r>
        <w:rPr>
          <w:rFonts w:ascii="Consolas" w:cs="Consolas" w:eastAsia="Consolas" w:hAnsi="Consolas"/>
          <w:b/>
          <w:bCs/>
          <w:color w:val="1F4E79"/>
        </w:rPr>
        <w:t xml:space="preserve">BP</w:t>
      </w:r>
      <w:r>
        <w:t xml:space="preserve"> (Schulung).</w:t>
      </w:r>
    </w:p>
    <w:p>
      <w:pPr>
        <w:pStyle w:val="ListParagraph"/>
        <w:numPr>
          <w:ilvl w:val="0"/>
          <w:numId w:val="15"/>
        </w:numPr>
        <w:spacing w:after="60"/>
      </w:pPr>
      <w:r>
        <w:t xml:space="preserve">App </w:t>
      </w:r>
      <w:r>
        <w:rPr>
          <w:b/>
          <w:bCs/>
        </w:rPr>
        <w:t xml:space="preserve">Manage Business Partner Master Data</w:t>
      </w:r>
      <w:r>
        <w:t xml:space="preserve"> öffnen → </w:t>
      </w:r>
      <w:r>
        <w:rPr>
          <w:rFonts w:ascii="Consolas" w:cs="Consolas" w:eastAsia="Consolas" w:hAnsi="Consolas"/>
          <w:b/>
          <w:bCs/>
          <w:color w:val="1F4E79"/>
        </w:rPr>
        <w:t xml:space="preserve">T-AC##</w:t>
      </w:r>
      <w:r>
        <w:t xml:space="preserve"> suchen → </w:t>
      </w:r>
      <w:r>
        <w:rPr>
          <w:b/>
          <w:bCs/>
        </w:rPr>
        <w:t xml:space="preserve">Go</w:t>
      </w:r>
      <w:r>
        <w:t xml:space="preserve"> → Partner öffnen.</w:t>
      </w:r>
    </w:p>
    <w:p>
      <w:pPr>
        <w:pStyle w:val="ListParagraph"/>
        <w:numPr>
          <w:ilvl w:val="0"/>
          <w:numId w:val="15"/>
        </w:numPr>
        <w:spacing w:after="60"/>
      </w:pPr>
      <w:r>
        <w:t xml:space="preserve">Drucktaste </w:t>
      </w:r>
      <w:r>
        <w:rPr>
          <w:b/>
          <w:bCs/>
        </w:rPr>
        <w:t xml:space="preserve">Copy</w:t>
      </w:r>
      <w:r>
        <w:t xml:space="preserve"> wählen. Im Dialog: </w:t>
      </w:r>
      <w:r>
        <w:rPr>
          <w:b/>
          <w:bCs/>
        </w:rPr>
        <w:t xml:space="preserve">Business Partner</w:t>
      </w:r>
      <w:r>
        <w:t xml:space="preserve"> </w:t>
      </w:r>
      <w:r>
        <w:rPr>
          <w:rFonts w:ascii="Consolas" w:cs="Consolas" w:eastAsia="Consolas" w:hAnsi="Consolas"/>
          <w:b/>
          <w:bCs/>
          <w:color w:val="1F4E79"/>
        </w:rPr>
        <w:t xml:space="preserve">TS4FI##</w:t>
      </w:r>
      <w:r>
        <w:t xml:space="preserve"> (ggf. Gruppierung mit externer Nummernvergabe), Kopie der </w:t>
      </w:r>
      <w:r>
        <w:rPr>
          <w:b/>
          <w:bCs/>
        </w:rPr>
        <w:t xml:space="preserve">Roles</w:t>
      </w:r>
      <w:r>
        <w:t xml:space="preserve"> und der </w:t>
      </w:r>
      <w:r>
        <w:rPr>
          <w:b/>
          <w:bCs/>
        </w:rPr>
        <w:t xml:space="preserve">Company Code</w:t>
      </w:r>
      <w:r>
        <w:t xml:space="preserve">-Daten (Customer, TA##) aktivieren → OK.</w:t>
      </w:r>
    </w:p>
    <w:p>
      <w:pPr>
        <w:pStyle w:val="ListParagraph"/>
        <w:numPr>
          <w:ilvl w:val="0"/>
          <w:numId w:val="15"/>
        </w:numPr>
        <w:spacing w:after="60"/>
      </w:pPr>
      <w:r>
        <w:t xml:space="preserve">Abschnitt </w:t>
      </w:r>
      <w:r>
        <w:rPr>
          <w:b/>
          <w:bCs/>
        </w:rPr>
        <w:t xml:space="preserve">General Information</w:t>
      </w:r>
      <w:r>
        <w:t xml:space="preserve"> → </w:t>
      </w:r>
      <w:r>
        <w:rPr>
          <w:b/>
          <w:bCs/>
        </w:rPr>
        <w:t xml:space="preserve">Last Name</w:t>
      </w:r>
      <w:r>
        <w:t xml:space="preserve"> </w:t>
      </w:r>
      <w:r>
        <w:rPr>
          <w:rFonts w:ascii="Consolas" w:cs="Consolas" w:eastAsia="Consolas" w:hAnsi="Consolas"/>
          <w:b/>
          <w:bCs/>
          <w:color w:val="1F4E79"/>
        </w:rPr>
        <w:t xml:space="preserve">Bike Retailer ##</w:t>
      </w:r>
      <w:r>
        <w:t xml:space="preserve">; alles andere unverändert. (T-AC## ist im Schulungssystem eine </w:t>
      </w:r>
      <w:r>
        <w:rPr>
          <w:b/>
          <w:bCs/>
        </w:rPr>
        <w:t xml:space="preserve">Person</w:t>
      </w:r>
      <w:r>
        <w:t xml:space="preserve"> – S4F15 Lösung 8, Schritt 1 e), S. 167: „Person anzeigen: T-AC##, Rolle FI Debitor"; daher heißt das Feld „Last Name".)</w:t>
      </w:r>
    </w:p>
    <w:p>
      <w:pPr>
        <w:pStyle w:val="ListParagraph"/>
        <w:numPr>
          <w:ilvl w:val="0"/>
          <w:numId w:val="15"/>
        </w:numPr>
        <w:spacing w:after="60"/>
      </w:pPr>
      <w:r>
        <w:t xml:space="preserve">Bereich </w:t>
      </w:r>
      <w:r>
        <w:rPr>
          <w:b/>
          <w:bCs/>
        </w:rPr>
        <w:t xml:space="preserve">Customer → Company Codes → TA##</w:t>
      </w:r>
      <w:r>
        <w:t xml:space="preserve"> öffnen → </w:t>
      </w:r>
      <w:r>
        <w:rPr>
          <w:b/>
          <w:bCs/>
        </w:rPr>
        <w:t xml:space="preserve">Account Management</w:t>
      </w:r>
      <w:r>
        <w:t xml:space="preserve"> (Kontoführung) → Feld </w:t>
      </w:r>
      <w:r>
        <w:rPr>
          <w:b/>
          <w:bCs/>
        </w:rPr>
        <w:t xml:space="preserve">Value Adjustment</w:t>
      </w:r>
      <w:r>
        <w:t xml:space="preserve"> (Wertberichtigung) = </w:t>
      </w:r>
      <w:r>
        <w:rPr>
          <w:rFonts w:ascii="Consolas" w:cs="Consolas" w:eastAsia="Consolas" w:hAnsi="Consolas"/>
          <w:b/>
          <w:bCs/>
          <w:color w:val="1F4E79"/>
        </w:rPr>
        <w:t xml:space="preserve">##</w:t>
      </w:r>
      <w:r>
        <w:t xml:space="preserve"> (Schulung: AB).</w:t>
      </w:r>
    </w:p>
    <w:p>
      <w:pPr>
        <w:pStyle w:val="ListParagraph"/>
        <w:numPr>
          <w:ilvl w:val="0"/>
          <w:numId w:val="15"/>
        </w:numPr>
        <w:spacing w:after="60"/>
      </w:pPr>
      <w:r>
        <w:rPr>
          <w:b/>
          <w:bCs/>
        </w:rPr>
        <w:t xml:space="preserve">Save</w:t>
      </w:r>
      <w:r>
        <w:t xml:space="preserve">.</w:t>
      </w:r>
    </w:p>
    <w:p>
      <w:pPr>
        <w:pBdr>
          <w:left w:val="single" w:color="BF8F00" w:sz="24" w:space="6"/>
        </w:pBdr>
        <w:shd w:fill="FFF2CC" w:color="auto" w:val="clear"/>
        <w:spacing w:after="120" w:before="120"/>
        <w:ind w:left="120" w:right="120"/>
      </w:pPr>
      <w:r>
        <w:rPr>
          <w:b/>
          <w:bCs/>
          <w:color w:val="BF8F00"/>
        </w:rPr>
        <w:t xml:space="preserve">Nicht in den Schulungsunterlagen – eigene SAP-Kenntnis: </w:t>
      </w:r>
      <w:r>
        <w:t xml:space="preserve">Das Kopieren eines Geschäftspartners in der App „Manage Business Partner Master Data" ist in den Unterlagen nicht beschrieben (dort werden GP über „Geschäftspartner pflegen" bzw. „Kundenstammdaten verwalten" angelegt, z. B. S4F12 Lösung 9 Aufgabe 2, S. 173–177). Die Pflege des Feldes </w:t>
      </w:r>
      <w:r>
        <w:rPr>
          <w:b/>
          <w:bCs/>
        </w:rPr>
        <w:t xml:space="preserve">Wertberichtigung</w:t>
      </w:r>
      <w:r>
        <w:t xml:space="preserve"> entspricht exakt der Schulung.</w:t>
      </w:r>
    </w:p>
    <w:p>
      <w:pPr>
        <w:pStyle w:val="Heading2"/>
      </w:pPr>
      <w:r>
        <w:t xml:space="preserve">Schritt 4.3 – Zwei Kundenrechnungen buchen</w:t>
      </w:r>
    </w:p>
    <w:p>
      <w:pPr>
        <w:pBdr>
          <w:left w:val="single" w:color="7F7F7F" w:sz="24" w:space="6"/>
        </w:pBdr>
        <w:shd w:fill="EDEDED" w:color="auto" w:val="clear"/>
        <w:spacing w:after="120" w:before="120"/>
        <w:ind w:left="120" w:right="120"/>
      </w:pPr>
      <w:r>
        <w:rPr>
          <w:b/>
          <w:bCs/>
          <w:color w:val="7F7F7F"/>
        </w:rPr>
        <w:t xml:space="preserve">Aufgabe (Original): </w:t>
      </w:r>
      <w:r>
        <w:t xml:space="preserve">Für TS4FI## in TA##, Erlöskonto 41000500, je 11.000 EUR brutto, Steuerkennzeichen 1O. Rechnung 1: 15.11. Vorjahr; Rechnung 2: 15.09. Vorjahr. Belegnummern notieren.</w:t>
      </w:r>
    </w:p>
    <w:p>
      <w:pPr>
        <w:pBdr>
          <w:left w:val="single" w:color="7030A0" w:sz="24" w:space="6"/>
        </w:pBdr>
        <w:shd w:fill="F3E8FA" w:color="auto" w:val="clear"/>
        <w:spacing w:after="120" w:before="120"/>
        <w:ind w:left="120" w:right="120"/>
      </w:pPr>
      <w:r>
        <w:rPr>
          <w:b/>
          <w:bCs/>
          <w:color w:val="7030A0"/>
        </w:rPr>
        <w:t xml:space="preserve">Vergleichbare Übung in den Schulungsunterlagen: </w:t>
      </w:r>
      <w:r>
        <w:rPr>
          <w:b/>
          <w:bCs/>
        </w:rPr>
        <w:t xml:space="preserve">S4F15</w:t>
      </w:r>
      <w:r>
        <w:t xml:space="preserve">, Übung 8 „Eine pauschalierte Einzelwertberichtigung durchführen", S. 168 (PDF 176) – Schritt 2: identische Struktur – Betrag 11000, 1O, Steuer berechnen, Sachkonto 41000500, Betrag 11000, Rechnungs-/Buchungsdatum in der Vergangenheit; </w:t>
      </w:r>
      <w:r>
        <w:rPr>
          <w:b/>
          <w:bCs/>
        </w:rPr>
        <w:t xml:space="preserve">S4F10</w:t>
      </w:r>
      <w:r>
        <w:t xml:space="preserve">, Übung 43 „Eine pauschalierte Einzelwertberichtigung anwenden", S. 336 (PDF 346) – Schritt 2 a)–f)</w:t>
      </w:r>
    </w:p>
    <w:p>
      <w:pPr>
        <w:pBdr>
          <w:left w:val="single" w:color="F0AB00" w:sz="24" w:space="6"/>
        </w:pBdr>
        <w:shd w:fill="FFF4D6" w:color="auto" w:val="clear"/>
        <w:spacing w:after="120" w:before="120"/>
        <w:ind w:left="120" w:right="120"/>
      </w:pPr>
      <w:r>
        <w:rPr>
          <w:b/>
          <w:bCs/>
          <w:color w:val="F0AB00"/>
        </w:rPr>
        <w:t xml:space="preserve">Transaktion / App: </w:t>
      </w:r>
      <w:r>
        <w:t xml:space="preserve">Fiori-App </w:t>
      </w:r>
      <w:r>
        <w:rPr>
          <w:b/>
          <w:bCs/>
        </w:rPr>
        <w:t xml:space="preserve">Create Outgoing Invoices</w:t>
      </w:r>
      <w:r>
        <w:t xml:space="preserve"> (Ausgangsrechnungen anlegen), Kachelgruppe Debitoren – entspricht </w:t>
      </w:r>
      <w:r>
        <w:rPr>
          <w:rFonts w:ascii="Consolas" w:cs="Consolas" w:eastAsia="Consolas" w:hAnsi="Consolas"/>
          <w:b/>
          <w:bCs/>
          <w:color w:val="1F4E79"/>
        </w:rPr>
        <w:t xml:space="preserve">FB70</w:t>
      </w:r>
      <w:r>
        <w:t xml:space="preserve">.</w:t>
      </w:r>
    </w:p>
    <w:p>
      <w:pPr>
        <w:pStyle w:val="ListParagraph"/>
        <w:numPr>
          <w:ilvl w:val="0"/>
          <w:numId w:val="16"/>
        </w:numPr>
        <w:spacing w:after="60"/>
      </w:pPr>
      <w:r>
        <w:t xml:space="preserve">App öffnen, </w:t>
      </w:r>
      <w:r>
        <w:rPr>
          <w:b/>
          <w:bCs/>
        </w:rPr>
        <w:t xml:space="preserve">Company Code</w:t>
      </w:r>
      <w:r>
        <w:t xml:space="preserve"> </w:t>
      </w:r>
      <w:r>
        <w:rPr>
          <w:rFonts w:ascii="Consolas" w:cs="Consolas" w:eastAsia="Consolas" w:hAnsi="Consolas"/>
          <w:b/>
          <w:bCs/>
          <w:color w:val="1F4E79"/>
        </w:rPr>
        <w:t xml:space="preserve">TA##</w:t>
      </w:r>
      <w:r>
        <w:t xml:space="preserve">.</w:t>
      </w:r>
    </w:p>
    <w:p>
      <w:pPr>
        <w:pStyle w:val="ListParagraph"/>
        <w:numPr>
          <w:ilvl w:val="0"/>
          <w:numId w:val="16"/>
        </w:numPr>
        <w:spacing w:after="60"/>
      </w:pPr>
      <w:r>
        <w:t xml:space="preserve">Rechnung 1 erfassen: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438"/>
      </w:tblGrid>
      <w:tr>
        <w:trPr>
          <w:tblHeader/>
        </w:trPr>
        <w:tc>
          <w:tcPr>
            <w:tcW w:type="dxa" w:w="2600"/>
            <w:tcBorders>
              <w:top w:val="single" w:color="A6A6A6" w:sz="4"/>
              <w:left w:val="single" w:color="A6A6A6" w:sz="4"/>
              <w:bottom w:val="single" w:color="A6A6A6" w:sz="4"/>
              <w:right w:val="single" w:color="A6A6A6" w:sz="4"/>
            </w:tcBorders>
            <w:shd w:fill="F0AB00" w:color="auto" w:val="clear"/>
            <w:tcMar>
              <w:top w:type="dxa" w:w="60"/>
              <w:left w:type="dxa" w:w="100"/>
              <w:bottom w:type="dxa" w:w="60"/>
              <w:right w:type="dxa" w:w="100"/>
            </w:tcMar>
          </w:tcPr>
          <w:p>
            <w:r>
              <w:rPr>
                <w:b/>
                <w:bCs/>
              </w:rPr>
              <w:t xml:space="preserve">Feld (EN / DE)</w:t>
            </w:r>
          </w:p>
        </w:tc>
        <w:tc>
          <w:tcPr>
            <w:tcW w:type="dxa" w:w="3600"/>
            <w:tcBorders>
              <w:top w:val="single" w:color="A6A6A6" w:sz="4"/>
              <w:left w:val="single" w:color="A6A6A6" w:sz="4"/>
              <w:bottom w:val="single" w:color="A6A6A6" w:sz="4"/>
              <w:right w:val="single" w:color="A6A6A6" w:sz="4"/>
            </w:tcBorders>
            <w:shd w:fill="F0AB00" w:color="auto" w:val="clear"/>
            <w:tcMar>
              <w:top w:type="dxa" w:w="60"/>
              <w:left w:type="dxa" w:w="100"/>
              <w:bottom w:type="dxa" w:w="60"/>
              <w:right w:type="dxa" w:w="100"/>
            </w:tcMar>
          </w:tcPr>
          <w:p>
            <w:r>
              <w:rPr>
                <w:b/>
                <w:bCs/>
              </w:rPr>
              <w:t xml:space="preserve">Rechnung 1</w:t>
            </w:r>
          </w:p>
        </w:tc>
        <w:tc>
          <w:tcPr>
            <w:tcW w:type="dxa" w:w="3438"/>
            <w:tcBorders>
              <w:top w:val="single" w:color="A6A6A6" w:sz="4"/>
              <w:left w:val="single" w:color="A6A6A6" w:sz="4"/>
              <w:bottom w:val="single" w:color="A6A6A6" w:sz="4"/>
              <w:right w:val="single" w:color="A6A6A6" w:sz="4"/>
            </w:tcBorders>
            <w:shd w:fill="F0AB00" w:color="auto" w:val="clear"/>
            <w:tcMar>
              <w:top w:type="dxa" w:w="60"/>
              <w:left w:type="dxa" w:w="100"/>
              <w:bottom w:type="dxa" w:w="60"/>
              <w:right w:type="dxa" w:w="100"/>
            </w:tcMar>
          </w:tcPr>
          <w:p>
            <w:r>
              <w:rPr>
                <w:b/>
                <w:bCs/>
              </w:rPr>
              <w:t xml:space="preserve">Rechnung 2</w:t>
            </w:r>
          </w:p>
        </w:tc>
      </w:tr>
      <w:tr>
        <w:trPr>
          <w:tblHeader w:val="false"/>
        </w:trPr>
        <w:tc>
          <w:tcPr>
            <w:tcW w:type="dxa" w:w="2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t xml:space="preserve">Customer (Kunde)</w:t>
            </w:r>
          </w:p>
        </w:tc>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onsolas" w:cs="Consolas" w:eastAsia="Consolas" w:hAnsi="Consolas"/>
                <w:b/>
                <w:bCs/>
                <w:color w:val="1F4E79"/>
              </w:rPr>
              <w:t xml:space="preserve">TS4FI##</w:t>
            </w:r>
          </w:p>
        </w:tc>
        <w:tc>
          <w:tcPr>
            <w:tcW w:type="dxa" w:w="34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onsolas" w:cs="Consolas" w:eastAsia="Consolas" w:hAnsi="Consolas"/>
                <w:b/>
                <w:bCs/>
                <w:color w:val="1F4E79"/>
              </w:rPr>
              <w:t xml:space="preserve">TS4FI##</w:t>
            </w:r>
          </w:p>
        </w:tc>
      </w:tr>
      <w:tr>
        <w:trPr>
          <w:tblHeader w:val="false"/>
        </w:trPr>
        <w:tc>
          <w:tcPr>
            <w:tcW w:type="dxa" w:w="2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t xml:space="preserve">Invoice Date (Rechnungsdatum)</w:t>
            </w:r>
          </w:p>
        </w:tc>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15.11. Vorjahr</w:t>
            </w:r>
          </w:p>
        </w:tc>
        <w:tc>
          <w:tcPr>
            <w:tcW w:type="dxa" w:w="3438"/>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15.09. Vorjahr</w:t>
            </w:r>
          </w:p>
        </w:tc>
      </w:tr>
      <w:tr>
        <w:trPr>
          <w:tblHeader w:val="false"/>
        </w:trPr>
        <w:tc>
          <w:tcPr>
            <w:tcW w:type="dxa" w:w="2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t xml:space="preserve">Posting Date (Buchungsdatum)</w:t>
            </w:r>
          </w:p>
        </w:tc>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15.11. Vorjahr</w:t>
            </w:r>
          </w:p>
        </w:tc>
        <w:tc>
          <w:tcPr>
            <w:tcW w:type="dxa" w:w="3438"/>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15.09. Vorjahr</w:t>
            </w:r>
          </w:p>
        </w:tc>
      </w:tr>
      <w:tr>
        <w:trPr>
          <w:tblHeader w:val="false"/>
        </w:trPr>
        <w:tc>
          <w:tcPr>
            <w:tcW w:type="dxa" w:w="2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t xml:space="preserve">Amount (Betrag)</w:t>
            </w:r>
          </w:p>
        </w:tc>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11.000 EUR</w:t>
            </w:r>
          </w:p>
        </w:tc>
        <w:tc>
          <w:tcPr>
            <w:tcW w:type="dxa" w:w="3438"/>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11.000 EUR</w:t>
            </w:r>
          </w:p>
        </w:tc>
      </w:tr>
      <w:tr>
        <w:trPr>
          <w:tblHeader w:val="false"/>
        </w:trPr>
        <w:tc>
          <w:tcPr>
            <w:tcW w:type="dxa" w:w="2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t xml:space="preserve">Calculate Tax (Steuer berechnen)</w:t>
            </w:r>
          </w:p>
        </w:tc>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markieren</w:t>
            </w:r>
          </w:p>
        </w:tc>
        <w:tc>
          <w:tcPr>
            <w:tcW w:type="dxa" w:w="3438"/>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markieren</w:t>
            </w:r>
          </w:p>
        </w:tc>
      </w:tr>
      <w:tr>
        <w:trPr>
          <w:tblHeader w:val="false"/>
        </w:trPr>
        <w:tc>
          <w:tcPr>
            <w:tcW w:type="dxa" w:w="2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t xml:space="preserve">Tax Code (Steuerkennzeichen)</w:t>
            </w:r>
          </w:p>
        </w:tc>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onsolas" w:cs="Consolas" w:eastAsia="Consolas" w:hAnsi="Consolas"/>
                <w:b/>
                <w:bCs/>
                <w:color w:val="1F4E79"/>
              </w:rPr>
              <w:t xml:space="preserve">1O</w:t>
            </w:r>
          </w:p>
        </w:tc>
        <w:tc>
          <w:tcPr>
            <w:tcW w:type="dxa" w:w="34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onsolas" w:cs="Consolas" w:eastAsia="Consolas" w:hAnsi="Consolas"/>
                <w:b/>
                <w:bCs/>
                <w:color w:val="1F4E79"/>
              </w:rPr>
              <w:t xml:space="preserve">1O</w:t>
            </w:r>
          </w:p>
        </w:tc>
      </w:tr>
      <w:tr>
        <w:trPr>
          <w:tblHeader w:val="false"/>
        </w:trPr>
        <w:tc>
          <w:tcPr>
            <w:tcW w:type="dxa" w:w="2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t xml:space="preserve">G/L Account (Sachkonto), D/C Credit</w:t>
            </w:r>
          </w:p>
        </w:tc>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onsolas" w:cs="Consolas" w:eastAsia="Consolas" w:hAnsi="Consolas"/>
                <w:b/>
                <w:bCs/>
                <w:color w:val="1F4E79"/>
              </w:rPr>
              <w:t xml:space="preserve">41000500</w:t>
            </w:r>
          </w:p>
        </w:tc>
        <w:tc>
          <w:tcPr>
            <w:tcW w:type="dxa" w:w="34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onsolas" w:cs="Consolas" w:eastAsia="Consolas" w:hAnsi="Consolas"/>
                <w:b/>
                <w:bCs/>
                <w:color w:val="1F4E79"/>
              </w:rPr>
              <w:t xml:space="preserve">41000500</w:t>
            </w:r>
          </w:p>
        </w:tc>
      </w:tr>
      <w:tr>
        <w:trPr>
          <w:tblHeader w:val="false"/>
        </w:trPr>
        <w:tc>
          <w:tcPr>
            <w:tcW w:type="dxa" w:w="2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t xml:space="preserve">Amount in Doc. Curr. (Betrag Belegwährung)</w:t>
            </w:r>
          </w:p>
        </w:tc>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11.000</w:t>
            </w:r>
          </w:p>
        </w:tc>
        <w:tc>
          <w:tcPr>
            <w:tcW w:type="dxa" w:w="3438"/>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11.000</w:t>
            </w:r>
          </w:p>
        </w:tc>
      </w:tr>
      <w:tr>
        <w:trPr>
          <w:tblHeader w:val="false"/>
        </w:trPr>
        <w:tc>
          <w:tcPr>
            <w:tcW w:type="dxa" w:w="2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t xml:space="preserve">Profit Center (falls gefordert)</w:t>
            </w:r>
          </w:p>
        </w:tc>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gemäß Vorschlag</w:t>
            </w:r>
          </w:p>
        </w:tc>
        <w:tc>
          <w:tcPr>
            <w:tcW w:type="dxa" w:w="3438"/>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gemäß Vorschlag</w:t>
            </w:r>
          </w:p>
        </w:tc>
      </w:tr>
    </w:tbl>
    <w:p>
      <w:pPr>
        <w:spacing w:after="60"/>
      </w:pPr>
    </w:p>
    <w:p>
      <w:pPr>
        <w:pStyle w:val="ListParagraph"/>
        <w:numPr>
          <w:ilvl w:val="0"/>
          <w:numId w:val="17"/>
        </w:numPr>
        <w:spacing w:after="60"/>
      </w:pPr>
      <w:r>
        <w:t xml:space="preserve">Informationsmeldungen (z. B. zum Nettofälligkeitsdatum) mit Enter bestätigen (Schulung S4F15 S. 168 b; S4F10 S. 336 c).</w:t>
      </w:r>
    </w:p>
    <w:p>
      <w:pPr>
        <w:pStyle w:val="ListParagraph"/>
        <w:numPr>
          <w:ilvl w:val="0"/>
          <w:numId w:val="17"/>
        </w:numPr>
        <w:spacing w:after="60"/>
      </w:pPr>
      <w:r>
        <w:rPr>
          <w:b/>
          <w:bCs/>
        </w:rPr>
        <w:t xml:space="preserve">Simulate</w:t>
      </w:r>
      <w:r>
        <w:t xml:space="preserve">: Debitor 11.000 Soll, Erlös 10.000 Haben, Steuer 1.000 Haben (Schulung S4F10 S. 336 e: 1.650/1.500/150) → </w:t>
      </w:r>
      <w:r>
        <w:rPr>
          <w:b/>
          <w:bCs/>
        </w:rPr>
        <w:t xml:space="preserve">Post</w:t>
      </w:r>
      <w:r>
        <w:t xml:space="preserve"> → </w:t>
      </w:r>
      <w:r>
        <w:rPr>
          <w:b/>
          <w:bCs/>
        </w:rPr>
        <w:t xml:space="preserve">Belegnummer notieren</w:t>
      </w:r>
      <w:r>
        <w:t xml:space="preserve">.</w:t>
      </w:r>
    </w:p>
    <w:p>
      <w:pPr>
        <w:pStyle w:val="ListParagraph"/>
        <w:numPr>
          <w:ilvl w:val="0"/>
          <w:numId w:val="17"/>
        </w:numPr>
        <w:spacing w:after="60"/>
      </w:pPr>
      <w:r>
        <w:t xml:space="preserve">Rechnung 2 analog erfassen, buchen und Belegnummer notieren.</w:t>
      </w:r>
    </w:p>
    <w:p>
      <w:pPr>
        <w:pBdr>
          <w:left w:val="single" w:color="C00000" w:sz="24" w:space="6"/>
        </w:pBdr>
        <w:shd w:fill="FDECEA" w:color="auto" w:val="clear"/>
        <w:spacing w:after="120" w:before="120"/>
        <w:ind w:left="120" w:right="120"/>
      </w:pPr>
      <w:r>
        <w:rPr>
          <w:b/>
          <w:bCs/>
          <w:color w:val="C00000"/>
        </w:rPr>
        <w:t xml:space="preserve">Achtung: </w:t>
      </w:r>
      <w:r>
        <w:t xml:space="preserve">Die Perioden 09 und 11 des Vorjahres müssen in TA## offen sein. Falls nicht: Fiori-App </w:t>
      </w:r>
      <w:r>
        <w:rPr>
          <w:b/>
          <w:bCs/>
        </w:rPr>
        <w:t xml:space="preserve">Manage Posting Periods</w:t>
      </w:r>
      <w:r>
        <w:t xml:space="preserve"> (Buchungsperioden öffnen und schließen, Gruppe Umfeld) bzw. IMG Financial Accounting Global Settings → Ledgers → Fiscal Year and Posting Periods → Posting Periods → Open and Close Posting Periods (</w:t>
      </w:r>
      <w:r>
        <w:rPr>
          <w:rFonts w:ascii="Consolas" w:cs="Consolas" w:eastAsia="Consolas" w:hAnsi="Consolas"/>
          <w:b/>
          <w:bCs/>
          <w:color w:val="1F4E79"/>
        </w:rPr>
        <w:t xml:space="preserve">OB52</w:t>
      </w:r>
      <w:r>
        <w:t xml:space="preserve">). Vergleichbar: </w:t>
      </w:r>
      <w:r>
        <w:rPr>
          <w:b/>
          <w:bCs/>
        </w:rPr>
        <w:t xml:space="preserve">S4F12</w:t>
      </w:r>
      <w:r>
        <w:t xml:space="preserve">, Übung 15 „Buchungsperiodenvarianten anlegen und pflegen", S. 238–239 (PDF 246–247) – Schritt 2: Perioden je Kontoart (+, D, K) pflegen.</w:t>
      </w:r>
    </w:p>
    <w:p>
      <w:pPr>
        <w:pStyle w:val="Heading2"/>
      </w:pPr>
      <w:r>
        <w:t xml:space="preserve">Schritt 4.4 – Bewertungslauf durchführen</w:t>
      </w:r>
    </w:p>
    <w:p>
      <w:pPr>
        <w:pBdr>
          <w:left w:val="single" w:color="7F7F7F" w:sz="24" w:space="6"/>
        </w:pBdr>
        <w:shd w:fill="EDEDED" w:color="auto" w:val="clear"/>
        <w:spacing w:after="120" w:before="120"/>
        <w:ind w:left="120" w:right="120"/>
      </w:pPr>
      <w:r>
        <w:rPr>
          <w:b/>
          <w:bCs/>
          <w:color w:val="7F7F7F"/>
        </w:rPr>
        <w:t xml:space="preserve">Aufgabe (Original): </w:t>
      </w:r>
      <w:r>
        <w:t xml:space="preserve">App „Perform Further Valuations" mit den vorgegebenen Parametern; Lauf auf die zwei Rechnungen von TS4FI## beschränken; Ergebnisliste prüfen, dann buchen.</w:t>
      </w:r>
    </w:p>
    <w:p>
      <w:pPr>
        <w:pBdr>
          <w:left w:val="single" w:color="7030A0" w:sz="24" w:space="6"/>
        </w:pBdr>
        <w:shd w:fill="F3E8FA" w:color="auto" w:val="clear"/>
        <w:spacing w:after="120" w:before="120"/>
        <w:ind w:left="120" w:right="120"/>
      </w:pPr>
      <w:r>
        <w:rPr>
          <w:b/>
          <w:bCs/>
          <w:color w:val="7030A0"/>
        </w:rPr>
        <w:t xml:space="preserve">Vergleichbare Übung in den Schulungsunterlagen: </w:t>
      </w:r>
      <w:r>
        <w:rPr>
          <w:b/>
          <w:bCs/>
        </w:rPr>
        <w:t xml:space="preserve">S4F15</w:t>
      </w:r>
      <w:r>
        <w:t xml:space="preserve">, Übung 8 „Eine pauschalierte Einzelwertberichtigung durchführen", S. 168–170 (PDF 176–178) – Schritte 3–5: Pflegen, Selektionsoptionen, Einplanen, Werteliste, Weiterleiten, Protokoll; </w:t>
      </w:r>
      <w:r>
        <w:rPr>
          <w:b/>
          <w:bCs/>
        </w:rPr>
        <w:t xml:space="preserve">S4F10</w:t>
      </w:r>
      <w:r>
        <w:t xml:space="preserve">, Übung 44 „Einen Bewertungslauf ausführen", S. 339–342 (PDF 349–352) – Transaktion F107, Bewertungsmethode 3, Bewertungsbereich IF, Konto-Trace, Überleiten</w:t>
      </w:r>
    </w:p>
    <w:p>
      <w:pPr>
        <w:pBdr>
          <w:left w:val="single" w:color="F0AB00" w:sz="24" w:space="6"/>
        </w:pBdr>
        <w:shd w:fill="FFF4D6" w:color="auto" w:val="clear"/>
        <w:spacing w:after="120" w:before="120"/>
        <w:ind w:left="120" w:right="120"/>
      </w:pPr>
      <w:r>
        <w:rPr>
          <w:b/>
          <w:bCs/>
          <w:color w:val="F0AB00"/>
        </w:rPr>
        <w:t xml:space="preserve">Transaktion / App: </w:t>
      </w:r>
      <w:r>
        <w:t xml:space="preserve">Fiori-App </w:t>
      </w:r>
      <w:r>
        <w:rPr>
          <w:b/>
          <w:bCs/>
        </w:rPr>
        <w:t xml:space="preserve">Perform Further Valuations</w:t>
      </w:r>
      <w:r>
        <w:t xml:space="preserve"> (Weitere Bewertungen durchführen), Kachelgruppe Debitoren – Transaktion </w:t>
      </w:r>
      <w:r>
        <w:rPr>
          <w:rFonts w:ascii="Consolas" w:cs="Consolas" w:eastAsia="Consolas" w:hAnsi="Consolas"/>
          <w:b/>
          <w:bCs/>
          <w:color w:val="1F4E79"/>
        </w:rPr>
        <w:t xml:space="preserve">F107</w:t>
      </w:r>
      <w:r>
        <w:t xml:space="preserve"> (S4F10 S. 340).</w:t>
      </w:r>
    </w:p>
    <w:p>
      <w:pPr>
        <w:pStyle w:val="ListParagraph"/>
        <w:numPr>
          <w:ilvl w:val="0"/>
          <w:numId w:val="18"/>
        </w:numPr>
        <w:spacing w:after="60"/>
      </w:pPr>
      <w:r>
        <w:t xml:space="preserve">App öffnen. </w:t>
      </w:r>
      <w:r>
        <w:rPr>
          <w:b/>
          <w:bCs/>
        </w:rPr>
        <w:t xml:space="preserve">Run On</w:t>
      </w:r>
      <w:r>
        <w:t xml:space="preserve"> (Tag der Ausführung) </w:t>
      </w:r>
      <w:r>
        <w:rPr>
          <w:rFonts w:ascii="Consolas" w:cs="Consolas" w:eastAsia="Consolas" w:hAnsi="Consolas"/>
          <w:b/>
          <w:bCs/>
          <w:color w:val="1F4E79"/>
        </w:rPr>
        <w:t xml:space="preserve">31.12.</w:t>
      </w:r>
      <w:r>
        <w:t xml:space="preserve"> Vorjahr, </w:t>
      </w:r>
      <w:r>
        <w:rPr>
          <w:b/>
          <w:bCs/>
        </w:rPr>
        <w:t xml:space="preserve">Identification</w:t>
      </w:r>
      <w:r>
        <w:t xml:space="preserve"> </w:t>
      </w:r>
      <w:r>
        <w:rPr>
          <w:rFonts w:ascii="Consolas" w:cs="Consolas" w:eastAsia="Consolas" w:hAnsi="Consolas"/>
          <w:b/>
          <w:bCs/>
          <w:color w:val="1F4E79"/>
        </w:rPr>
        <w:t xml:space="preserve">##</w:t>
      </w:r>
      <w:r>
        <w:t xml:space="preserve"> → Enter (Status „Parameter … existiert noch nicht") → </w:t>
      </w:r>
      <w:r>
        <w:rPr>
          <w:b/>
          <w:bCs/>
        </w:rPr>
        <w:t xml:space="preserve">Maintain</w:t>
      </w:r>
      <w:r>
        <w:t xml:space="preserve"> (Pflegen) – Schulung S4F15 S. 169 a)–c).</w:t>
      </w:r>
    </w:p>
    <w:p>
      <w:pPr>
        <w:pStyle w:val="ListParagraph"/>
        <w:numPr>
          <w:ilvl w:val="0"/>
          <w:numId w:val="18"/>
        </w:numPr>
        <w:spacing w:after="60"/>
      </w:pPr>
      <w:r>
        <w:t xml:space="preserve">Bewertungsparameter eingeben (Schulung S4F10 S. 340 b):</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438"/>
      </w:tblGrid>
      <w:tr>
        <w:trPr>
          <w:tblHeader/>
        </w:trPr>
        <w:tc>
          <w:tcPr>
            <w:tcW w:type="dxa" w:w="2600"/>
            <w:tcBorders>
              <w:top w:val="single" w:color="A6A6A6" w:sz="4"/>
              <w:left w:val="single" w:color="A6A6A6" w:sz="4"/>
              <w:bottom w:val="single" w:color="A6A6A6" w:sz="4"/>
              <w:right w:val="single" w:color="A6A6A6" w:sz="4"/>
            </w:tcBorders>
            <w:shd w:fill="F0AB00" w:color="auto" w:val="clear"/>
            <w:tcMar>
              <w:top w:type="dxa" w:w="60"/>
              <w:left w:type="dxa" w:w="100"/>
              <w:bottom w:type="dxa" w:w="60"/>
              <w:right w:type="dxa" w:w="100"/>
            </w:tcMar>
          </w:tcPr>
          <w:p>
            <w:r>
              <w:rPr>
                <w:b/>
                <w:bCs/>
              </w:rPr>
              <w:t xml:space="preserve">Feld (EN / DE)</w:t>
            </w:r>
          </w:p>
        </w:tc>
        <w:tc>
          <w:tcPr>
            <w:tcW w:type="dxa" w:w="3600"/>
            <w:tcBorders>
              <w:top w:val="single" w:color="A6A6A6" w:sz="4"/>
              <w:left w:val="single" w:color="A6A6A6" w:sz="4"/>
              <w:bottom w:val="single" w:color="A6A6A6" w:sz="4"/>
              <w:right w:val="single" w:color="A6A6A6" w:sz="4"/>
            </w:tcBorders>
            <w:shd w:fill="F0AB00" w:color="auto" w:val="clear"/>
            <w:tcMar>
              <w:top w:type="dxa" w:w="60"/>
              <w:left w:type="dxa" w:w="100"/>
              <w:bottom w:type="dxa" w:w="60"/>
              <w:right w:type="dxa" w:w="100"/>
            </w:tcMar>
          </w:tcPr>
          <w:p>
            <w:r>
              <w:rPr>
                <w:b/>
                <w:bCs/>
              </w:rPr>
              <w:t xml:space="preserve">Wert Prüfung</w:t>
            </w:r>
          </w:p>
        </w:tc>
        <w:tc>
          <w:tcPr>
            <w:tcW w:type="dxa" w:w="3438"/>
            <w:tcBorders>
              <w:top w:val="single" w:color="A6A6A6" w:sz="4"/>
              <w:left w:val="single" w:color="A6A6A6" w:sz="4"/>
              <w:bottom w:val="single" w:color="A6A6A6" w:sz="4"/>
              <w:right w:val="single" w:color="A6A6A6" w:sz="4"/>
            </w:tcBorders>
            <w:shd w:fill="F0AB00" w:color="auto" w:val="clear"/>
            <w:tcMar>
              <w:top w:type="dxa" w:w="60"/>
              <w:left w:type="dxa" w:w="100"/>
              <w:bottom w:type="dxa" w:w="60"/>
              <w:right w:type="dxa" w:w="100"/>
            </w:tcMar>
          </w:tcPr>
          <w:p>
            <w:r>
              <w:rPr>
                <w:b/>
                <w:bCs/>
              </w:rPr>
              <w:t xml:space="preserve">Wert in der Schulung</w:t>
            </w:r>
          </w:p>
        </w:tc>
      </w:tr>
      <w:tr>
        <w:trPr>
          <w:tblHeader w:val="false"/>
        </w:trPr>
        <w:tc>
          <w:tcPr>
            <w:tcW w:type="dxa" w:w="2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t xml:space="preserve">Key Date (Stichtag)</w:t>
            </w:r>
          </w:p>
        </w:tc>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31.12. Vorjahr</w:t>
            </w:r>
          </w:p>
        </w:tc>
        <w:tc>
          <w:tcPr>
            <w:tcW w:type="dxa" w:w="3438"/>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Ende des Vormonats</w:t>
            </w:r>
          </w:p>
        </w:tc>
      </w:tr>
      <w:tr>
        <w:trPr>
          <w:tblHeader w:val="false"/>
        </w:trPr>
        <w:tc>
          <w:tcPr>
            <w:tcW w:type="dxa" w:w="2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t xml:space="preserve">Val. Method (Bewertungsmethode)</w:t>
            </w:r>
          </w:p>
        </w:tc>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onsolas" w:cs="Consolas" w:eastAsia="Consolas" w:hAnsi="Consolas"/>
                <w:b/>
                <w:bCs/>
                <w:color w:val="1F4E79"/>
              </w:rPr>
              <w:t xml:space="preserve">3</w:t>
            </w:r>
            <w:r>
              <w:t xml:space="preserve"> – flat-rate individual value adjustment</w:t>
            </w:r>
          </w:p>
        </w:tc>
        <w:tc>
          <w:tcPr>
            <w:tcW w:type="dxa" w:w="3438"/>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3</w:t>
            </w:r>
          </w:p>
        </w:tc>
      </w:tr>
      <w:tr>
        <w:trPr>
          <w:tblHeader w:val="false"/>
        </w:trPr>
        <w:tc>
          <w:tcPr>
            <w:tcW w:type="dxa" w:w="2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t xml:space="preserve">Valuation Area (Bewertungsbereich)</w:t>
            </w:r>
          </w:p>
        </w:tc>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Bereich aus 4.1 a) (z. B. </w:t>
            </w:r>
            <w:r>
              <w:rPr>
                <w:rFonts w:ascii="Consolas" w:cs="Consolas" w:eastAsia="Consolas" w:hAnsi="Consolas"/>
                <w:b/>
                <w:bCs/>
                <w:color w:val="1F4E79"/>
              </w:rPr>
              <w:t xml:space="preserve">IF</w:t>
            </w:r>
            <w:r>
              <w:t xml:space="preserve">)</w:t>
            </w:r>
          </w:p>
        </w:tc>
        <w:tc>
          <w:tcPr>
            <w:tcW w:type="dxa" w:w="3438"/>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IF</w:t>
            </w:r>
          </w:p>
        </w:tc>
      </w:tr>
      <w:tr>
        <w:trPr>
          <w:tblHeader w:val="false"/>
        </w:trPr>
        <w:tc>
          <w:tcPr>
            <w:tcW w:type="dxa" w:w="2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t xml:space="preserve">Postings (Buchungen)</w:t>
            </w:r>
          </w:p>
        </w:tc>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markieren</w:t>
            </w:r>
          </w:p>
        </w:tc>
        <w:tc>
          <w:tcPr>
            <w:tcW w:type="dxa" w:w="3438"/>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auswählen</w:t>
            </w:r>
          </w:p>
        </w:tc>
      </w:tr>
      <w:tr>
        <w:trPr>
          <w:tblHeader w:val="false"/>
        </w:trPr>
        <w:tc>
          <w:tcPr>
            <w:tcW w:type="dxa" w:w="2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t xml:space="preserve">Posting Date (Buchungsdatum)</w:t>
            </w:r>
          </w:p>
        </w:tc>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31.12. Vorjahr</w:t>
            </w:r>
          </w:p>
        </w:tc>
        <w:tc>
          <w:tcPr>
            <w:tcW w:type="dxa" w:w="3438"/>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Ende des Vormonats</w:t>
            </w:r>
          </w:p>
        </w:tc>
      </w:tr>
      <w:tr>
        <w:trPr>
          <w:tblHeader w:val="false"/>
        </w:trPr>
        <w:tc>
          <w:tcPr>
            <w:tcW w:type="dxa" w:w="2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t xml:space="preserve">Reversal Posting Date (Storno-Budat)</w:t>
            </w:r>
          </w:p>
        </w:tc>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01.01. aktuelles Jahr</w:t>
            </w:r>
          </w:p>
        </w:tc>
        <w:tc>
          <w:tcPr>
            <w:tcW w:type="dxa" w:w="3438"/>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Erster Tag des aktuellen Monats</w:t>
            </w:r>
          </w:p>
        </w:tc>
      </w:tr>
      <w:tr>
        <w:trPr>
          <w:tblHeader w:val="false"/>
        </w:trPr>
        <w:tc>
          <w:tcPr>
            <w:tcW w:type="dxa" w:w="2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t xml:space="preserve">Document Type (Belegart)</w:t>
            </w:r>
          </w:p>
        </w:tc>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onsolas" w:cs="Consolas" w:eastAsia="Consolas" w:hAnsi="Consolas"/>
                <w:b/>
                <w:bCs/>
                <w:color w:val="1F4E79"/>
              </w:rPr>
              <w:t xml:space="preserve">SA</w:t>
            </w:r>
          </w:p>
        </w:tc>
        <w:tc>
          <w:tcPr>
            <w:tcW w:type="dxa" w:w="3438"/>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SA (S4F15) / SB (S4F10)</w:t>
            </w:r>
          </w:p>
        </w:tc>
      </w:tr>
    </w:tbl>
    <w:p>
      <w:pPr>
        <w:spacing w:after="60"/>
      </w:pPr>
    </w:p>
    <w:p>
      <w:pPr>
        <w:pStyle w:val="ListParagraph"/>
        <w:numPr>
          <w:ilvl w:val="0"/>
          <w:numId w:val="19"/>
        </w:numPr>
        <w:spacing w:after="60"/>
      </w:pPr>
      <w:r>
        <w:rPr>
          <w:b/>
          <w:bCs/>
        </w:rPr>
        <w:t xml:space="preserve">Selection Options</w:t>
      </w:r>
      <w:r>
        <w:t xml:space="preserve"> (Selektionsoptionen): </w:t>
      </w:r>
      <w:r>
        <w:rPr>
          <w:b/>
          <w:bCs/>
        </w:rPr>
        <w:t xml:space="preserve">Company Code</w:t>
      </w:r>
      <w:r>
        <w:t xml:space="preserve"> </w:t>
      </w:r>
      <w:r>
        <w:rPr>
          <w:rFonts w:ascii="Consolas" w:cs="Consolas" w:eastAsia="Consolas" w:hAnsi="Consolas"/>
          <w:b/>
          <w:bCs/>
          <w:color w:val="1F4E79"/>
        </w:rPr>
        <w:t xml:space="preserve">TA##</w:t>
      </w:r>
      <w:r>
        <w:t xml:space="preserve">, </w:t>
      </w:r>
      <w:r>
        <w:rPr>
          <w:b/>
          <w:bCs/>
        </w:rPr>
        <w:t xml:space="preserve">Customers</w:t>
      </w:r>
      <w:r>
        <w:t xml:space="preserve"> (Debitoren) markieren, </w:t>
      </w:r>
      <w:r>
        <w:rPr>
          <w:b/>
          <w:bCs/>
        </w:rPr>
        <w:t xml:space="preserve">Customer</w:t>
      </w:r>
      <w:r>
        <w:t xml:space="preserve"> </w:t>
      </w:r>
      <w:r>
        <w:rPr>
          <w:rFonts w:ascii="Consolas" w:cs="Consolas" w:eastAsia="Consolas" w:hAnsi="Consolas"/>
          <w:b/>
          <w:bCs/>
          <w:color w:val="1F4E79"/>
        </w:rPr>
        <w:t xml:space="preserve">TS4FI##</w:t>
      </w:r>
      <w:r>
        <w:t xml:space="preserve">; optional </w:t>
      </w:r>
      <w:r>
        <w:rPr>
          <w:b/>
          <w:bCs/>
        </w:rPr>
        <w:t xml:space="preserve">Account Trace</w:t>
      </w:r>
      <w:r>
        <w:t xml:space="preserve"> </w:t>
      </w:r>
      <w:r>
        <w:rPr>
          <w:rFonts w:ascii="Consolas" w:cs="Consolas" w:eastAsia="Consolas" w:hAnsi="Consolas"/>
          <w:b/>
          <w:bCs/>
          <w:color w:val="1F4E79"/>
        </w:rPr>
        <w:t xml:space="preserve">TS4FI##</w:t>
      </w:r>
      <w:r>
        <w:t xml:space="preserve"> (Schulung S4F10 S. 341 b).</w:t>
      </w:r>
    </w:p>
    <w:p>
      <w:pPr>
        <w:pStyle w:val="ListParagraph"/>
        <w:numPr>
          <w:ilvl w:val="0"/>
          <w:numId w:val="19"/>
        </w:numPr>
        <w:spacing w:after="60"/>
      </w:pPr>
      <w:r>
        <w:t xml:space="preserve">Beschränkung auf die zwei Rechnungen: Da TS4FI## neu ist, hat er nur diese zwei offenen Posten – die Kundenselektion genügt (so auch die Schulung, die nur auf den Debitor selektiert). Zusätzlich können über die freien Abgrenzungen die </w:t>
      </w:r>
      <w:r>
        <w:rPr>
          <w:b/>
          <w:bCs/>
        </w:rPr>
        <w:t xml:space="preserve">Document Numbers</w:t>
      </w:r>
      <w:r>
        <w:t xml:space="preserve"> aus 4.3 eingetragen werden.</w:t>
      </w:r>
    </w:p>
    <w:p>
      <w:pPr>
        <w:pStyle w:val="ListParagraph"/>
        <w:numPr>
          <w:ilvl w:val="0"/>
          <w:numId w:val="19"/>
        </w:numPr>
        <w:spacing w:after="60"/>
      </w:pPr>
      <w:r>
        <w:rPr>
          <w:b/>
          <w:bCs/>
        </w:rPr>
        <w:t xml:space="preserve">Execute</w:t>
      </w:r>
      <w:r>
        <w:t xml:space="preserve"> (Ausführen) → </w:t>
      </w:r>
      <w:r>
        <w:rPr>
          <w:b/>
          <w:bCs/>
        </w:rPr>
        <w:t xml:space="preserve">Save</w:t>
      </w:r>
      <w:r>
        <w:t xml:space="preserve"> (Sichern) – Status „Parameters were entered".</w:t>
      </w:r>
    </w:p>
    <w:p>
      <w:pPr>
        <w:pStyle w:val="ListParagraph"/>
        <w:numPr>
          <w:ilvl w:val="0"/>
          <w:numId w:val="19"/>
        </w:numPr>
        <w:spacing w:after="60"/>
      </w:pPr>
      <w:r>
        <w:rPr>
          <w:b/>
          <w:bCs/>
        </w:rPr>
        <w:t xml:space="preserve">Schedule</w:t>
      </w:r>
      <w:r>
        <w:t xml:space="preserve"> (Einplanen) → </w:t>
      </w:r>
      <w:r>
        <w:rPr>
          <w:b/>
          <w:bCs/>
        </w:rPr>
        <w:t xml:space="preserve">Start immediately</w:t>
      </w:r>
      <w:r>
        <w:t xml:space="preserve"> → </w:t>
      </w:r>
      <w:r>
        <w:rPr>
          <w:b/>
          <w:bCs/>
        </w:rPr>
        <w:t xml:space="preserve">Schedule</w:t>
      </w:r>
      <w:r>
        <w:t xml:space="preserve">; mit Enter aktualisieren bis „Valuation run finished" (S4F15 S. 169 a)–c).</w:t>
      </w:r>
    </w:p>
    <w:p>
      <w:pPr>
        <w:pStyle w:val="ListParagraph"/>
        <w:numPr>
          <w:ilvl w:val="0"/>
          <w:numId w:val="19"/>
        </w:numPr>
        <w:spacing w:after="60"/>
      </w:pPr>
      <w:r>
        <w:t xml:space="preserve">Ergebnisliste prüfen: </w:t>
      </w:r>
      <w:r>
        <w:rPr>
          <w:b/>
          <w:bCs/>
        </w:rPr>
        <w:t xml:space="preserve">Display</w:t>
      </w:r>
      <w:r>
        <w:t xml:space="preserve"> (Anzeigen) bzw. </w:t>
      </w:r>
      <w:r>
        <w:rPr>
          <w:b/>
          <w:bCs/>
        </w:rPr>
        <w:t xml:space="preserve">More → Edit → Valuation Run → Value List</w:t>
      </w:r>
      <w:r>
        <w:t xml:space="preserve"> (Werteliste) (S4F15 S. 169 d)–g).</w:t>
      </w:r>
    </w:p>
    <w:p>
      <w:pPr>
        <w:pStyle w:val="ListParagraph"/>
        <w:numPr>
          <w:ilvl w:val="0"/>
          <w:numId w:val="14"/>
        </w:numPr>
        <w:spacing w:after="40"/>
      </w:pPr>
      <w:r>
        <w:t xml:space="preserve">Rechnung 2 (15.09., &gt; 60 Tage überfällig): 20 % × 10.000 = </w:t>
      </w:r>
      <w:r>
        <w:rPr>
          <w:b/>
          <w:bCs/>
        </w:rPr>
        <w:t xml:space="preserve">2.000 EUR</w:t>
      </w:r>
    </w:p>
    <w:p>
      <w:pPr>
        <w:pStyle w:val="ListParagraph"/>
        <w:numPr>
          <w:ilvl w:val="0"/>
          <w:numId w:val="14"/>
        </w:numPr>
        <w:spacing w:after="40"/>
      </w:pPr>
      <w:r>
        <w:t xml:space="preserve">Rechnung 1 (15.11., &gt; 30 Tage überfällig): 10 % × 10.000 = </w:t>
      </w:r>
      <w:r>
        <w:rPr>
          <w:b/>
          <w:bCs/>
        </w:rPr>
        <w:t xml:space="preserve">1.000 EUR</w:t>
      </w:r>
    </w:p>
    <w:p>
      <w:pPr>
        <w:pStyle w:val="ListParagraph"/>
        <w:numPr>
          <w:ilvl w:val="0"/>
          <w:numId w:val="14"/>
        </w:numPr>
        <w:spacing w:after="40"/>
      </w:pPr>
      <w:r>
        <w:t xml:space="preserve">Basis = Nettobetrag ohne Steuer, Schlüssel ##</w:t>
      </w:r>
    </w:p>
    <w:p>
      <w:pPr>
        <w:pStyle w:val="ListParagraph"/>
        <w:numPr>
          <w:ilvl w:val="0"/>
          <w:numId w:val="19"/>
        </w:numPr>
        <w:spacing w:after="60"/>
      </w:pPr>
      <w:r>
        <w:t xml:space="preserve">Bei korrekten Werten: </w:t>
      </w:r>
      <w:r>
        <w:rPr>
          <w:b/>
          <w:bCs/>
        </w:rPr>
        <w:t xml:space="preserve">Transfer/Forward</w:t>
      </w:r>
      <w:r>
        <w:t xml:space="preserve"> (Weiterleiten/Überleiten) → </w:t>
      </w:r>
      <w:r>
        <w:rPr>
          <w:b/>
          <w:bCs/>
        </w:rPr>
        <w:t xml:space="preserve">Start immediately</w:t>
      </w:r>
      <w:r>
        <w:t xml:space="preserve"> → </w:t>
      </w:r>
      <w:r>
        <w:rPr>
          <w:b/>
          <w:bCs/>
        </w:rPr>
        <w:t xml:space="preserve">Schedule</w:t>
      </w:r>
      <w:r>
        <w:t xml:space="preserve"> (S4F15 S. 170 a)–c); S4F10 S. 341–342).</w:t>
      </w:r>
    </w:p>
    <w:p>
      <w:pPr>
        <w:pStyle w:val="ListParagraph"/>
        <w:numPr>
          <w:ilvl w:val="0"/>
          <w:numId w:val="19"/>
        </w:numPr>
        <w:spacing w:after="60"/>
      </w:pPr>
      <w:r>
        <w:t xml:space="preserve">Belege im Protokoll prüfen: </w:t>
      </w:r>
      <w:r>
        <w:rPr>
          <w:b/>
          <w:bCs/>
        </w:rPr>
        <w:t xml:space="preserve">More → Edit → Valuation Transfer → Display Log</w:t>
      </w:r>
      <w:r>
        <w:t xml:space="preserve"> (S4F15 S. 170 d); Buchung zum 31.12. Vorjahr, Storno zum 01.01. aktuelles Jahr.</w:t>
      </w:r>
    </w:p>
    <w:p>
      <w:pPr>
        <w:pBdr>
          <w:left w:val="single" w:color="2E75B6" w:sz="24" w:space="6"/>
        </w:pBdr>
        <w:shd w:fill="E8F1FB" w:color="auto" w:val="clear"/>
        <w:spacing w:after="120" w:before="120"/>
        <w:ind w:left="120" w:right="120"/>
      </w:pPr>
      <w:r>
        <w:rPr>
          <w:b/>
          <w:bCs/>
          <w:color w:val="2E75B6"/>
        </w:rPr>
        <w:t xml:space="preserve">Hinweis: </w:t>
      </w:r>
      <w:r>
        <w:t xml:space="preserve">Werden keine Bewertungen angezeigt: Vorschlagsprotokoll über </w:t>
      </w:r>
      <w:r>
        <w:rPr>
          <w:b/>
          <w:bCs/>
        </w:rPr>
        <w:t xml:space="preserve">More → Edit → Valuation Run → Display Log</w:t>
      </w:r>
      <w:r>
        <w:t xml:space="preserve"> prüfen, Fehler beheben, Lauf löschen und neu starten (Hinweis S4F10 S. 341).</w:t>
      </w:r>
    </w:p>
    <w:p>
      <w:r>
        <w:br w:type="page"/>
      </w:r>
    </w:p>
    <w:p>
      <w:pPr>
        <w:pStyle w:val="Heading1"/>
      </w:pPr>
      <w:r>
        <w:t xml:space="preserve">Task 5: Create a House Bank, Configure and Execute a Payment Run</w:t>
      </w:r>
    </w:p>
    <w:p>
      <w:pPr>
        <w:pStyle w:val="Heading2"/>
      </w:pPr>
      <w:r>
        <w:t xml:space="preserve">Schritt 5.1 – Bank, Hausbank, Bankkonto anlegen und zuordnen</w:t>
      </w:r>
    </w:p>
    <w:p>
      <w:pPr>
        <w:pBdr>
          <w:left w:val="single" w:color="7F7F7F" w:sz="24" w:space="6"/>
        </w:pBdr>
        <w:shd w:fill="EDEDED" w:color="auto" w:val="clear"/>
        <w:spacing w:after="120" w:before="120"/>
        <w:ind w:left="120" w:right="120"/>
      </w:pPr>
      <w:r>
        <w:rPr>
          <w:b/>
          <w:bCs/>
          <w:color w:val="7F7F7F"/>
        </w:rPr>
        <w:t xml:space="preserve">Aufgabe (Original): </w:t>
      </w:r>
      <w:r>
        <w:t xml:space="preserve">Bank DE / 333333## / YYYYDE## / „Bank DE ##", Hausbank D-B## für TA##. Bankkonto 44444## (Kontokorrent, SEPA-fähig), Hausbankkonto GIRO, Sachkonto 11001000; alle Zuordnungen korrekt integriert.</w:t>
      </w:r>
    </w:p>
    <w:p>
      <w:pPr>
        <w:pStyle w:val="Heading3"/>
      </w:pPr>
      <w:r>
        <w:t xml:space="preserve">a) Bank und Hausbank</w:t>
      </w:r>
    </w:p>
    <w:p>
      <w:pPr>
        <w:pBdr>
          <w:left w:val="single" w:color="7030A0" w:sz="24" w:space="6"/>
        </w:pBdr>
        <w:shd w:fill="F3E8FA" w:color="auto" w:val="clear"/>
        <w:spacing w:after="120" w:before="120"/>
        <w:ind w:left="120" w:right="120"/>
      </w:pPr>
      <w:r>
        <w:rPr>
          <w:b/>
          <w:bCs/>
          <w:color w:val="7030A0"/>
        </w:rPr>
        <w:t xml:space="preserve">Vergleichbare Übung in den Schulungsunterlagen: </w:t>
      </w:r>
      <w:r>
        <w:rPr>
          <w:b/>
          <w:bCs/>
        </w:rPr>
        <w:t xml:space="preserve">S4F13</w:t>
      </w:r>
      <w:r>
        <w:t xml:space="preserve">, Übung 1 „Eine Hausbank definieren", S. 13–15 (PDF 21–23) – Bank in „Banken verwalten" anlegen, dann Registerkarte HAUSBANKEN → Anlegen</w:t>
      </w:r>
    </w:p>
    <w:p>
      <w:pPr>
        <w:pBdr>
          <w:left w:val="single" w:color="F0AB00" w:sz="24" w:space="6"/>
        </w:pBdr>
        <w:shd w:fill="FFF4D6" w:color="auto" w:val="clear"/>
        <w:spacing w:after="120" w:before="120"/>
        <w:ind w:left="120" w:right="120"/>
      </w:pPr>
      <w:r>
        <w:rPr>
          <w:b/>
          <w:bCs/>
          <w:color w:val="F0AB00"/>
        </w:rPr>
        <w:t xml:space="preserve">Transaktion / App: </w:t>
      </w:r>
      <w:r>
        <w:t xml:space="preserve">Fiori-App </w:t>
      </w:r>
      <w:r>
        <w:rPr>
          <w:b/>
          <w:bCs/>
        </w:rPr>
        <w:t xml:space="preserve">Manage Banks</w:t>
      </w:r>
      <w:r>
        <w:t xml:space="preserve"> (Banken verwalten), Kachelgruppe Bank Relationship Management.</w:t>
      </w:r>
    </w:p>
    <w:p>
      <w:pPr>
        <w:pStyle w:val="ListParagraph"/>
        <w:numPr>
          <w:ilvl w:val="0"/>
          <w:numId w:val="20"/>
        </w:numPr>
        <w:spacing w:after="60"/>
      </w:pPr>
      <w:r>
        <w:t xml:space="preserve">App </w:t>
      </w:r>
      <w:r>
        <w:rPr>
          <w:b/>
          <w:bCs/>
        </w:rPr>
        <w:t xml:space="preserve">Manage Banks</w:t>
      </w:r>
      <w:r>
        <w:t xml:space="preserve"> → </w:t>
      </w:r>
      <w:r>
        <w:rPr>
          <w:b/>
          <w:bCs/>
        </w:rPr>
        <w:t xml:space="preserve">Create</w:t>
      </w:r>
      <w:r>
        <w:t xml:space="preserve"> (Anlegen).</w:t>
      </w:r>
    </w:p>
    <w:p>
      <w:pPr>
        <w:pStyle w:val="ListParagraph"/>
        <w:numPr>
          <w:ilvl w:val="0"/>
          <w:numId w:val="20"/>
        </w:numPr>
        <w:spacing w:after="60"/>
      </w:pPr>
      <w:r>
        <w:t xml:space="preserve">Registerkarte </w:t>
      </w:r>
      <w:r>
        <w:rPr>
          <w:b/>
          <w:bCs/>
        </w:rPr>
        <w:t xml:space="preserve">General Data</w:t>
      </w:r>
      <w:r>
        <w:t xml:space="preserve">, Feldgruppen Control Data/Address: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438"/>
      </w:tblGrid>
      <w:tr>
        <w:trPr>
          <w:tblHeader/>
        </w:trPr>
        <w:tc>
          <w:tcPr>
            <w:tcW w:type="dxa" w:w="2600"/>
            <w:tcBorders>
              <w:top w:val="single" w:color="A6A6A6" w:sz="4"/>
              <w:left w:val="single" w:color="A6A6A6" w:sz="4"/>
              <w:bottom w:val="single" w:color="A6A6A6" w:sz="4"/>
              <w:right w:val="single" w:color="A6A6A6" w:sz="4"/>
            </w:tcBorders>
            <w:shd w:fill="F0AB00" w:color="auto" w:val="clear"/>
            <w:tcMar>
              <w:top w:type="dxa" w:w="60"/>
              <w:left w:type="dxa" w:w="100"/>
              <w:bottom w:type="dxa" w:w="60"/>
              <w:right w:type="dxa" w:w="100"/>
            </w:tcMar>
          </w:tcPr>
          <w:p>
            <w:r>
              <w:rPr>
                <w:b/>
                <w:bCs/>
              </w:rPr>
              <w:t xml:space="preserve">Feld (EN / DE)</w:t>
            </w:r>
          </w:p>
        </w:tc>
        <w:tc>
          <w:tcPr>
            <w:tcW w:type="dxa" w:w="3600"/>
            <w:tcBorders>
              <w:top w:val="single" w:color="A6A6A6" w:sz="4"/>
              <w:left w:val="single" w:color="A6A6A6" w:sz="4"/>
              <w:bottom w:val="single" w:color="A6A6A6" w:sz="4"/>
              <w:right w:val="single" w:color="A6A6A6" w:sz="4"/>
            </w:tcBorders>
            <w:shd w:fill="F0AB00" w:color="auto" w:val="clear"/>
            <w:tcMar>
              <w:top w:type="dxa" w:w="60"/>
              <w:left w:type="dxa" w:w="100"/>
              <w:bottom w:type="dxa" w:w="60"/>
              <w:right w:type="dxa" w:w="100"/>
            </w:tcMar>
          </w:tcPr>
          <w:p>
            <w:r>
              <w:rPr>
                <w:b/>
                <w:bCs/>
              </w:rPr>
              <w:t xml:space="preserve">Wert Prüfung</w:t>
            </w:r>
          </w:p>
        </w:tc>
        <w:tc>
          <w:tcPr>
            <w:tcW w:type="dxa" w:w="3438"/>
            <w:tcBorders>
              <w:top w:val="single" w:color="A6A6A6" w:sz="4"/>
              <w:left w:val="single" w:color="A6A6A6" w:sz="4"/>
              <w:bottom w:val="single" w:color="A6A6A6" w:sz="4"/>
              <w:right w:val="single" w:color="A6A6A6" w:sz="4"/>
            </w:tcBorders>
            <w:shd w:fill="F0AB00" w:color="auto" w:val="clear"/>
            <w:tcMar>
              <w:top w:type="dxa" w:w="60"/>
              <w:left w:type="dxa" w:w="100"/>
              <w:bottom w:type="dxa" w:w="60"/>
              <w:right w:type="dxa" w:w="100"/>
            </w:tcMar>
          </w:tcPr>
          <w:p>
            <w:r>
              <w:rPr>
                <w:b/>
                <w:bCs/>
              </w:rPr>
              <w:t xml:space="preserve">Wert in der Schulung</w:t>
            </w:r>
          </w:p>
        </w:tc>
      </w:tr>
      <w:tr>
        <w:trPr>
          <w:tblHeader w:val="false"/>
        </w:trPr>
        <w:tc>
          <w:tcPr>
            <w:tcW w:type="dxa" w:w="2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t xml:space="preserve">Bank Country/Region (Land/Region der Bank)</w:t>
            </w:r>
          </w:p>
        </w:tc>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onsolas" w:cs="Consolas" w:eastAsia="Consolas" w:hAnsi="Consolas"/>
                <w:b/>
                <w:bCs/>
                <w:color w:val="1F4E79"/>
              </w:rPr>
              <w:t xml:space="preserve">DE</w:t>
            </w:r>
          </w:p>
        </w:tc>
        <w:tc>
          <w:tcPr>
            <w:tcW w:type="dxa" w:w="3438"/>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DE</w:t>
            </w:r>
          </w:p>
        </w:tc>
      </w:tr>
      <w:tr>
        <w:trPr>
          <w:tblHeader w:val="false"/>
        </w:trPr>
        <w:tc>
          <w:tcPr>
            <w:tcW w:type="dxa" w:w="2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t xml:space="preserve">Bank Key (Bankschlüssel)</w:t>
            </w:r>
          </w:p>
        </w:tc>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onsolas" w:cs="Consolas" w:eastAsia="Consolas" w:hAnsi="Consolas"/>
                <w:b/>
                <w:bCs/>
                <w:color w:val="1F4E79"/>
              </w:rPr>
              <w:t xml:space="preserve">333333##</w:t>
            </w:r>
          </w:p>
        </w:tc>
        <w:tc>
          <w:tcPr>
            <w:tcW w:type="dxa" w:w="3438"/>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123456##</w:t>
            </w:r>
          </w:p>
        </w:tc>
      </w:tr>
      <w:tr>
        <w:trPr>
          <w:tblHeader w:val="false"/>
        </w:trPr>
        <w:tc>
          <w:tcPr>
            <w:tcW w:type="dxa" w:w="2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t xml:space="preserve">Name of Financial Institution (Name des Geldinstituts)</w:t>
            </w:r>
          </w:p>
        </w:tc>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onsolas" w:cs="Consolas" w:eastAsia="Consolas" w:hAnsi="Consolas"/>
                <w:b/>
                <w:bCs/>
                <w:color w:val="1F4E79"/>
              </w:rPr>
              <w:t xml:space="preserve">Bank DE ##</w:t>
            </w:r>
          </w:p>
        </w:tc>
        <w:tc>
          <w:tcPr>
            <w:tcW w:type="dxa" w:w="3438"/>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TA## Bank</w:t>
            </w:r>
          </w:p>
        </w:tc>
      </w:tr>
      <w:tr>
        <w:trPr>
          <w:tblHeader w:val="false"/>
        </w:trPr>
        <w:tc>
          <w:tcPr>
            <w:tcW w:type="dxa" w:w="2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t xml:space="preserve">SWIFT/BIC</w:t>
            </w:r>
          </w:p>
        </w:tc>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onsolas" w:cs="Consolas" w:eastAsia="Consolas" w:hAnsi="Consolas"/>
                <w:b/>
                <w:bCs/>
                <w:color w:val="1F4E79"/>
              </w:rPr>
              <w:t xml:space="preserve">YYYYDE##</w:t>
            </w:r>
          </w:p>
        </w:tc>
        <w:tc>
          <w:tcPr>
            <w:tcW w:type="dxa" w:w="3438"/>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XXXXDE##</w:t>
            </w:r>
          </w:p>
        </w:tc>
      </w:tr>
      <w:tr>
        <w:trPr>
          <w:tblHeader w:val="false"/>
        </w:trPr>
        <w:tc>
          <w:tcPr>
            <w:tcW w:type="dxa" w:w="2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t xml:space="preserve">Region/Street/City</w:t>
            </w:r>
          </w:p>
        </w:tc>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nach Belieben</w:t>
            </w:r>
          </w:p>
        </w:tc>
        <w:tc>
          <w:tcPr>
            <w:tcW w:type="dxa" w:w="3438"/>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nach Belieben</w:t>
            </w:r>
          </w:p>
        </w:tc>
      </w:tr>
    </w:tbl>
    <w:p>
      <w:pPr>
        <w:spacing w:after="60"/>
      </w:pPr>
    </w:p>
    <w:p>
      <w:pPr>
        <w:pStyle w:val="ListParagraph"/>
        <w:numPr>
          <w:ilvl w:val="0"/>
          <w:numId w:val="21"/>
        </w:numPr>
        <w:spacing w:after="60"/>
      </w:pPr>
      <w:r>
        <w:rPr>
          <w:b/>
          <w:bCs/>
        </w:rPr>
        <w:t xml:space="preserve">Save</w:t>
      </w:r>
      <w:r>
        <w:t xml:space="preserve"> (Schulung d).</w:t>
      </w:r>
    </w:p>
    <w:p>
      <w:pPr>
        <w:pStyle w:val="ListParagraph"/>
        <w:numPr>
          <w:ilvl w:val="0"/>
          <w:numId w:val="21"/>
        </w:numPr>
        <w:spacing w:after="60"/>
      </w:pPr>
      <w:r>
        <w:rPr>
          <w:b/>
          <w:bCs/>
        </w:rPr>
        <w:t xml:space="preserve">Edit</w:t>
      </w:r>
      <w:r>
        <w:t xml:space="preserve"> (Bearbeiten) → Registerkarte </w:t>
      </w:r>
      <w:r>
        <w:rPr>
          <w:b/>
          <w:bCs/>
        </w:rPr>
        <w:t xml:space="preserve">House Banks</w:t>
      </w:r>
      <w:r>
        <w:t xml:space="preserve"> (HAUSBANKEN) → </w:t>
      </w:r>
      <w:r>
        <w:rPr>
          <w:b/>
          <w:bCs/>
        </w:rPr>
        <w:t xml:space="preserve">Create</w:t>
      </w:r>
      <w:r>
        <w:t xml:space="preserve"> (Schulung 2 a)–b).</w:t>
      </w:r>
    </w:p>
    <w:p>
      <w:pPr>
        <w:pStyle w:val="ListParagraph"/>
        <w:numPr>
          <w:ilvl w:val="0"/>
          <w:numId w:val="21"/>
        </w:numPr>
        <w:spacing w:after="60"/>
      </w:pPr>
      <w:r>
        <w:rPr>
          <w:b/>
          <w:bCs/>
        </w:rPr>
        <w:t xml:space="preserve">Company Code</w:t>
      </w:r>
      <w:r>
        <w:t xml:space="preserve"> </w:t>
      </w:r>
      <w:r>
        <w:rPr>
          <w:rFonts w:ascii="Consolas" w:cs="Consolas" w:eastAsia="Consolas" w:hAnsi="Consolas"/>
          <w:b/>
          <w:bCs/>
          <w:color w:val="1F4E79"/>
        </w:rPr>
        <w:t xml:space="preserve">TA##</w:t>
      </w:r>
      <w:r>
        <w:t xml:space="preserve">, </w:t>
      </w:r>
      <w:r>
        <w:rPr>
          <w:b/>
          <w:bCs/>
        </w:rPr>
        <w:t xml:space="preserve">House Bank</w:t>
      </w:r>
      <w:r>
        <w:t xml:space="preserve"> </w:t>
      </w:r>
      <w:r>
        <w:rPr>
          <w:rFonts w:ascii="Consolas" w:cs="Consolas" w:eastAsia="Consolas" w:hAnsi="Consolas"/>
          <w:b/>
          <w:bCs/>
          <w:color w:val="1F4E79"/>
        </w:rPr>
        <w:t xml:space="preserve">D-B##</w:t>
      </w:r>
      <w:r>
        <w:t xml:space="preserve"> (Schulung: T-B##) → </w:t>
      </w:r>
      <w:r>
        <w:rPr>
          <w:b/>
          <w:bCs/>
        </w:rPr>
        <w:t xml:space="preserve">Save</w:t>
      </w:r>
      <w:r>
        <w:t xml:space="preserve"> → Meldung „House bank created".</w:t>
      </w:r>
    </w:p>
    <w:p>
      <w:pPr>
        <w:pStyle w:val="ListParagraph"/>
        <w:numPr>
          <w:ilvl w:val="0"/>
          <w:numId w:val="21"/>
        </w:numPr>
        <w:spacing w:after="60"/>
      </w:pPr>
      <w:r>
        <w:t xml:space="preserve">Kontrolle: Selektion Land DE, Bankschlüssel 333333##, </w:t>
      </w:r>
      <w:r>
        <w:rPr>
          <w:b/>
          <w:bCs/>
        </w:rPr>
        <w:t xml:space="preserve">Linked House Banks</w:t>
      </w:r>
      <w:r>
        <w:t xml:space="preserve"> = Yes → </w:t>
      </w:r>
      <w:r>
        <w:rPr>
          <w:b/>
          <w:bCs/>
        </w:rPr>
        <w:t xml:space="preserve">Go</w:t>
      </w:r>
      <w:r>
        <w:t xml:space="preserve"> (Schulung 3).</w:t>
      </w:r>
    </w:p>
    <w:p>
      <w:pPr>
        <w:pStyle w:val="Heading3"/>
      </w:pPr>
      <w:r>
        <w:t xml:space="preserve">b) Bankkonto anlegen und Konnektivitätspfad</w:t>
      </w:r>
    </w:p>
    <w:p>
      <w:pPr>
        <w:pBdr>
          <w:left w:val="single" w:color="7030A0" w:sz="24" w:space="6"/>
        </w:pBdr>
        <w:shd w:fill="F3E8FA" w:color="auto" w:val="clear"/>
        <w:spacing w:after="120" w:before="120"/>
        <w:ind w:left="120" w:right="120"/>
      </w:pPr>
      <w:r>
        <w:rPr>
          <w:b/>
          <w:bCs/>
          <w:color w:val="7030A0"/>
        </w:rPr>
        <w:t xml:space="preserve">Vergleichbare Übung in den Schulungsunterlagen: </w:t>
      </w:r>
      <w:r>
        <w:rPr>
          <w:b/>
          <w:bCs/>
        </w:rPr>
        <w:t xml:space="preserve">S4F13</w:t>
      </w:r>
      <w:r>
        <w:t xml:space="preserve">, Übung 2 „Ein Hausbankkonto definieren", S. 23–27 (PDF 31–35) – Kontoart 01, IBAN generieren, Inaktiv sichern, Aktivieren, Hausbankkontenkonnektivität GIRO → Sachkonto 11001000; danach Sachkonto 11001000 mit Hausbank/Konto-ID ergänzen</w:t>
      </w:r>
    </w:p>
    <w:p>
      <w:pPr>
        <w:pBdr>
          <w:left w:val="single" w:color="F0AB00" w:sz="24" w:space="6"/>
        </w:pBdr>
        <w:shd w:fill="FFF4D6" w:color="auto" w:val="clear"/>
        <w:spacing w:after="120" w:before="120"/>
        <w:ind w:left="120" w:right="120"/>
      </w:pPr>
      <w:r>
        <w:rPr>
          <w:b/>
          <w:bCs/>
          <w:color w:val="F0AB00"/>
        </w:rPr>
        <w:t xml:space="preserve">Transaktion / App: </w:t>
      </w:r>
      <w:r>
        <w:t xml:space="preserve">Fiori-App </w:t>
      </w:r>
      <w:r>
        <w:rPr>
          <w:b/>
          <w:bCs/>
        </w:rPr>
        <w:t xml:space="preserve">Manage Bank Accounts</w:t>
      </w:r>
      <w:r>
        <w:t xml:space="preserve"> (Bankkonten verwalten).</w:t>
      </w:r>
    </w:p>
    <w:p>
      <w:pPr>
        <w:pStyle w:val="ListParagraph"/>
        <w:numPr>
          <w:ilvl w:val="0"/>
          <w:numId w:val="22"/>
        </w:numPr>
        <w:spacing w:after="60"/>
      </w:pPr>
      <w:r>
        <w:t xml:space="preserve">App öffnen → </w:t>
      </w:r>
      <w:r>
        <w:rPr>
          <w:b/>
          <w:bCs/>
        </w:rPr>
        <w:t xml:space="preserve">Create</w:t>
      </w:r>
      <w:r>
        <w:t xml:space="preserve"> → Dialog: </w:t>
      </w:r>
      <w:r>
        <w:rPr>
          <w:b/>
          <w:bCs/>
        </w:rPr>
        <w:t xml:space="preserve">Company Code</w:t>
      </w:r>
      <w:r>
        <w:t xml:space="preserve"> </w:t>
      </w:r>
      <w:r>
        <w:rPr>
          <w:rFonts w:ascii="Consolas" w:cs="Consolas" w:eastAsia="Consolas" w:hAnsi="Consolas"/>
          <w:b/>
          <w:bCs/>
          <w:color w:val="1F4E79"/>
        </w:rPr>
        <w:t xml:space="preserve">TA##</w:t>
      </w:r>
      <w:r>
        <w:t xml:space="preserve">, </w:t>
      </w:r>
      <w:r>
        <w:rPr>
          <w:b/>
          <w:bCs/>
        </w:rPr>
        <w:t xml:space="preserve">Account Type</w:t>
      </w:r>
      <w:r>
        <w:t xml:space="preserve"> </w:t>
      </w:r>
      <w:r>
        <w:rPr>
          <w:rFonts w:ascii="Consolas" w:cs="Consolas" w:eastAsia="Consolas" w:hAnsi="Consolas"/>
          <w:b/>
          <w:bCs/>
          <w:color w:val="1F4E79"/>
        </w:rPr>
        <w:t xml:space="preserve">01</w:t>
      </w:r>
      <w:r>
        <w:t xml:space="preserve"> (Schulung c).</w:t>
      </w:r>
    </w:p>
    <w:p>
      <w:pPr>
        <w:pStyle w:val="ListParagraph"/>
        <w:numPr>
          <w:ilvl w:val="0"/>
          <w:numId w:val="22"/>
        </w:numPr>
        <w:spacing w:after="60"/>
      </w:pPr>
      <w:r>
        <w:t xml:space="preserve">Registerkarte </w:t>
      </w:r>
      <w:r>
        <w:rPr>
          <w:b/>
          <w:bCs/>
        </w:rPr>
        <w:t xml:space="preserve">Header Data</w:t>
      </w:r>
      <w:r>
        <w:t xml:space="preserve"> (Kopfdaten): </w:t>
      </w:r>
      <w:r>
        <w:rPr>
          <w:b/>
          <w:bCs/>
        </w:rPr>
        <w:t xml:space="preserve">Account Description</w:t>
      </w:r>
      <w:r>
        <w:t xml:space="preserve"> </w:t>
      </w:r>
      <w:r>
        <w:rPr>
          <w:rFonts w:ascii="Consolas" w:cs="Consolas" w:eastAsia="Consolas" w:hAnsi="Consolas"/>
          <w:b/>
          <w:bCs/>
          <w:color w:val="1F4E79"/>
        </w:rPr>
        <w:t xml:space="preserve">Current German Account EUR</w:t>
      </w:r>
      <w:r>
        <w:t xml:space="preserve">, </w:t>
      </w:r>
      <w:r>
        <w:rPr>
          <w:b/>
          <w:bCs/>
        </w:rPr>
        <w:t xml:space="preserve">Account Number</w:t>
      </w:r>
      <w:r>
        <w:t xml:space="preserve"> </w:t>
      </w:r>
      <w:r>
        <w:rPr>
          <w:rFonts w:ascii="Consolas" w:cs="Consolas" w:eastAsia="Consolas" w:hAnsi="Consolas"/>
          <w:b/>
          <w:bCs/>
          <w:color w:val="1F4E79"/>
        </w:rPr>
        <w:t xml:space="preserve">44444##</w:t>
      </w:r>
      <w:r>
        <w:t xml:space="preserve">, </w:t>
      </w:r>
      <w:r>
        <w:rPr>
          <w:b/>
          <w:bCs/>
        </w:rPr>
        <w:t xml:space="preserve">Bank Country</w:t>
      </w:r>
      <w:r>
        <w:t xml:space="preserve"> </w:t>
      </w:r>
      <w:r>
        <w:rPr>
          <w:rFonts w:ascii="Consolas" w:cs="Consolas" w:eastAsia="Consolas" w:hAnsi="Consolas"/>
          <w:b/>
          <w:bCs/>
          <w:color w:val="1F4E79"/>
        </w:rPr>
        <w:t xml:space="preserve">DE</w:t>
      </w:r>
      <w:r>
        <w:t xml:space="preserve">, </w:t>
      </w:r>
      <w:r>
        <w:rPr>
          <w:b/>
          <w:bCs/>
        </w:rPr>
        <w:t xml:space="preserve">Bank Key</w:t>
      </w:r>
      <w:r>
        <w:t xml:space="preserve"> </w:t>
      </w:r>
      <w:r>
        <w:rPr>
          <w:rFonts w:ascii="Consolas" w:cs="Consolas" w:eastAsia="Consolas" w:hAnsi="Consolas"/>
          <w:b/>
          <w:bCs/>
          <w:color w:val="1F4E79"/>
        </w:rPr>
        <w:t xml:space="preserve">333333##</w:t>
      </w:r>
      <w:r>
        <w:t xml:space="preserve">, </w:t>
      </w:r>
      <w:r>
        <w:rPr>
          <w:b/>
          <w:bCs/>
        </w:rPr>
        <w:t xml:space="preserve">Currency</w:t>
      </w:r>
      <w:r>
        <w:t xml:space="preserve"> </w:t>
      </w:r>
      <w:r>
        <w:rPr>
          <w:rFonts w:ascii="Consolas" w:cs="Consolas" w:eastAsia="Consolas" w:hAnsi="Consolas"/>
          <w:b/>
          <w:bCs/>
          <w:color w:val="1F4E79"/>
        </w:rPr>
        <w:t xml:space="preserve">EUR</w:t>
      </w:r>
      <w:r>
        <w:t xml:space="preserve"> → Enter (Schulung d–e).</w:t>
      </w:r>
    </w:p>
    <w:p>
      <w:pPr>
        <w:pStyle w:val="ListParagraph"/>
        <w:numPr>
          <w:ilvl w:val="0"/>
          <w:numId w:val="22"/>
        </w:numPr>
        <w:spacing w:after="60"/>
      </w:pPr>
      <w:r>
        <w:rPr>
          <w:b/>
          <w:bCs/>
        </w:rPr>
        <w:t xml:space="preserve">Generate IBAN</w:t>
      </w:r>
      <w:r>
        <w:t xml:space="preserve"> (IBAN generieren) wählen – Voraussetzung für SEPA (Schulung f: „Achten Sie darauf, die IBAN zu generieren").</w:t>
      </w:r>
    </w:p>
    <w:p>
      <w:pPr>
        <w:pStyle w:val="ListParagraph"/>
        <w:numPr>
          <w:ilvl w:val="0"/>
          <w:numId w:val="22"/>
        </w:numPr>
        <w:spacing w:after="60"/>
      </w:pPr>
      <w:r>
        <w:t xml:space="preserve">Registerkarte </w:t>
      </w:r>
      <w:r>
        <w:rPr>
          <w:b/>
          <w:bCs/>
        </w:rPr>
        <w:t xml:space="preserve">General Data</w:t>
      </w:r>
      <w:r>
        <w:t xml:space="preserve">: </w:t>
      </w:r>
      <w:r>
        <w:rPr>
          <w:b/>
          <w:bCs/>
        </w:rPr>
        <w:t xml:space="preserve">Company Code</w:t>
      </w:r>
      <w:r>
        <w:t xml:space="preserve"> </w:t>
      </w:r>
      <w:r>
        <w:rPr>
          <w:rFonts w:ascii="Consolas" w:cs="Consolas" w:eastAsia="Consolas" w:hAnsi="Consolas"/>
          <w:b/>
          <w:bCs/>
          <w:color w:val="1F4E79"/>
        </w:rPr>
        <w:t xml:space="preserve">TA##</w:t>
      </w:r>
      <w:r>
        <w:t xml:space="preserve">, </w:t>
      </w:r>
      <w:r>
        <w:rPr>
          <w:b/>
          <w:bCs/>
        </w:rPr>
        <w:t xml:space="preserve">Account Holder</w:t>
      </w:r>
      <w:r>
        <w:t xml:space="preserve"> </w:t>
      </w:r>
      <w:r>
        <w:rPr>
          <w:rFonts w:ascii="Consolas" w:cs="Consolas" w:eastAsia="Consolas" w:hAnsi="Consolas"/>
          <w:b/>
          <w:bCs/>
          <w:color w:val="1F4E79"/>
        </w:rPr>
        <w:t xml:space="preserve">German AH ##</w:t>
      </w:r>
      <w:r>
        <w:t xml:space="preserve">, </w:t>
      </w:r>
      <w:r>
        <w:rPr>
          <w:b/>
          <w:bCs/>
        </w:rPr>
        <w:t xml:space="preserve">Account Type</w:t>
      </w:r>
      <w:r>
        <w:t xml:space="preserve"> </w:t>
      </w:r>
      <w:r>
        <w:rPr>
          <w:rFonts w:ascii="Consolas" w:cs="Consolas" w:eastAsia="Consolas" w:hAnsi="Consolas"/>
          <w:b/>
          <w:bCs/>
          <w:color w:val="1F4E79"/>
        </w:rPr>
        <w:t xml:space="preserve">01 (Current Account)</w:t>
      </w:r>
      <w:r>
        <w:t xml:space="preserve"> (Schulung g).</w:t>
      </w:r>
    </w:p>
    <w:p>
      <w:pPr>
        <w:pStyle w:val="ListParagraph"/>
        <w:numPr>
          <w:ilvl w:val="0"/>
          <w:numId w:val="22"/>
        </w:numPr>
        <w:spacing w:after="60"/>
      </w:pPr>
      <w:r>
        <w:rPr>
          <w:b/>
          <w:bCs/>
        </w:rPr>
        <w:t xml:space="preserve">Save as Inactive</w:t>
      </w:r>
      <w:r>
        <w:t xml:space="preserve"> (Inaktiv sichern) → Meldungen zur Bankhierarchie/Zahlungsgenehmiger mit </w:t>
      </w:r>
      <w:r>
        <w:rPr>
          <w:b/>
          <w:bCs/>
        </w:rPr>
        <w:t xml:space="preserve">Close</w:t>
      </w:r>
      <w:r>
        <w:t xml:space="preserve"> bestätigen → </w:t>
      </w:r>
      <w:r>
        <w:rPr>
          <w:b/>
          <w:bCs/>
        </w:rPr>
        <w:t xml:space="preserve">Activate</w:t>
      </w:r>
      <w:r>
        <w:t xml:space="preserve"> (Aktivieren) (Schulung h–j).</w:t>
      </w:r>
    </w:p>
    <w:p>
      <w:pPr>
        <w:pStyle w:val="ListParagraph"/>
        <w:numPr>
          <w:ilvl w:val="0"/>
          <w:numId w:val="22"/>
        </w:numPr>
        <w:spacing w:after="60"/>
      </w:pPr>
      <w:r>
        <w:t xml:space="preserve">Konto erneut öffnen → </w:t>
      </w:r>
      <w:r>
        <w:rPr>
          <w:b/>
          <w:bCs/>
        </w:rPr>
        <w:t xml:space="preserve">Edit</w:t>
      </w:r>
      <w:r>
        <w:t xml:space="preserve"> → Registerkarte </w:t>
      </w:r>
      <w:r>
        <w:rPr>
          <w:b/>
          <w:bCs/>
        </w:rPr>
        <w:t xml:space="preserve">House Bank Account Connectivity</w:t>
      </w:r>
      <w:r>
        <w:t xml:space="preserve"> (Hausbankkontenkonnektivität) → </w:t>
      </w:r>
      <w:r>
        <w:rPr>
          <w:b/>
          <w:bCs/>
        </w:rPr>
        <w:t xml:space="preserve">Create</w:t>
      </w:r>
      <w:r>
        <w:t xml:space="preserve"> (Schulung n–o):</w:t>
      </w:r>
    </w:p>
    <w:p>
      <w:pPr>
        <w:pStyle w:val="ListParagraph"/>
        <w:numPr>
          <w:ilvl w:val="0"/>
          <w:numId w:val="14"/>
        </w:numPr>
        <w:spacing w:after="40"/>
      </w:pPr>
      <w:r>
        <w:rPr>
          <w:b/>
          <w:bCs/>
        </w:rPr>
        <w:t xml:space="preserve">ID Type</w:t>
      </w:r>
      <w:r>
        <w:t xml:space="preserve"> </w:t>
      </w:r>
      <w:r>
        <w:rPr>
          <w:rFonts w:ascii="Consolas" w:cs="Consolas" w:eastAsia="Consolas" w:hAnsi="Consolas"/>
          <w:b/>
          <w:bCs/>
          <w:color w:val="1F4E79"/>
        </w:rPr>
        <w:t xml:space="preserve">Central System: House Bank Account</w:t>
      </w:r>
    </w:p>
    <w:p>
      <w:pPr>
        <w:pStyle w:val="ListParagraph"/>
        <w:numPr>
          <w:ilvl w:val="0"/>
          <w:numId w:val="14"/>
        </w:numPr>
        <w:spacing w:after="40"/>
      </w:pPr>
      <w:r>
        <w:rPr>
          <w:b/>
          <w:bCs/>
        </w:rPr>
        <w:t xml:space="preserve">Company Code</w:t>
      </w:r>
      <w:r>
        <w:t xml:space="preserve"> </w:t>
      </w:r>
      <w:r>
        <w:rPr>
          <w:rFonts w:ascii="Consolas" w:cs="Consolas" w:eastAsia="Consolas" w:hAnsi="Consolas"/>
          <w:b/>
          <w:bCs/>
          <w:color w:val="1F4E79"/>
        </w:rPr>
        <w:t xml:space="preserve">TA##</w:t>
      </w:r>
    </w:p>
    <w:p>
      <w:pPr>
        <w:pStyle w:val="ListParagraph"/>
        <w:numPr>
          <w:ilvl w:val="0"/>
          <w:numId w:val="14"/>
        </w:numPr>
        <w:spacing w:after="40"/>
      </w:pPr>
      <w:r>
        <w:rPr>
          <w:b/>
          <w:bCs/>
        </w:rPr>
        <w:t xml:space="preserve">House Bank</w:t>
      </w:r>
      <w:r>
        <w:t xml:space="preserve"> </w:t>
      </w:r>
      <w:r>
        <w:rPr>
          <w:rFonts w:ascii="Consolas" w:cs="Consolas" w:eastAsia="Consolas" w:hAnsi="Consolas"/>
          <w:b/>
          <w:bCs/>
          <w:color w:val="1F4E79"/>
        </w:rPr>
        <w:t xml:space="preserve">D-B##</w:t>
      </w:r>
    </w:p>
    <w:p>
      <w:pPr>
        <w:pStyle w:val="ListParagraph"/>
        <w:numPr>
          <w:ilvl w:val="0"/>
          <w:numId w:val="14"/>
        </w:numPr>
        <w:spacing w:after="40"/>
      </w:pPr>
      <w:r>
        <w:rPr>
          <w:b/>
          <w:bCs/>
        </w:rPr>
        <w:t xml:space="preserve">House Bank Account</w:t>
      </w:r>
      <w:r>
        <w:t xml:space="preserve"> </w:t>
      </w:r>
      <w:r>
        <w:rPr>
          <w:rFonts w:ascii="Consolas" w:cs="Consolas" w:eastAsia="Consolas" w:hAnsi="Consolas"/>
          <w:b/>
          <w:bCs/>
          <w:color w:val="1F4E79"/>
        </w:rPr>
        <w:t xml:space="preserve">GIRO</w:t>
      </w:r>
    </w:p>
    <w:p>
      <w:pPr>
        <w:pStyle w:val="ListParagraph"/>
        <w:numPr>
          <w:ilvl w:val="0"/>
          <w:numId w:val="14"/>
        </w:numPr>
        <w:spacing w:after="40"/>
      </w:pPr>
      <w:r>
        <w:rPr>
          <w:b/>
          <w:bCs/>
        </w:rPr>
        <w:t xml:space="preserve">G/L Account</w:t>
      </w:r>
      <w:r>
        <w:t xml:space="preserve"> </w:t>
      </w:r>
      <w:r>
        <w:rPr>
          <w:rFonts w:ascii="Consolas" w:cs="Consolas" w:eastAsia="Consolas" w:hAnsi="Consolas"/>
          <w:b/>
          <w:bCs/>
          <w:color w:val="1F4E79"/>
        </w:rPr>
        <w:t xml:space="preserve">11001000</w:t>
      </w:r>
    </w:p>
    <w:p>
      <w:pPr>
        <w:pStyle w:val="ListParagraph"/>
        <w:numPr>
          <w:ilvl w:val="0"/>
          <w:numId w:val="22"/>
        </w:numPr>
        <w:spacing w:after="60"/>
      </w:pPr>
      <w:r>
        <w:rPr>
          <w:b/>
          <w:bCs/>
        </w:rPr>
        <w:t xml:space="preserve">Apply</w:t>
      </w:r>
      <w:r>
        <w:t xml:space="preserve"> (Übernehmen) → </w:t>
      </w:r>
      <w:r>
        <w:rPr>
          <w:b/>
          <w:bCs/>
        </w:rPr>
        <w:t xml:space="preserve">Save</w:t>
      </w:r>
      <w:r>
        <w:t xml:space="preserve"> → </w:t>
      </w:r>
      <w:r>
        <w:rPr>
          <w:b/>
          <w:bCs/>
        </w:rPr>
        <w:t xml:space="preserve">Close</w:t>
      </w:r>
      <w:r>
        <w:t xml:space="preserve"> (Schulung q–s).</w:t>
      </w:r>
    </w:p>
    <w:p>
      <w:pPr>
        <w:pStyle w:val="Heading3"/>
      </w:pPr>
      <w:r>
        <w:t xml:space="preserve">c) Sachkonto 11001000 mit Hausbank verknüpfen</w:t>
      </w:r>
    </w:p>
    <w:p>
      <w:pPr>
        <w:pBdr>
          <w:left w:val="single" w:color="7030A0" w:sz="24" w:space="6"/>
        </w:pBdr>
        <w:shd w:fill="F3E8FA" w:color="auto" w:val="clear"/>
        <w:spacing w:after="120" w:before="120"/>
        <w:ind w:left="120" w:right="120"/>
      </w:pPr>
      <w:r>
        <w:rPr>
          <w:b/>
          <w:bCs/>
          <w:color w:val="7030A0"/>
        </w:rPr>
        <w:t xml:space="preserve">Vergleichbare Übung in den Schulungsunterlagen: </w:t>
      </w:r>
      <w:r>
        <w:rPr>
          <w:b/>
          <w:bCs/>
        </w:rPr>
        <w:t xml:space="preserve">S4F13</w:t>
      </w:r>
      <w:r>
        <w:t xml:space="preserve">, Übung 2 „Ein Hausbankkonto definieren", S. 25–27 (PDF 33–35) – Schritt 2: „Sachkontenstammdaten verwalten" → Buchungskreisdaten → Registerkarte ANLEGEN/BANK/ZINS → Hausbank, Hausbankkonto-ID</w:t>
      </w:r>
    </w:p>
    <w:p>
      <w:pPr>
        <w:pStyle w:val="ListParagraph"/>
        <w:numPr>
          <w:ilvl w:val="0"/>
          <w:numId w:val="23"/>
        </w:numPr>
        <w:spacing w:after="60"/>
      </w:pPr>
      <w:r>
        <w:t xml:space="preserve">App </w:t>
      </w:r>
      <w:r>
        <w:rPr>
          <w:b/>
          <w:bCs/>
        </w:rPr>
        <w:t xml:space="preserve">Manage G/L Account Master Data</w:t>
      </w:r>
      <w:r>
        <w:t xml:space="preserve"> (Sachkontenstammdaten verwalten) → Chart of Accounts </w:t>
      </w:r>
      <w:r>
        <w:rPr>
          <w:rFonts w:ascii="Consolas" w:cs="Consolas" w:eastAsia="Consolas" w:hAnsi="Consolas"/>
          <w:b/>
          <w:bCs/>
          <w:color w:val="1F4E79"/>
        </w:rPr>
        <w:t xml:space="preserve">YCOA</w:t>
      </w:r>
      <w:r>
        <w:t xml:space="preserve">, G/L Account </w:t>
      </w:r>
      <w:r>
        <w:rPr>
          <w:rFonts w:ascii="Consolas" w:cs="Consolas" w:eastAsia="Consolas" w:hAnsi="Consolas"/>
          <w:b/>
          <w:bCs/>
          <w:color w:val="1F4E79"/>
        </w:rPr>
        <w:t xml:space="preserve">11001000</w:t>
      </w:r>
      <w:r>
        <w:t xml:space="preserve"> → </w:t>
      </w:r>
      <w:r>
        <w:rPr>
          <w:b/>
          <w:bCs/>
        </w:rPr>
        <w:t xml:space="preserve">Go</w:t>
      </w:r>
      <w:r>
        <w:t xml:space="preserve"> → Details (&gt;).</w:t>
      </w:r>
    </w:p>
    <w:p>
      <w:pPr>
        <w:pStyle w:val="ListParagraph"/>
        <w:numPr>
          <w:ilvl w:val="0"/>
          <w:numId w:val="23"/>
        </w:numPr>
        <w:spacing w:after="60"/>
      </w:pPr>
      <w:r>
        <w:rPr>
          <w:b/>
          <w:bCs/>
        </w:rPr>
        <w:t xml:space="preserve">Edit</w:t>
      </w:r>
      <w:r>
        <w:t xml:space="preserve"> → Registerkarte </w:t>
      </w:r>
      <w:r>
        <w:rPr>
          <w:b/>
          <w:bCs/>
        </w:rPr>
        <w:t xml:space="preserve">Company Code Data</w:t>
      </w:r>
      <w:r>
        <w:t xml:space="preserve"> → Buchungskreis </w:t>
      </w:r>
      <w:r>
        <w:rPr>
          <w:b/>
          <w:bCs/>
        </w:rPr>
        <w:t xml:space="preserve">TA##</w:t>
      </w:r>
      <w:r>
        <w:t xml:space="preserve"> markieren → Details (&gt;).</w:t>
      </w:r>
    </w:p>
    <w:p>
      <w:pPr>
        <w:pStyle w:val="ListParagraph"/>
        <w:numPr>
          <w:ilvl w:val="0"/>
          <w:numId w:val="23"/>
        </w:numPr>
        <w:spacing w:after="60"/>
      </w:pPr>
      <w:r>
        <w:t xml:space="preserve">Registerkarte </w:t>
      </w:r>
      <w:r>
        <w:rPr>
          <w:b/>
          <w:bCs/>
        </w:rPr>
        <w:t xml:space="preserve">Create/Bank/Interest</w:t>
      </w:r>
      <w:r>
        <w:t xml:space="preserve"> (ANLEGEN/BANK/ZINS): </w:t>
      </w:r>
      <w:r>
        <w:rPr>
          <w:b/>
          <w:bCs/>
        </w:rPr>
        <w:t xml:space="preserve">House Bank</w:t>
      </w:r>
      <w:r>
        <w:t xml:space="preserve"> </w:t>
      </w:r>
      <w:r>
        <w:rPr>
          <w:rFonts w:ascii="Consolas" w:cs="Consolas" w:eastAsia="Consolas" w:hAnsi="Consolas"/>
          <w:b/>
          <w:bCs/>
          <w:color w:val="1F4E79"/>
        </w:rPr>
        <w:t xml:space="preserve">D-B##</w:t>
      </w:r>
      <w:r>
        <w:t xml:space="preserve">, </w:t>
      </w:r>
      <w:r>
        <w:rPr>
          <w:b/>
          <w:bCs/>
        </w:rPr>
        <w:t xml:space="preserve">House Bank Account ID</w:t>
      </w:r>
      <w:r>
        <w:t xml:space="preserve"> </w:t>
      </w:r>
      <w:r>
        <w:rPr>
          <w:rFonts w:ascii="Consolas" w:cs="Consolas" w:eastAsia="Consolas" w:hAnsi="Consolas"/>
          <w:b/>
          <w:bCs/>
          <w:color w:val="1F4E79"/>
        </w:rPr>
        <w:t xml:space="preserve">GIRO</w:t>
      </w:r>
      <w:r>
        <w:t xml:space="preserve"> → </w:t>
      </w:r>
      <w:r>
        <w:rPr>
          <w:b/>
          <w:bCs/>
        </w:rPr>
        <w:t xml:space="preserve">OK</w:t>
      </w:r>
      <w:r>
        <w:t xml:space="preserve"> → </w:t>
      </w:r>
      <w:r>
        <w:rPr>
          <w:b/>
          <w:bCs/>
        </w:rPr>
        <w:t xml:space="preserve">Save</w:t>
      </w:r>
      <w:r>
        <w:t xml:space="preserve"> (Schulung h–k).</w:t>
      </w:r>
    </w:p>
    <w:p>
      <w:pPr>
        <w:pBdr>
          <w:left w:val="single" w:color="2E75B6" w:sz="24" w:space="6"/>
        </w:pBdr>
        <w:shd w:fill="E8F1FB" w:color="auto" w:val="clear"/>
        <w:spacing w:after="120" w:before="120"/>
        <w:ind w:left="120" w:right="120"/>
      </w:pPr>
      <w:r>
        <w:rPr>
          <w:b/>
          <w:bCs/>
          <w:color w:val="2E75B6"/>
        </w:rPr>
        <w:t xml:space="preserve">Hinweis: </w:t>
      </w:r>
      <w:r>
        <w:t xml:space="preserve">Bestandskontenlösung: 1:1-Beziehung zwischen Hausbankkonto und Sachkonto (S4F13 S. 17 und Notiz S. 27).</w:t>
      </w:r>
    </w:p>
    <w:p>
      <w:pPr>
        <w:pBdr>
          <w:left w:val="single" w:color="7030A0" w:sz="24" w:space="6"/>
        </w:pBdr>
        <w:shd w:fill="F3E8FA" w:color="auto" w:val="clear"/>
        <w:spacing w:after="120" w:before="120"/>
        <w:ind w:left="120" w:right="120"/>
      </w:pPr>
      <w:r>
        <w:rPr>
          <w:b/>
          <w:bCs/>
          <w:color w:val="7030A0"/>
        </w:rPr>
        <w:t xml:space="preserve">Vergleichbare Übung in den Schulungsunterlagen: </w:t>
      </w:r>
      <w:r>
        <w:t xml:space="preserve">SEPA-Fähigkeit: Zahlweg </w:t>
      </w:r>
      <w:r>
        <w:rPr>
          <w:b/>
          <w:bCs/>
        </w:rPr>
        <w:t xml:space="preserve">T</w:t>
      </w:r>
      <w:r>
        <w:t xml:space="preserve"> (Überweisung, Format DE_CGI_XML_CT) hat für DE die Einstellungen </w:t>
      </w:r>
      <w:r>
        <w:rPr>
          <w:b/>
          <w:bCs/>
        </w:rPr>
        <w:t xml:space="preserve">„IBAN erforderlich"</w:t>
      </w:r>
      <w:r>
        <w:t xml:space="preserve"> und </w:t>
      </w:r>
      <w:r>
        <w:rPr>
          <w:b/>
          <w:bCs/>
        </w:rPr>
        <w:t xml:space="preserve">„SWIFT-Code erforderlich"</w:t>
      </w:r>
      <w:r>
        <w:t xml:space="preserve"> – </w:t>
      </w:r>
      <w:r>
        <w:rPr>
          <w:b/>
          <w:bCs/>
        </w:rPr>
        <w:t xml:space="preserve">S4F13</w:t>
      </w:r>
      <w:r>
        <w:t xml:space="preserve">, Übung 6 „Zahlungsprogramm konfigurieren", S. 67–68 (PDF 75–76) – Schritt 3, Tabelle Zahlweg S/T. Daher: BIC </w:t>
      </w:r>
      <w:r>
        <w:rPr>
          <w:rFonts w:ascii="Consolas" w:cs="Consolas" w:eastAsia="Consolas" w:hAnsi="Consolas"/>
          <w:b/>
          <w:bCs/>
          <w:color w:val="1F4E79"/>
        </w:rPr>
        <w:t xml:space="preserve">YYYYDE##</w:t>
      </w:r>
      <w:r>
        <w:t xml:space="preserve"> im Bankstamm und </w:t>
      </w:r>
      <w:r>
        <w:rPr>
          <w:b/>
          <w:bCs/>
        </w:rPr>
        <w:t xml:space="preserve">IBAN generieren</w:t>
      </w:r>
      <w:r>
        <w:t xml:space="preserve"> im Bankkonto.</w:t>
      </w:r>
    </w:p>
    <w:p>
      <w:pPr>
        <w:pStyle w:val="Heading2"/>
      </w:pPr>
      <w:r>
        <w:t xml:space="preserve">Schritt 5.2 – Lieferantenrechnung mit Zahlsperre</w:t>
      </w:r>
    </w:p>
    <w:p>
      <w:pPr>
        <w:pBdr>
          <w:left w:val="single" w:color="7F7F7F" w:sz="24" w:space="6"/>
        </w:pBdr>
        <w:shd w:fill="EDEDED" w:color="auto" w:val="clear"/>
        <w:spacing w:after="120" w:before="120"/>
        <w:ind w:left="120" w:right="120"/>
      </w:pPr>
      <w:r>
        <w:rPr>
          <w:b/>
          <w:bCs/>
          <w:color w:val="7F7F7F"/>
        </w:rPr>
        <w:t xml:space="preserve">Aufgabe (Original): </w:t>
      </w:r>
      <w:r>
        <w:t xml:space="preserve">T-AV##, TA##, 3.300 EUR, heute, 1I, Steuer rechnen, Zahlungsbedingung 0001, Zahlsperre A, Sachkonto 61003000, Kostenstelle TA##1100.</w:t>
      </w:r>
    </w:p>
    <w:p>
      <w:pPr>
        <w:pBdr>
          <w:left w:val="single" w:color="7030A0" w:sz="24" w:space="6"/>
        </w:pBdr>
        <w:shd w:fill="F3E8FA" w:color="auto" w:val="clear"/>
        <w:spacing w:after="120" w:before="120"/>
        <w:ind w:left="120" w:right="120"/>
      </w:pPr>
      <w:r>
        <w:rPr>
          <w:b/>
          <w:bCs/>
          <w:color w:val="7030A0"/>
        </w:rPr>
        <w:t xml:space="preserve">Vergleichbare Übung in den Schulungsunterlagen: </w:t>
      </w:r>
      <w:r>
        <w:rPr>
          <w:b/>
          <w:bCs/>
        </w:rPr>
        <w:t xml:space="preserve">S4F13</w:t>
      </w:r>
      <w:r>
        <w:t xml:space="preserve">, Übung 4 „Belege für automatische Zahlungen eingeben", S. 43–44 (PDF 51–52) – identische Rechnung (T-AV##, 2200 EUR, 1I, 0001, 61003000, TA##1100) – nur Betrag und Zahlsperre abweichend; Zahlsperre bei Belegerfassung: </w:t>
      </w:r>
      <w:r>
        <w:rPr>
          <w:b/>
          <w:bCs/>
        </w:rPr>
        <w:t xml:space="preserve">S4F13</w:t>
      </w:r>
      <w:r>
        <w:t xml:space="preserve">, Lektion „Stammsätze und Finanzbuchhaltungsbelege ändern", Feld „Zahlsperre", S. 31 (PDF 39) und S. 39 (PDF 47).</w:t>
      </w:r>
    </w:p>
    <w:p>
      <w:pPr>
        <w:pBdr>
          <w:left w:val="single" w:color="F0AB00" w:sz="24" w:space="6"/>
        </w:pBdr>
        <w:shd w:fill="FFF4D6" w:color="auto" w:val="clear"/>
        <w:spacing w:after="120" w:before="120"/>
        <w:ind w:left="120" w:right="120"/>
      </w:pPr>
      <w:r>
        <w:rPr>
          <w:b/>
          <w:bCs/>
          <w:color w:val="F0AB00"/>
        </w:rPr>
        <w:t xml:space="preserve">Transaktion / App: </w:t>
      </w:r>
      <w:r>
        <w:t xml:space="preserve">Fiori-App </w:t>
      </w:r>
      <w:r>
        <w:rPr>
          <w:b/>
          <w:bCs/>
        </w:rPr>
        <w:t xml:space="preserve">Create Incoming Invoices</w:t>
      </w:r>
      <w:r>
        <w:t xml:space="preserve"> (Eingangsrechnungen anlegen) – </w:t>
      </w:r>
      <w:r>
        <w:rPr>
          <w:rFonts w:ascii="Consolas" w:cs="Consolas" w:eastAsia="Consolas" w:hAnsi="Consolas"/>
          <w:b/>
          <w:bCs/>
          <w:color w:val="1F4E79"/>
        </w:rPr>
        <w:t xml:space="preserve">FB60</w:t>
      </w:r>
      <w:r>
        <w:t xml:space="preserve">.</w:t>
      </w:r>
    </w:p>
    <w:p>
      <w:pPr>
        <w:pStyle w:val="ListParagraph"/>
        <w:numPr>
          <w:ilvl w:val="0"/>
          <w:numId w:val="24"/>
        </w:numPr>
        <w:spacing w:after="60"/>
      </w:pPr>
      <w:r>
        <w:t xml:space="preserve">App öffnen, </w:t>
      </w:r>
      <w:r>
        <w:rPr>
          <w:b/>
          <w:bCs/>
        </w:rPr>
        <w:t xml:space="preserve">Company Code</w:t>
      </w:r>
      <w:r>
        <w:t xml:space="preserve"> </w:t>
      </w:r>
      <w:r>
        <w:rPr>
          <w:rFonts w:ascii="Consolas" w:cs="Consolas" w:eastAsia="Consolas" w:hAnsi="Consolas"/>
          <w:b/>
          <w:bCs/>
          <w:color w:val="1F4E79"/>
        </w:rPr>
        <w:t xml:space="preserve">TA##</w:t>
      </w:r>
      <w:r>
        <w:t xml:space="preserve"> (Schulung b).</w:t>
      </w:r>
    </w:p>
    <w:p>
      <w:pPr>
        <w:pStyle w:val="ListParagraph"/>
        <w:numPr>
          <w:ilvl w:val="0"/>
          <w:numId w:val="24"/>
        </w:numPr>
        <w:spacing w:after="60"/>
      </w:pPr>
      <w:r>
        <w:t xml:space="preserve">Registerkarte </w:t>
      </w:r>
      <w:r>
        <w:rPr>
          <w:b/>
          <w:bCs/>
        </w:rPr>
        <w:t xml:space="preserve">Basic Data</w:t>
      </w:r>
      <w:r>
        <w:t xml:space="preserve">: </w:t>
      </w:r>
      <w:r>
        <w:rPr>
          <w:b/>
          <w:bCs/>
        </w:rPr>
        <w:t xml:space="preserve">Supplier</w:t>
      </w:r>
      <w:r>
        <w:t xml:space="preserve"> </w:t>
      </w:r>
      <w:r>
        <w:rPr>
          <w:rFonts w:ascii="Consolas" w:cs="Consolas" w:eastAsia="Consolas" w:hAnsi="Consolas"/>
          <w:b/>
          <w:bCs/>
          <w:color w:val="1F4E79"/>
        </w:rPr>
        <w:t xml:space="preserve">T-AV##</w:t>
      </w:r>
      <w:r>
        <w:t xml:space="preserve">, </w:t>
      </w:r>
      <w:r>
        <w:rPr>
          <w:b/>
          <w:bCs/>
        </w:rPr>
        <w:t xml:space="preserve">Invoice Date</w:t>
      </w:r>
      <w:r>
        <w:t xml:space="preserve"> / </w:t>
      </w:r>
      <w:r>
        <w:rPr>
          <w:b/>
          <w:bCs/>
        </w:rPr>
        <w:t xml:space="preserve">Posting Date</w:t>
      </w:r>
      <w:r>
        <w:t xml:space="preserve"> heute, </w:t>
      </w:r>
      <w:r>
        <w:rPr>
          <w:b/>
          <w:bCs/>
        </w:rPr>
        <w:t xml:space="preserve">Amount</w:t>
      </w:r>
      <w:r>
        <w:t xml:space="preserve"> </w:t>
      </w:r>
      <w:r>
        <w:rPr>
          <w:rFonts w:ascii="Consolas" w:cs="Consolas" w:eastAsia="Consolas" w:hAnsi="Consolas"/>
          <w:b/>
          <w:bCs/>
          <w:color w:val="1F4E79"/>
        </w:rPr>
        <w:t xml:space="preserve">3.300</w:t>
      </w:r>
      <w:r>
        <w:t xml:space="preserve"> EUR, </w:t>
      </w:r>
      <w:r>
        <w:rPr>
          <w:b/>
          <w:bCs/>
        </w:rPr>
        <w:t xml:space="preserve">Calculate Tax</w:t>
      </w:r>
      <w:r>
        <w:t xml:space="preserve"> markieren, </w:t>
      </w:r>
      <w:r>
        <w:rPr>
          <w:b/>
          <w:bCs/>
        </w:rPr>
        <w:t xml:space="preserve">Tax Code</w:t>
      </w:r>
      <w:r>
        <w:t xml:space="preserve"> </w:t>
      </w:r>
      <w:r>
        <w:rPr>
          <w:rFonts w:ascii="Consolas" w:cs="Consolas" w:eastAsia="Consolas" w:hAnsi="Consolas"/>
          <w:b/>
          <w:bCs/>
          <w:color w:val="1F4E79"/>
        </w:rPr>
        <w:t xml:space="preserve">1I</w:t>
      </w:r>
      <w:r>
        <w:t xml:space="preserve"> (Schulung d–e).</w:t>
      </w:r>
    </w:p>
    <w:p>
      <w:pPr>
        <w:pStyle w:val="ListParagraph"/>
        <w:numPr>
          <w:ilvl w:val="0"/>
          <w:numId w:val="24"/>
        </w:numPr>
        <w:spacing w:after="60"/>
      </w:pPr>
      <w:r>
        <w:t xml:space="preserve">Registerkarte </w:t>
      </w:r>
      <w:r>
        <w:rPr>
          <w:b/>
          <w:bCs/>
        </w:rPr>
        <w:t xml:space="preserve">Payment</w:t>
      </w:r>
      <w:r>
        <w:t xml:space="preserve"> (Zahlung): </w:t>
      </w:r>
      <w:r>
        <w:rPr>
          <w:b/>
          <w:bCs/>
        </w:rPr>
        <w:t xml:space="preserve">Payt Terms</w:t>
      </w:r>
      <w:r>
        <w:t xml:space="preserve"> (ZahlBed) </w:t>
      </w:r>
      <w:r>
        <w:rPr>
          <w:rFonts w:ascii="Consolas" w:cs="Consolas" w:eastAsia="Consolas" w:hAnsi="Consolas"/>
          <w:b/>
          <w:bCs/>
          <w:color w:val="1F4E79"/>
        </w:rPr>
        <w:t xml:space="preserve">0001</w:t>
      </w:r>
      <w:r>
        <w:t xml:space="preserve"> prüfen/eingeben (Schulung f); zusätzlich </w:t>
      </w:r>
      <w:r>
        <w:rPr>
          <w:b/>
          <w:bCs/>
        </w:rPr>
        <w:t xml:space="preserve">Pmnt Block</w:t>
      </w:r>
      <w:r>
        <w:t xml:space="preserve"> (Zahlsperre) = </w:t>
      </w:r>
      <w:r>
        <w:rPr>
          <w:rFonts w:ascii="Consolas" w:cs="Consolas" w:eastAsia="Consolas" w:hAnsi="Consolas"/>
          <w:b/>
          <w:bCs/>
          <w:color w:val="1F4E79"/>
        </w:rPr>
        <w:t xml:space="preserve">A</w:t>
      </w:r>
      <w:r>
        <w:t xml:space="preserve">. Laut S4F13 S. 39: „Eine Zahlungssperre, die bei der Belegerfassung festgelegt wird, gilt nur für diesen speziellen Beleg" – der Lieferantenstamm bleibt unberührt.</w:t>
      </w:r>
    </w:p>
    <w:p>
      <w:pPr>
        <w:pStyle w:val="ListParagraph"/>
        <w:numPr>
          <w:ilvl w:val="0"/>
          <w:numId w:val="24"/>
        </w:numPr>
        <w:spacing w:after="60"/>
      </w:pPr>
      <w:r>
        <w:t xml:space="preserve">Positionen: </w:t>
      </w:r>
      <w:r>
        <w:rPr>
          <w:b/>
          <w:bCs/>
        </w:rPr>
        <w:t xml:space="preserve">G/L Account</w:t>
      </w:r>
      <w:r>
        <w:t xml:space="preserve"> </w:t>
      </w:r>
      <w:r>
        <w:rPr>
          <w:rFonts w:ascii="Consolas" w:cs="Consolas" w:eastAsia="Consolas" w:hAnsi="Consolas"/>
          <w:b/>
          <w:bCs/>
          <w:color w:val="1F4E79"/>
        </w:rPr>
        <w:t xml:space="preserve">61003000</w:t>
      </w:r>
      <w:r>
        <w:t xml:space="preserve">, </w:t>
      </w:r>
      <w:r>
        <w:rPr>
          <w:b/>
          <w:bCs/>
        </w:rPr>
        <w:t xml:space="preserve">D/C</w:t>
      </w:r>
      <w:r>
        <w:t xml:space="preserve"> Debit, </w:t>
      </w:r>
      <w:r>
        <w:rPr>
          <w:b/>
          <w:bCs/>
        </w:rPr>
        <w:t xml:space="preserve">Amount</w:t>
      </w:r>
      <w:r>
        <w:t xml:space="preserve"> </w:t>
      </w:r>
      <w:r>
        <w:rPr>
          <w:rFonts w:ascii="Consolas" w:cs="Consolas" w:eastAsia="Consolas" w:hAnsi="Consolas"/>
          <w:b/>
          <w:bCs/>
          <w:color w:val="1F4E79"/>
        </w:rPr>
        <w:t xml:space="preserve">*</w:t>
      </w:r>
      <w:r>
        <w:t xml:space="preserve">, </w:t>
      </w:r>
      <w:r>
        <w:rPr>
          <w:b/>
          <w:bCs/>
        </w:rPr>
        <w:t xml:space="preserve">Cost Center</w:t>
      </w:r>
      <w:r>
        <w:t xml:space="preserve"> </w:t>
      </w:r>
      <w:r>
        <w:rPr>
          <w:rFonts w:ascii="Consolas" w:cs="Consolas" w:eastAsia="Consolas" w:hAnsi="Consolas"/>
          <w:b/>
          <w:bCs/>
          <w:color w:val="1F4E79"/>
        </w:rPr>
        <w:t xml:space="preserve">TA##1100</w:t>
      </w:r>
      <w:r>
        <w:t xml:space="preserve"> (Schulung g).</w:t>
      </w:r>
    </w:p>
    <w:p>
      <w:pPr>
        <w:pStyle w:val="ListParagraph"/>
        <w:numPr>
          <w:ilvl w:val="0"/>
          <w:numId w:val="24"/>
        </w:numPr>
        <w:spacing w:after="60"/>
      </w:pPr>
      <w:r>
        <w:rPr>
          <w:b/>
          <w:bCs/>
        </w:rPr>
        <w:t xml:space="preserve">Simulate</w:t>
      </w:r>
      <w:r>
        <w:t xml:space="preserve"> → prüfen (Kreditor 3.300 Haben, Aufwand 3.000, Vorsteuer 300) → </w:t>
      </w:r>
      <w:r>
        <w:rPr>
          <w:b/>
          <w:bCs/>
        </w:rPr>
        <w:t xml:space="preserve">Post</w:t>
      </w:r>
      <w:r>
        <w:t xml:space="preserve">, Belegnummer notieren (Schulung h–j).</w:t>
      </w:r>
    </w:p>
    <w:p>
      <w:pPr>
        <w:pStyle w:val="Heading2"/>
      </w:pPr>
      <w:r>
        <w:t xml:space="preserve">Schritt 5.3 – Zahlprogramm konfigurieren</w:t>
      </w:r>
    </w:p>
    <w:p>
      <w:pPr>
        <w:pBdr>
          <w:left w:val="single" w:color="7F7F7F" w:sz="24" w:space="6"/>
        </w:pBdr>
        <w:shd w:fill="EDEDED" w:color="auto" w:val="clear"/>
        <w:spacing w:after="120" w:before="120"/>
        <w:ind w:left="120" w:right="120"/>
      </w:pPr>
      <w:r>
        <w:rPr>
          <w:b/>
          <w:bCs/>
          <w:color w:val="7F7F7F"/>
        </w:rPr>
        <w:t xml:space="preserve">Aufgabe (Original): </w:t>
      </w:r>
      <w:r>
        <w:t xml:space="preserve">Sending/Paying Company Code = TA##. Bankenfindung für TA## und D-B##: Rangfolge (T/EUR/1/D-B##), Bankkonten (D-B##/T/EUR/GIRO/11001020), verfügbare Beträge (2.000.000 EUR, 999 Tage), Wertstellung (1.000.000 EUR, 2 Tage).</w:t>
      </w:r>
    </w:p>
    <w:p>
      <w:pPr>
        <w:pBdr>
          <w:left w:val="single" w:color="7030A0" w:sz="24" w:space="6"/>
        </w:pBdr>
        <w:shd w:fill="F3E8FA" w:color="auto" w:val="clear"/>
        <w:spacing w:after="120" w:before="120"/>
        <w:ind w:left="120" w:right="120"/>
      </w:pPr>
      <w:r>
        <w:rPr>
          <w:b/>
          <w:bCs/>
          <w:color w:val="7030A0"/>
        </w:rPr>
        <w:t xml:space="preserve">Vergleichbare Übung in den Schulungsunterlagen: </w:t>
      </w:r>
      <w:r>
        <w:rPr>
          <w:b/>
          <w:bCs/>
        </w:rPr>
        <w:t xml:space="preserve">S4F13</w:t>
      </w:r>
      <w:r>
        <w:t xml:space="preserve">, Übung 6 „Zahlungsprogramm konfigurieren", S. 66–69 (PDF 74–77) – Alle Buchungskreise (Absendender/Zahlender BuKr), Zahlende Buchungskreise, Zahlwege pro Land/Buchungskreis; </w:t>
      </w:r>
      <w:r>
        <w:rPr>
          <w:b/>
          <w:bCs/>
        </w:rPr>
        <w:t xml:space="preserve">S4F13</w:t>
      </w:r>
      <w:r>
        <w:t xml:space="preserve">, Übung 7 „Bankenauswahl konfigurieren", S. 79–81 (PDF 87–89) – Rangfolge, Bankkonten, Disponierte Beträge, Wertstellung – praktisch identische Struktur</w:t>
      </w:r>
    </w:p>
    <w:p>
      <w:pPr>
        <w:pBdr>
          <w:left w:val="single" w:color="F0AB00" w:sz="24" w:space="6"/>
        </w:pBdr>
        <w:shd w:fill="FFF4D6" w:color="auto" w:val="clear"/>
        <w:spacing w:after="120" w:before="120"/>
        <w:ind w:left="120" w:right="120"/>
      </w:pPr>
      <w:r>
        <w:rPr>
          <w:b/>
          <w:bCs/>
          <w:color w:val="F0AB00"/>
        </w:rPr>
        <w:t xml:space="preserve">Transaktion / App: </w:t>
      </w:r>
      <w:r>
        <w:t xml:space="preserve">IMG: Financial Accounting → Accounts Receivable and Accounts Payable → Business Transactions → Outgoing Payments → Automatic Outgoing Payments → Payment Method/Bank Selection for Payment Program (Transaktion </w:t>
      </w:r>
      <w:r>
        <w:rPr>
          <w:rFonts w:ascii="Consolas" w:cs="Consolas" w:eastAsia="Consolas" w:hAnsi="Consolas"/>
          <w:b/>
          <w:bCs/>
          <w:color w:val="1F4E79"/>
        </w:rPr>
        <w:t xml:space="preserve">FBZP</w:t>
      </w:r>
      <w:r>
        <w:t xml:space="preserve">).</w:t>
      </w:r>
    </w:p>
    <w:p>
      <w:pPr>
        <w:pStyle w:val="Heading3"/>
      </w:pPr>
      <w:r>
        <w:t xml:space="preserve">a) Alle Buchungskreise</w:t>
      </w:r>
    </w:p>
    <w:p>
      <w:pPr>
        <w:pStyle w:val="ListParagraph"/>
        <w:numPr>
          <w:ilvl w:val="0"/>
          <w:numId w:val="25"/>
        </w:numPr>
        <w:spacing w:after="60"/>
      </w:pPr>
      <w:r>
        <w:t xml:space="preserve">IMG-Aktivität </w:t>
      </w:r>
      <w:r>
        <w:rPr>
          <w:b/>
          <w:bCs/>
        </w:rPr>
        <w:t xml:space="preserve">Set Up All Company Codes for Payment Transactions</w:t>
      </w:r>
      <w:r>
        <w:t xml:space="preserve"> (Alle Buchungskreise für Zahlungsverkehr einrichten) → TA## doppelklicken (ggf. </w:t>
      </w:r>
      <w:r>
        <w:rPr>
          <w:b/>
          <w:bCs/>
        </w:rPr>
        <w:t xml:space="preserve">Position…</w:t>
      </w:r>
      <w:r>
        <w:t xml:space="preserve">) – Schulung S4F13 S. 66 c)–d).</w:t>
      </w:r>
    </w:p>
    <w:p>
      <w:pPr>
        <w:pStyle w:val="ListParagraph"/>
        <w:numPr>
          <w:ilvl w:val="0"/>
          <w:numId w:val="25"/>
        </w:numPr>
        <w:spacing w:after="60"/>
      </w:pPr>
      <w:r>
        <w:rPr>
          <w:b/>
          <w:bCs/>
        </w:rPr>
        <w:t xml:space="preserve">Sending Company Code</w:t>
      </w:r>
      <w:r>
        <w:t xml:space="preserve"> </w:t>
      </w:r>
      <w:r>
        <w:rPr>
          <w:rFonts w:ascii="Consolas" w:cs="Consolas" w:eastAsia="Consolas" w:hAnsi="Consolas"/>
          <w:b/>
          <w:bCs/>
          <w:color w:val="1F4E79"/>
        </w:rPr>
        <w:t xml:space="preserve">TA##</w:t>
      </w:r>
      <w:r>
        <w:t xml:space="preserve">, </w:t>
      </w:r>
      <w:r>
        <w:rPr>
          <w:b/>
          <w:bCs/>
        </w:rPr>
        <w:t xml:space="preserve">Paying Company Code</w:t>
      </w:r>
      <w:r>
        <w:t xml:space="preserve"> </w:t>
      </w:r>
      <w:r>
        <w:rPr>
          <w:rFonts w:ascii="Consolas" w:cs="Consolas" w:eastAsia="Consolas" w:hAnsi="Consolas"/>
          <w:b/>
          <w:bCs/>
          <w:color w:val="1F4E79"/>
        </w:rPr>
        <w:t xml:space="preserve">TA##</w:t>
      </w:r>
      <w:r>
        <w:t xml:space="preserve"> prüfen/setzen → </w:t>
      </w:r>
      <w:r>
        <w:rPr>
          <w:b/>
          <w:bCs/>
        </w:rPr>
        <w:t xml:space="preserve">Save</w:t>
      </w:r>
      <w:r>
        <w:t xml:space="preserve"> (Schulung e–f).</w:t>
      </w:r>
    </w:p>
    <w:p>
      <w:pPr>
        <w:pStyle w:val="ListParagraph"/>
        <w:numPr>
          <w:ilvl w:val="0"/>
          <w:numId w:val="25"/>
        </w:numPr>
        <w:spacing w:after="60"/>
      </w:pPr>
      <w:r>
        <w:t xml:space="preserve">Optional prüfen: </w:t>
      </w:r>
      <w:r>
        <w:rPr>
          <w:b/>
          <w:bCs/>
        </w:rPr>
        <w:t xml:space="preserve">Set Up Paying Company Codes</w:t>
      </w:r>
      <w:r>
        <w:t xml:space="preserve"> (Zahlende Buchungskreise) und </w:t>
      </w:r>
      <w:r>
        <w:rPr>
          <w:b/>
          <w:bCs/>
        </w:rPr>
        <w:t xml:space="preserve">Set Up Payment Methods per Company Code</w:t>
      </w:r>
      <w:r>
        <w:t xml:space="preserve"> – Zahlweg </w:t>
      </w:r>
      <w:r>
        <w:rPr>
          <w:b/>
          <w:bCs/>
        </w:rPr>
        <w:t xml:space="preserve">T</w:t>
      </w:r>
      <w:r>
        <w:t xml:space="preserve"> in TA## vorhanden (Schulung S. 67–69). Payment-Medium-Einstellungen sind laut Aufgabe nicht nötig.</w:t>
      </w:r>
    </w:p>
    <w:p>
      <w:pPr>
        <w:pStyle w:val="Heading3"/>
      </w:pPr>
      <w:r>
        <w:t xml:space="preserve">b) Bankenfindung</w:t>
      </w:r>
    </w:p>
    <w:p>
      <w:pPr>
        <w:pStyle w:val="ListParagraph"/>
        <w:numPr>
          <w:ilvl w:val="0"/>
          <w:numId w:val="26"/>
        </w:numPr>
        <w:spacing w:after="60"/>
      </w:pPr>
      <w:r>
        <w:t xml:space="preserve">IMG-Aktivität </w:t>
      </w:r>
      <w:r>
        <w:rPr>
          <w:b/>
          <w:bCs/>
        </w:rPr>
        <w:t xml:space="preserve">Set Up Bank Determination for Payment Transactions</w:t>
      </w:r>
      <w:r>
        <w:t xml:space="preserve"> (Bankenfindung für Zahlungsverkehr einrichten) → Zeile </w:t>
      </w:r>
      <w:r>
        <w:rPr>
          <w:b/>
          <w:bCs/>
        </w:rPr>
        <w:t xml:space="preserve">TA##</w:t>
      </w:r>
      <w:r>
        <w:t xml:space="preserve"> markieren (Schulung S4F13 S. 79 a)–b).</w:t>
      </w:r>
    </w:p>
    <w:p>
      <w:pPr>
        <w:pStyle w:val="ListParagraph"/>
        <w:numPr>
          <w:ilvl w:val="0"/>
          <w:numId w:val="26"/>
        </w:numPr>
        <w:spacing w:after="60"/>
      </w:pPr>
      <w:r>
        <w:t xml:space="preserve">Ordner </w:t>
      </w:r>
      <w:r>
        <w:rPr>
          <w:b/>
          <w:bCs/>
        </w:rPr>
        <w:t xml:space="preserve">Ranking Order</w:t>
      </w:r>
      <w:r>
        <w:t xml:space="preserve"> (Rangfolge): Zeile Zahlweg </w:t>
      </w:r>
      <w:r>
        <w:rPr>
          <w:rFonts w:ascii="Consolas" w:cs="Consolas" w:eastAsia="Consolas" w:hAnsi="Consolas"/>
          <w:b/>
          <w:bCs/>
          <w:color w:val="1F4E79"/>
        </w:rPr>
        <w:t xml:space="preserve">T</w:t>
      </w:r>
      <w:r>
        <w:t xml:space="preserve">, Währung </w:t>
      </w:r>
      <w:r>
        <w:rPr>
          <w:rFonts w:ascii="Consolas" w:cs="Consolas" w:eastAsia="Consolas" w:hAnsi="Consolas"/>
          <w:b/>
          <w:bCs/>
          <w:color w:val="1F4E79"/>
        </w:rPr>
        <w:t xml:space="preserve">EUR</w:t>
      </w:r>
      <w:r>
        <w:t xml:space="preserve">, Rangfolge </w:t>
      </w:r>
      <w:r>
        <w:rPr>
          <w:rFonts w:ascii="Consolas" w:cs="Consolas" w:eastAsia="Consolas" w:hAnsi="Consolas"/>
          <w:b/>
          <w:bCs/>
          <w:color w:val="1F4E79"/>
        </w:rPr>
        <w:t xml:space="preserve">1</w:t>
      </w:r>
      <w:r>
        <w:t xml:space="preserve"> → Feld </w:t>
      </w:r>
      <w:r>
        <w:rPr>
          <w:b/>
          <w:bCs/>
        </w:rPr>
        <w:t xml:space="preserve">House Bank</w:t>
      </w:r>
      <w:r>
        <w:t xml:space="preserve"> auf </w:t>
      </w:r>
      <w:r>
        <w:rPr>
          <w:rFonts w:ascii="Consolas" w:cs="Consolas" w:eastAsia="Consolas" w:hAnsi="Consolas"/>
          <w:b/>
          <w:bCs/>
          <w:color w:val="1F4E79"/>
        </w:rPr>
        <w:t xml:space="preserve">D-B##</w:t>
      </w:r>
      <w:r>
        <w:t xml:space="preserve"> </w:t>
      </w:r>
      <w:r>
        <w:rPr>
          <w:b/>
          <w:bCs/>
        </w:rPr>
        <w:t xml:space="preserve">ändern</w:t>
      </w:r>
      <w:r>
        <w:t xml:space="preserve"> → </w:t>
      </w:r>
      <w:r>
        <w:rPr>
          <w:b/>
          <w:bCs/>
        </w:rPr>
        <w:t xml:space="preserve">Save</w:t>
      </w:r>
      <w:r>
        <w:t xml:space="preserve"> (Schulung c)–e).</w:t>
      </w:r>
    </w:p>
    <w:p>
      <w:pPr>
        <w:pStyle w:val="ListParagraph"/>
        <w:numPr>
          <w:ilvl w:val="0"/>
          <w:numId w:val="26"/>
        </w:numPr>
        <w:spacing w:after="60"/>
      </w:pPr>
      <w:r>
        <w:t xml:space="preserve">Ordner </w:t>
      </w:r>
      <w:r>
        <w:rPr>
          <w:b/>
          <w:bCs/>
        </w:rPr>
        <w:t xml:space="preserve">Bank Accounts</w:t>
      </w:r>
      <w:r>
        <w:t xml:space="preserve"> (Bankkonten) → </w:t>
      </w:r>
      <w:r>
        <w:rPr>
          <w:b/>
          <w:bCs/>
        </w:rPr>
        <w:t xml:space="preserve">New Entries</w:t>
      </w:r>
      <w:r>
        <w:t xml:space="preserve">: House Bank </w:t>
      </w:r>
      <w:r>
        <w:rPr>
          <w:rFonts w:ascii="Consolas" w:cs="Consolas" w:eastAsia="Consolas" w:hAnsi="Consolas"/>
          <w:b/>
          <w:bCs/>
          <w:color w:val="1F4E79"/>
        </w:rPr>
        <w:t xml:space="preserve">D-B##</w:t>
      </w:r>
      <w:r>
        <w:t xml:space="preserve">, Payment Method </w:t>
      </w:r>
      <w:r>
        <w:rPr>
          <w:rFonts w:ascii="Consolas" w:cs="Consolas" w:eastAsia="Consolas" w:hAnsi="Consolas"/>
          <w:b/>
          <w:bCs/>
          <w:color w:val="1F4E79"/>
        </w:rPr>
        <w:t xml:space="preserve">T</w:t>
      </w:r>
      <w:r>
        <w:t xml:space="preserve">, Currency </w:t>
      </w:r>
      <w:r>
        <w:rPr>
          <w:rFonts w:ascii="Consolas" w:cs="Consolas" w:eastAsia="Consolas" w:hAnsi="Consolas"/>
          <w:b/>
          <w:bCs/>
          <w:color w:val="1F4E79"/>
        </w:rPr>
        <w:t xml:space="preserve">EUR</w:t>
      </w:r>
      <w:r>
        <w:t xml:space="preserve">, Account ID </w:t>
      </w:r>
      <w:r>
        <w:rPr>
          <w:rFonts w:ascii="Consolas" w:cs="Consolas" w:eastAsia="Consolas" w:hAnsi="Consolas"/>
          <w:b/>
          <w:bCs/>
          <w:color w:val="1F4E79"/>
        </w:rPr>
        <w:t xml:space="preserve">GIRO</w:t>
      </w:r>
      <w:r>
        <w:t xml:space="preserve">, Bank Subaccount </w:t>
      </w:r>
      <w:r>
        <w:rPr>
          <w:rFonts w:ascii="Consolas" w:cs="Consolas" w:eastAsia="Consolas" w:hAnsi="Consolas"/>
          <w:b/>
          <w:bCs/>
          <w:color w:val="1F4E79"/>
        </w:rPr>
        <w:t xml:space="preserve">11001020</w:t>
      </w:r>
      <w:r>
        <w:t xml:space="preserve"> → </w:t>
      </w:r>
      <w:r>
        <w:rPr>
          <w:b/>
          <w:bCs/>
        </w:rPr>
        <w:t xml:space="preserve">Save</w:t>
      </w:r>
      <w:r>
        <w:t xml:space="preserve"> (Schulung f)–i).</w:t>
      </w:r>
    </w:p>
    <w:p>
      <w:pPr>
        <w:pStyle w:val="ListParagraph"/>
        <w:numPr>
          <w:ilvl w:val="0"/>
          <w:numId w:val="26"/>
        </w:numPr>
        <w:spacing w:after="60"/>
      </w:pPr>
      <w:r>
        <w:t xml:space="preserve">Ordner </w:t>
      </w:r>
      <w:r>
        <w:rPr>
          <w:b/>
          <w:bCs/>
        </w:rPr>
        <w:t xml:space="preserve">Available Amounts</w:t>
      </w:r>
      <w:r>
        <w:t xml:space="preserve"> (Disponierte Beträge) → </w:t>
      </w:r>
      <w:r>
        <w:rPr>
          <w:b/>
          <w:bCs/>
        </w:rPr>
        <w:t xml:space="preserve">New Entries</w:t>
      </w:r>
      <w:r>
        <w:t xml:space="preserve">: House Bank </w:t>
      </w:r>
      <w:r>
        <w:rPr>
          <w:rFonts w:ascii="Consolas" w:cs="Consolas" w:eastAsia="Consolas" w:hAnsi="Consolas"/>
          <w:b/>
          <w:bCs/>
          <w:color w:val="1F4E79"/>
        </w:rPr>
        <w:t xml:space="preserve">D-B##</w:t>
      </w:r>
      <w:r>
        <w:t xml:space="preserve">, Account ID </w:t>
      </w:r>
      <w:r>
        <w:rPr>
          <w:rFonts w:ascii="Consolas" w:cs="Consolas" w:eastAsia="Consolas" w:hAnsi="Consolas"/>
          <w:b/>
          <w:bCs/>
          <w:color w:val="1F4E79"/>
        </w:rPr>
        <w:t xml:space="preserve">GIRO</w:t>
      </w:r>
      <w:r>
        <w:t xml:space="preserve">, Days </w:t>
      </w:r>
      <w:r>
        <w:rPr>
          <w:rFonts w:ascii="Consolas" w:cs="Consolas" w:eastAsia="Consolas" w:hAnsi="Consolas"/>
          <w:b/>
          <w:bCs/>
          <w:color w:val="1F4E79"/>
        </w:rPr>
        <w:t xml:space="preserve">999</w:t>
      </w:r>
      <w:r>
        <w:t xml:space="preserve">, Currency </w:t>
      </w:r>
      <w:r>
        <w:rPr>
          <w:rFonts w:ascii="Consolas" w:cs="Consolas" w:eastAsia="Consolas" w:hAnsi="Consolas"/>
          <w:b/>
          <w:bCs/>
          <w:color w:val="1F4E79"/>
        </w:rPr>
        <w:t xml:space="preserve">EUR</w:t>
      </w:r>
      <w:r>
        <w:t xml:space="preserve">, Available for Outgoing Payment </w:t>
      </w:r>
      <w:r>
        <w:rPr>
          <w:rFonts w:ascii="Consolas" w:cs="Consolas" w:eastAsia="Consolas" w:hAnsi="Consolas"/>
          <w:b/>
          <w:bCs/>
          <w:color w:val="1F4E79"/>
        </w:rPr>
        <w:t xml:space="preserve">2.000.000</w:t>
      </w:r>
      <w:r>
        <w:t xml:space="preserve">, Scheduled Incoming Payments </w:t>
      </w:r>
      <w:r>
        <w:rPr>
          <w:rFonts w:ascii="Consolas" w:cs="Consolas" w:eastAsia="Consolas" w:hAnsi="Consolas"/>
          <w:b/>
          <w:bCs/>
          <w:color w:val="1F4E79"/>
        </w:rPr>
        <w:t xml:space="preserve">2.000.000</w:t>
      </w:r>
      <w:r>
        <w:t xml:space="preserve"> → </w:t>
      </w:r>
      <w:r>
        <w:rPr>
          <w:b/>
          <w:bCs/>
        </w:rPr>
        <w:t xml:space="preserve">Save</w:t>
      </w:r>
      <w:r>
        <w:t xml:space="preserve"> (Schulung 2 a)–d), dort 5.000.000).</w:t>
      </w:r>
    </w:p>
    <w:p>
      <w:pPr>
        <w:pStyle w:val="ListParagraph"/>
        <w:numPr>
          <w:ilvl w:val="0"/>
          <w:numId w:val="26"/>
        </w:numPr>
        <w:spacing w:after="60"/>
      </w:pPr>
      <w:r>
        <w:t xml:space="preserve">Ordner </w:t>
      </w:r>
      <w:r>
        <w:rPr>
          <w:b/>
          <w:bCs/>
        </w:rPr>
        <w:t xml:space="preserve">Value Date</w:t>
      </w:r>
      <w:r>
        <w:t xml:space="preserve"> (Wertstellung) → </w:t>
      </w:r>
      <w:r>
        <w:rPr>
          <w:b/>
          <w:bCs/>
        </w:rPr>
        <w:t xml:space="preserve">New Entries</w:t>
      </w:r>
      <w:r>
        <w:t xml:space="preserve">: Payment Method </w:t>
      </w:r>
      <w:r>
        <w:rPr>
          <w:rFonts w:ascii="Consolas" w:cs="Consolas" w:eastAsia="Consolas" w:hAnsi="Consolas"/>
          <w:b/>
          <w:bCs/>
          <w:color w:val="1F4E79"/>
        </w:rPr>
        <w:t xml:space="preserve">T</w:t>
      </w:r>
      <w:r>
        <w:t xml:space="preserve">, House Bank </w:t>
      </w:r>
      <w:r>
        <w:rPr>
          <w:rFonts w:ascii="Consolas" w:cs="Consolas" w:eastAsia="Consolas" w:hAnsi="Consolas"/>
          <w:b/>
          <w:bCs/>
          <w:color w:val="1F4E79"/>
        </w:rPr>
        <w:t xml:space="preserve">D-B##</w:t>
      </w:r>
      <w:r>
        <w:t xml:space="preserve">, Account ID </w:t>
      </w:r>
      <w:r>
        <w:rPr>
          <w:rFonts w:ascii="Consolas" w:cs="Consolas" w:eastAsia="Consolas" w:hAnsi="Consolas"/>
          <w:b/>
          <w:bCs/>
          <w:color w:val="1F4E79"/>
        </w:rPr>
        <w:t xml:space="preserve">GIRO</w:t>
      </w:r>
      <w:r>
        <w:t xml:space="preserve">, Amount Limit </w:t>
      </w:r>
      <w:r>
        <w:rPr>
          <w:rFonts w:ascii="Consolas" w:cs="Consolas" w:eastAsia="Consolas" w:hAnsi="Consolas"/>
          <w:b/>
          <w:bCs/>
          <w:color w:val="1F4E79"/>
        </w:rPr>
        <w:t xml:space="preserve">1.000.000</w:t>
      </w:r>
      <w:r>
        <w:t xml:space="preserve">, Currency </w:t>
      </w:r>
      <w:r>
        <w:rPr>
          <w:rFonts w:ascii="Consolas" w:cs="Consolas" w:eastAsia="Consolas" w:hAnsi="Consolas"/>
          <w:b/>
          <w:bCs/>
          <w:color w:val="1F4E79"/>
        </w:rPr>
        <w:t xml:space="preserve">EUR</w:t>
      </w:r>
      <w:r>
        <w:t xml:space="preserve">, Days to Value Date </w:t>
      </w:r>
      <w:r>
        <w:rPr>
          <w:rFonts w:ascii="Consolas" w:cs="Consolas" w:eastAsia="Consolas" w:hAnsi="Consolas"/>
          <w:b/>
          <w:bCs/>
          <w:color w:val="1F4E79"/>
        </w:rPr>
        <w:t xml:space="preserve">2</w:t>
      </w:r>
      <w:r>
        <w:t xml:space="preserve"> → </w:t>
      </w:r>
      <w:r>
        <w:rPr>
          <w:b/>
          <w:bCs/>
        </w:rPr>
        <w:t xml:space="preserve">Save</w:t>
      </w:r>
      <w:r>
        <w:t xml:space="preserve"> (Schulung 3 a)–d), dort 3.000.000).</w:t>
      </w:r>
    </w:p>
    <w:p>
      <w:pPr>
        <w:pStyle w:val="Heading2"/>
      </w:pPr>
      <w:r>
        <w:t xml:space="preserve">Schritt 5.4 – Zahllauf mit Entsperrung nur im Vorschlag</w:t>
      </w:r>
    </w:p>
    <w:p>
      <w:pPr>
        <w:pBdr>
          <w:left w:val="single" w:color="7F7F7F" w:sz="24" w:space="6"/>
        </w:pBdr>
        <w:shd w:fill="EDEDED" w:color="auto" w:val="clear"/>
        <w:spacing w:after="120" w:before="120"/>
        <w:ind w:left="120" w:right="120"/>
      </w:pPr>
      <w:r>
        <w:rPr>
          <w:b/>
          <w:bCs/>
          <w:color w:val="7F7F7F"/>
        </w:rPr>
        <w:t xml:space="preserve">Aufgabe (Original): </w:t>
      </w:r>
      <w:r>
        <w:t xml:space="preserve">Manage Automatic Payments: Run Date heute, ID TA##, Posting Date/Docs Entered Up To heute, TA##, Next Payment Date heute+7, Zahlweg T, Lieferant T-AV##, Additional Log = Yes. Gesperrte Rechnung nur für diesen Lauf freigeben (nicht im Stamm).</w:t>
      </w:r>
    </w:p>
    <w:p>
      <w:pPr>
        <w:pBdr>
          <w:left w:val="single" w:color="7030A0" w:sz="24" w:space="6"/>
        </w:pBdr>
        <w:shd w:fill="F3E8FA" w:color="auto" w:val="clear"/>
        <w:spacing w:after="120" w:before="120"/>
        <w:ind w:left="120" w:right="120"/>
      </w:pPr>
      <w:r>
        <w:rPr>
          <w:b/>
          <w:bCs/>
          <w:color w:val="7030A0"/>
        </w:rPr>
        <w:t xml:space="preserve">Vergleichbare Übung in den Schulungsunterlagen: </w:t>
      </w:r>
      <w:r>
        <w:rPr>
          <w:b/>
          <w:bCs/>
        </w:rPr>
        <w:t xml:space="preserve">S4F13</w:t>
      </w:r>
      <w:r>
        <w:t xml:space="preserve">, Übung 8 „Zahlungsvorschlag ausführen", S. 93–98 (PDF 101–106) – Parameter anlegen (gleiche Felder, ID TA##, Zusätzliches Protokoll Ja, Zahlweg T, Lieferant T-AV##), Vorschlag einplanen, „Zahlungsvorschläge überarbeiten", Registerkarte AUSNAHMEN; </w:t>
      </w:r>
      <w:r>
        <w:rPr>
          <w:b/>
          <w:bCs/>
        </w:rPr>
        <w:t xml:space="preserve">S4F13</w:t>
      </w:r>
      <w:r>
        <w:t xml:space="preserve">, Lektion „Das Zahlungsprogramm ausführen", Abschnitte „Zahlungssperren" und „Zahlungsvorschlagsbearbeitung", S. 88–90 (PDF 96–98) („Ändern Sie die Zahlungssperre … für jeden Einzelposten"); </w:t>
      </w:r>
      <w:r>
        <w:rPr>
          <w:b/>
          <w:bCs/>
        </w:rPr>
        <w:t xml:space="preserve">S4F13</w:t>
      </w:r>
      <w:r>
        <w:t xml:space="preserve">, Übung 9 „Zahllauf ausführen", S. 112–113 (PDF 120–121) – Zahlung einplanen, Belege/Protokoll prüfen</w:t>
      </w:r>
    </w:p>
    <w:p>
      <w:pPr>
        <w:pBdr>
          <w:left w:val="single" w:color="F0AB00" w:sz="24" w:space="6"/>
        </w:pBdr>
        <w:shd w:fill="FFF4D6" w:color="auto" w:val="clear"/>
        <w:spacing w:after="120" w:before="120"/>
        <w:ind w:left="120" w:right="120"/>
      </w:pPr>
      <w:r>
        <w:rPr>
          <w:b/>
          <w:bCs/>
          <w:color w:val="F0AB00"/>
        </w:rPr>
        <w:t xml:space="preserve">Transaktion / App: </w:t>
      </w:r>
      <w:r>
        <w:t xml:space="preserve">Fiori-App </w:t>
      </w:r>
      <w:r>
        <w:rPr>
          <w:b/>
          <w:bCs/>
        </w:rPr>
        <w:t xml:space="preserve">Manage Automatic Payments</w:t>
      </w:r>
      <w:r>
        <w:t xml:space="preserve"> (Automatische Zahlungen verwalten), Kachelgruppe Kreditoren – entspricht </w:t>
      </w:r>
      <w:r>
        <w:rPr>
          <w:rFonts w:ascii="Consolas" w:cs="Consolas" w:eastAsia="Consolas" w:hAnsi="Consolas"/>
          <w:b/>
          <w:bCs/>
          <w:color w:val="1F4E79"/>
        </w:rPr>
        <w:t xml:space="preserve">F110</w:t>
      </w:r>
      <w:r>
        <w:t xml:space="preserve">.</w:t>
      </w:r>
    </w:p>
    <w:p>
      <w:pPr>
        <w:pStyle w:val="ListParagraph"/>
        <w:numPr>
          <w:ilvl w:val="0"/>
          <w:numId w:val="27"/>
        </w:numPr>
        <w:spacing w:after="60"/>
      </w:pPr>
      <w:r>
        <w:t xml:space="preserve">App öffnen → </w:t>
      </w:r>
      <w:r>
        <w:rPr>
          <w:b/>
          <w:bCs/>
        </w:rPr>
        <w:t xml:space="preserve">Create Parameters</w:t>
      </w:r>
      <w:r>
        <w:t xml:space="preserve"> (Parameter anlegen) → </w:t>
      </w:r>
      <w:r>
        <w:rPr>
          <w:b/>
          <w:bCs/>
        </w:rPr>
        <w:t xml:space="preserve">Run Date</w:t>
      </w:r>
      <w:r>
        <w:t xml:space="preserve"> heute, </w:t>
      </w:r>
      <w:r>
        <w:rPr>
          <w:b/>
          <w:bCs/>
        </w:rPr>
        <w:t xml:space="preserve">Identification</w:t>
      </w:r>
      <w:r>
        <w:t xml:space="preserve"> </w:t>
      </w:r>
      <w:r>
        <w:rPr>
          <w:rFonts w:ascii="Consolas" w:cs="Consolas" w:eastAsia="Consolas" w:hAnsi="Consolas"/>
          <w:b/>
          <w:bCs/>
          <w:color w:val="1F4E79"/>
        </w:rPr>
        <w:t xml:space="preserve">TA##</w:t>
      </w:r>
      <w:r>
        <w:t xml:space="preserve"> → </w:t>
      </w:r>
      <w:r>
        <w:rPr>
          <w:b/>
          <w:bCs/>
        </w:rPr>
        <w:t xml:space="preserve">Create</w:t>
      </w:r>
      <w:r>
        <w:t xml:space="preserve"> (Schulung S. 94 b)–d).</w:t>
      </w:r>
    </w:p>
    <w:p>
      <w:pPr>
        <w:pStyle w:val="ListParagraph"/>
        <w:numPr>
          <w:ilvl w:val="0"/>
          <w:numId w:val="27"/>
        </w:numPr>
        <w:spacing w:after="60"/>
      </w:pPr>
      <w:r>
        <w:t xml:space="preserve">Parameter erfassen (Schulung S. 95 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438"/>
      </w:tblGrid>
      <w:tr>
        <w:trPr>
          <w:tblHeader/>
        </w:trPr>
        <w:tc>
          <w:tcPr>
            <w:tcW w:type="dxa" w:w="2600"/>
            <w:tcBorders>
              <w:top w:val="single" w:color="A6A6A6" w:sz="4"/>
              <w:left w:val="single" w:color="A6A6A6" w:sz="4"/>
              <w:bottom w:val="single" w:color="A6A6A6" w:sz="4"/>
              <w:right w:val="single" w:color="A6A6A6" w:sz="4"/>
            </w:tcBorders>
            <w:shd w:fill="F0AB00" w:color="auto" w:val="clear"/>
            <w:tcMar>
              <w:top w:type="dxa" w:w="60"/>
              <w:left w:type="dxa" w:w="100"/>
              <w:bottom w:type="dxa" w:w="60"/>
              <w:right w:type="dxa" w:w="100"/>
            </w:tcMar>
          </w:tcPr>
          <w:p>
            <w:r>
              <w:rPr>
                <w:b/>
                <w:bCs/>
              </w:rPr>
              <w:t xml:space="preserve">Feld (EN / DE)</w:t>
            </w:r>
          </w:p>
        </w:tc>
        <w:tc>
          <w:tcPr>
            <w:tcW w:type="dxa" w:w="3600"/>
            <w:tcBorders>
              <w:top w:val="single" w:color="A6A6A6" w:sz="4"/>
              <w:left w:val="single" w:color="A6A6A6" w:sz="4"/>
              <w:bottom w:val="single" w:color="A6A6A6" w:sz="4"/>
              <w:right w:val="single" w:color="A6A6A6" w:sz="4"/>
            </w:tcBorders>
            <w:shd w:fill="F0AB00" w:color="auto" w:val="clear"/>
            <w:tcMar>
              <w:top w:type="dxa" w:w="60"/>
              <w:left w:type="dxa" w:w="100"/>
              <w:bottom w:type="dxa" w:w="60"/>
              <w:right w:type="dxa" w:w="100"/>
            </w:tcMar>
          </w:tcPr>
          <w:p>
            <w:r>
              <w:rPr>
                <w:b/>
                <w:bCs/>
              </w:rPr>
              <w:t xml:space="preserve">Wert Prüfung</w:t>
            </w:r>
          </w:p>
        </w:tc>
        <w:tc>
          <w:tcPr>
            <w:tcW w:type="dxa" w:w="3438"/>
            <w:tcBorders>
              <w:top w:val="single" w:color="A6A6A6" w:sz="4"/>
              <w:left w:val="single" w:color="A6A6A6" w:sz="4"/>
              <w:bottom w:val="single" w:color="A6A6A6" w:sz="4"/>
              <w:right w:val="single" w:color="A6A6A6" w:sz="4"/>
            </w:tcBorders>
            <w:shd w:fill="F0AB00" w:color="auto" w:val="clear"/>
            <w:tcMar>
              <w:top w:type="dxa" w:w="60"/>
              <w:left w:type="dxa" w:w="100"/>
              <w:bottom w:type="dxa" w:w="60"/>
              <w:right w:type="dxa" w:w="100"/>
            </w:tcMar>
          </w:tcPr>
          <w:p>
            <w:r>
              <w:rPr>
                <w:b/>
                <w:bCs/>
              </w:rPr>
              <w:t xml:space="preserve">Wert in der Schulung</w:t>
            </w:r>
          </w:p>
        </w:tc>
      </w:tr>
      <w:tr>
        <w:trPr>
          <w:tblHeader w:val="false"/>
        </w:trPr>
        <w:tc>
          <w:tcPr>
            <w:tcW w:type="dxa" w:w="2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t xml:space="preserve">Posting Date (Buchungsdatum)</w:t>
            </w:r>
          </w:p>
        </w:tc>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heute</w:t>
            </w:r>
          </w:p>
        </w:tc>
        <w:tc>
          <w:tcPr>
            <w:tcW w:type="dxa" w:w="3438"/>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Aktuelles Datum</w:t>
            </w:r>
          </w:p>
        </w:tc>
      </w:tr>
      <w:tr>
        <w:trPr>
          <w:tblHeader w:val="false"/>
        </w:trPr>
        <w:tc>
          <w:tcPr>
            <w:tcW w:type="dxa" w:w="2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t xml:space="preserve">Docs Entered Up To (Erfasste Belege bis)</w:t>
            </w:r>
          </w:p>
        </w:tc>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heute</w:t>
            </w:r>
          </w:p>
        </w:tc>
        <w:tc>
          <w:tcPr>
            <w:tcW w:type="dxa" w:w="3438"/>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Aktuelles Datum</w:t>
            </w:r>
          </w:p>
        </w:tc>
      </w:tr>
      <w:tr>
        <w:trPr>
          <w:tblHeader w:val="false"/>
        </w:trPr>
        <w:tc>
          <w:tcPr>
            <w:tcW w:type="dxa" w:w="2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t xml:space="preserve">Additional Log (Zusätzliches Protokoll)</w:t>
            </w:r>
          </w:p>
        </w:tc>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onsolas" w:cs="Consolas" w:eastAsia="Consolas" w:hAnsi="Consolas"/>
                <w:b/>
                <w:bCs/>
                <w:color w:val="1F4E79"/>
              </w:rPr>
              <w:t xml:space="preserve">Yes</w:t>
            </w:r>
          </w:p>
        </w:tc>
        <w:tc>
          <w:tcPr>
            <w:tcW w:type="dxa" w:w="3438"/>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Ja</w:t>
            </w:r>
          </w:p>
        </w:tc>
      </w:tr>
      <w:tr>
        <w:trPr>
          <w:tblHeader w:val="false"/>
        </w:trPr>
        <w:tc>
          <w:tcPr>
            <w:tcW w:type="dxa" w:w="2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t xml:space="preserve">Company Code (Buchungskreis)</w:t>
            </w:r>
          </w:p>
        </w:tc>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onsolas" w:cs="Consolas" w:eastAsia="Consolas" w:hAnsi="Consolas"/>
                <w:b/>
                <w:bCs/>
                <w:color w:val="1F4E79"/>
              </w:rPr>
              <w:t xml:space="preserve">TA##</w:t>
            </w:r>
          </w:p>
        </w:tc>
        <w:tc>
          <w:tcPr>
            <w:tcW w:type="dxa" w:w="3438"/>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TA##</w:t>
            </w:r>
          </w:p>
        </w:tc>
      </w:tr>
      <w:tr>
        <w:trPr>
          <w:tblHeader w:val="false"/>
        </w:trPr>
        <w:tc>
          <w:tcPr>
            <w:tcW w:type="dxa" w:w="2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t xml:space="preserve">Next Payment Date (Nächster Zahltag)</w:t>
            </w:r>
          </w:p>
        </w:tc>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heute + 7 Tage</w:t>
            </w:r>
          </w:p>
        </w:tc>
        <w:tc>
          <w:tcPr>
            <w:tcW w:type="dxa" w:w="3438"/>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Aktuelles Datum + ein Monat</w:t>
            </w:r>
          </w:p>
        </w:tc>
      </w:tr>
      <w:tr>
        <w:trPr>
          <w:tblHeader w:val="false"/>
        </w:trPr>
        <w:tc>
          <w:tcPr>
            <w:tcW w:type="dxa" w:w="2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t xml:space="preserve">Payment Methods (Zahlwege)</w:t>
            </w:r>
          </w:p>
        </w:tc>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onsolas" w:cs="Consolas" w:eastAsia="Consolas" w:hAnsi="Consolas"/>
                <w:b/>
                <w:bCs/>
                <w:color w:val="1F4E79"/>
              </w:rPr>
              <w:t xml:space="preserve">T</w:t>
            </w:r>
          </w:p>
        </w:tc>
        <w:tc>
          <w:tcPr>
            <w:tcW w:type="dxa" w:w="3438"/>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T</w:t>
            </w:r>
          </w:p>
        </w:tc>
      </w:tr>
      <w:tr>
        <w:trPr>
          <w:tblHeader w:val="false"/>
        </w:trPr>
        <w:tc>
          <w:tcPr>
            <w:tcW w:type="dxa" w:w="2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t xml:space="preserve">Supplier (Lieferant)</w:t>
            </w:r>
          </w:p>
        </w:tc>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onsolas" w:cs="Consolas" w:eastAsia="Consolas" w:hAnsi="Consolas"/>
                <w:b/>
                <w:bCs/>
                <w:color w:val="1F4E79"/>
              </w:rPr>
              <w:t xml:space="preserve">T-AV##</w:t>
            </w:r>
          </w:p>
        </w:tc>
        <w:tc>
          <w:tcPr>
            <w:tcW w:type="dxa" w:w="3438"/>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T-AV##</w:t>
            </w:r>
          </w:p>
        </w:tc>
      </w:tr>
    </w:tbl>
    <w:p>
      <w:pPr>
        <w:spacing w:after="60"/>
      </w:pPr>
    </w:p>
    <w:p>
      <w:pPr>
        <w:pStyle w:val="ListParagraph"/>
        <w:numPr>
          <w:ilvl w:val="0"/>
          <w:numId w:val="28"/>
        </w:numPr>
        <w:spacing w:after="60"/>
      </w:pPr>
      <w:r>
        <w:rPr>
          <w:b/>
          <w:bCs/>
        </w:rPr>
        <w:t xml:space="preserve">Save</w:t>
      </w:r>
      <w:r>
        <w:t xml:space="preserve"> und Parameter kontrollieren (Schulung f–g).</w:t>
      </w:r>
    </w:p>
    <w:p>
      <w:pPr>
        <w:pStyle w:val="ListParagraph"/>
        <w:numPr>
          <w:ilvl w:val="0"/>
          <w:numId w:val="28"/>
        </w:numPr>
        <w:spacing w:after="60"/>
      </w:pPr>
      <w:r>
        <w:rPr>
          <w:b/>
          <w:bCs/>
        </w:rPr>
        <w:t xml:space="preserve">Schedule → Proposal</w:t>
      </w:r>
      <w:r>
        <w:t xml:space="preserve"> (Einplanen → Vorschlag) → </w:t>
      </w:r>
      <w:r>
        <w:rPr>
          <w:b/>
          <w:bCs/>
        </w:rPr>
        <w:t xml:space="preserve">Start Immediately</w:t>
      </w:r>
      <w:r>
        <w:t xml:space="preserve"> → </w:t>
      </w:r>
      <w:r>
        <w:rPr>
          <w:b/>
          <w:bCs/>
        </w:rPr>
        <w:t xml:space="preserve">Schedule</w:t>
      </w:r>
      <w:r>
        <w:t xml:space="preserve"> (Schulung 4 a)–b).</w:t>
      </w:r>
    </w:p>
    <w:p>
      <w:pPr>
        <w:pStyle w:val="ListParagraph"/>
        <w:numPr>
          <w:ilvl w:val="0"/>
          <w:numId w:val="28"/>
        </w:numPr>
        <w:spacing w:after="60"/>
      </w:pPr>
      <w:r>
        <w:t xml:space="preserve">Filter </w:t>
      </w:r>
      <w:r>
        <w:rPr>
          <w:b/>
          <w:bCs/>
        </w:rPr>
        <w:t xml:space="preserve">Created By</w:t>
      </w:r>
      <w:r>
        <w:t xml:space="preserve"> = eigener Benutzer → </w:t>
      </w:r>
      <w:r>
        <w:rPr>
          <w:b/>
          <w:bCs/>
        </w:rPr>
        <w:t xml:space="preserve">Go</w:t>
      </w:r>
      <w:r>
        <w:t xml:space="preserve"> → Registerkarte </w:t>
      </w:r>
      <w:r>
        <w:rPr>
          <w:b/>
          <w:bCs/>
        </w:rPr>
        <w:t xml:space="preserve">Processed Proposals</w:t>
      </w:r>
      <w:r>
        <w:t xml:space="preserve"> (Verarbeitete Vorschläge) → Pfeil (&gt;) am Vorschlag (Schulung c)–e).</w:t>
      </w:r>
    </w:p>
    <w:p>
      <w:pPr>
        <w:pStyle w:val="ListParagraph"/>
        <w:numPr>
          <w:ilvl w:val="0"/>
          <w:numId w:val="28"/>
        </w:numPr>
        <w:spacing w:after="60"/>
      </w:pPr>
      <w:r>
        <w:t xml:space="preserve">Im Bild </w:t>
      </w:r>
      <w:r>
        <w:rPr>
          <w:b/>
          <w:bCs/>
        </w:rPr>
        <w:t xml:space="preserve">Revise Payment Proposals</w:t>
      </w:r>
      <w:r>
        <w:t xml:space="preserve"> (Zahlungsvorschläge überarbeiten) Registerkarte </w:t>
      </w:r>
      <w:r>
        <w:rPr>
          <w:b/>
          <w:bCs/>
        </w:rPr>
        <w:t xml:space="preserve">Exceptions</w:t>
      </w:r>
      <w:r>
        <w:t xml:space="preserve"> (AUSNAHMEN): Die Rechnung über 3.300 EUR ist wegen Zahlsperre A als Ausnahme gelistet (Schulung f–g).</w:t>
      </w:r>
    </w:p>
    <w:p>
      <w:pPr>
        <w:pStyle w:val="ListParagraph"/>
        <w:numPr>
          <w:ilvl w:val="0"/>
          <w:numId w:val="28"/>
        </w:numPr>
        <w:spacing w:after="60"/>
      </w:pPr>
      <w:r>
        <w:t xml:space="preserve">Den Posten auswählen und die </w:t>
      </w:r>
      <w:r>
        <w:rPr>
          <w:b/>
          <w:bCs/>
        </w:rPr>
        <w:t xml:space="preserve">Payment Block</w:t>
      </w:r>
      <w:r>
        <w:t xml:space="preserve"> (Zahlsperre) des Einzelpostens </w:t>
      </w:r>
      <w:r>
        <w:rPr>
          <w:b/>
          <w:bCs/>
        </w:rPr>
        <w:t xml:space="preserve">entfernen</w:t>
      </w:r>
      <w:r>
        <w:t xml:space="preserve"> (Feld leeren) – bei Bedarf Zahlweg </w:t>
      </w:r>
      <w:r>
        <w:rPr>
          <w:rFonts w:ascii="Consolas" w:cs="Consolas" w:eastAsia="Consolas" w:hAnsi="Consolas"/>
          <w:b/>
          <w:bCs/>
          <w:color w:val="1F4E79"/>
        </w:rPr>
        <w:t xml:space="preserve">T</w:t>
      </w:r>
      <w:r>
        <w:t xml:space="preserve"> und Hausbank </w:t>
      </w:r>
      <w:r>
        <w:rPr>
          <w:rFonts w:ascii="Consolas" w:cs="Consolas" w:eastAsia="Consolas" w:hAnsi="Consolas"/>
          <w:b/>
          <w:bCs/>
          <w:color w:val="1F4E79"/>
        </w:rPr>
        <w:t xml:space="preserve">D-B##</w:t>
      </w:r>
      <w:r>
        <w:t xml:space="preserve">/</w:t>
      </w:r>
      <w:r>
        <w:rPr>
          <w:rFonts w:ascii="Consolas" w:cs="Consolas" w:eastAsia="Consolas" w:hAnsi="Consolas"/>
          <w:b/>
          <w:bCs/>
          <w:color w:val="1F4E79"/>
        </w:rPr>
        <w:t xml:space="preserve">GIRO</w:t>
      </w:r>
      <w:r>
        <w:t xml:space="preserve"> zuordnen – und übernehmen/sichern. Diese Änderung wirkt nur im Vorschlag, nicht im Beleg oder Stammsatz (S4F13 S. 88–90).</w:t>
      </w:r>
    </w:p>
    <w:p>
      <w:pPr>
        <w:pStyle w:val="ListParagraph"/>
        <w:numPr>
          <w:ilvl w:val="0"/>
          <w:numId w:val="28"/>
        </w:numPr>
        <w:spacing w:after="60"/>
      </w:pPr>
      <w:r>
        <w:t xml:space="preserve">Kontrolle: Posten erscheint auf der Registerkarte </w:t>
      </w:r>
      <w:r>
        <w:rPr>
          <w:b/>
          <w:bCs/>
        </w:rPr>
        <w:t xml:space="preserve">Payments</w:t>
      </w:r>
      <w:r>
        <w:t xml:space="preserve"> (Zahlungen) (Schulung S. 98 h).</w:t>
      </w:r>
    </w:p>
    <w:p>
      <w:pPr>
        <w:pStyle w:val="ListParagraph"/>
        <w:numPr>
          <w:ilvl w:val="0"/>
          <w:numId w:val="28"/>
        </w:numPr>
        <w:spacing w:after="60"/>
      </w:pPr>
      <w:r>
        <w:t xml:space="preserve">Zurück → Registerkarte </w:t>
      </w:r>
      <w:r>
        <w:rPr>
          <w:b/>
          <w:bCs/>
        </w:rPr>
        <w:t xml:space="preserve">Processed Proposals</w:t>
      </w:r>
      <w:r>
        <w:t xml:space="preserve"> → Vorschlag markieren → </w:t>
      </w:r>
      <w:r>
        <w:rPr>
          <w:b/>
          <w:bCs/>
        </w:rPr>
        <w:t xml:space="preserve">Schedule Payment</w:t>
      </w:r>
      <w:r>
        <w:t xml:space="preserve"> (Zahlung einplanen) → </w:t>
      </w:r>
      <w:r>
        <w:rPr>
          <w:b/>
          <w:bCs/>
        </w:rPr>
        <w:t xml:space="preserve">Start Immediately</w:t>
      </w:r>
      <w:r>
        <w:t xml:space="preserve"> → </w:t>
      </w:r>
      <w:r>
        <w:rPr>
          <w:b/>
          <w:bCs/>
        </w:rPr>
        <w:t xml:space="preserve">Schedule</w:t>
      </w:r>
      <w:r>
        <w:t xml:space="preserve"> (S4F13 Ü9 S. 112 d)–e).</w:t>
      </w:r>
    </w:p>
    <w:p>
      <w:pPr>
        <w:pStyle w:val="ListParagraph"/>
        <w:numPr>
          <w:ilvl w:val="0"/>
          <w:numId w:val="28"/>
        </w:numPr>
        <w:spacing w:after="60"/>
      </w:pPr>
      <w:r>
        <w:t xml:space="preserve">Registerkarte </w:t>
      </w:r>
      <w:r>
        <w:rPr>
          <w:b/>
          <w:bCs/>
        </w:rPr>
        <w:t xml:space="preserve">Processed Payments</w:t>
      </w:r>
      <w:r>
        <w:t xml:space="preserve"> → Details (&gt;) → Registerkarte </w:t>
      </w:r>
      <w:r>
        <w:rPr>
          <w:b/>
          <w:bCs/>
        </w:rPr>
        <w:t xml:space="preserve">Payments</w:t>
      </w:r>
      <w:r>
        <w:t xml:space="preserve">: Zahlungsbeleg prüfen; </w:t>
      </w:r>
      <w:r>
        <w:rPr>
          <w:b/>
          <w:bCs/>
        </w:rPr>
        <w:t xml:space="preserve">View Log</w:t>
      </w:r>
      <w:r>
        <w:t xml:space="preserve"> (Protokoll ansehen) (Ü9 S. 112–113).</w:t>
      </w:r>
    </w:p>
    <w:p>
      <w:pPr>
        <w:pBdr>
          <w:left w:val="single" w:color="7030A0" w:sz="24" w:space="6"/>
        </w:pBdr>
        <w:shd w:fill="F3E8FA" w:color="auto" w:val="clear"/>
        <w:spacing w:after="120" w:before="120"/>
        <w:ind w:left="120" w:right="120"/>
      </w:pPr>
      <w:r>
        <w:rPr>
          <w:b/>
          <w:bCs/>
          <w:color w:val="7030A0"/>
        </w:rPr>
        <w:t xml:space="preserve">Vergleichbare Übung in den Schulungsunterlagen: </w:t>
      </w:r>
      <w:r>
        <w:t xml:space="preserve">Prozessübersicht automatische Zahlungen: </w:t>
      </w:r>
      <w:r>
        <w:rPr>
          <w:b/>
          <w:bCs/>
        </w:rPr>
        <w:t xml:space="preserve">S4F13</w:t>
      </w:r>
      <w:r>
        <w:t xml:space="preserve">, S. 5 (PDF 13), Schritt 3 „Zahlungsvorschlag überarbeiten – … die Zahlungsbedingungen zu ändern oder eine Zahlungssperre hinzuzufügen"; Schritt 4 „Zahlungslauf einplanen".</w:t>
      </w:r>
    </w:p>
    <w:p>
      <w:pPr>
        <w:pBdr>
          <w:left w:val="single" w:color="C00000" w:sz="24" w:space="6"/>
        </w:pBdr>
        <w:shd w:fill="FDECEA" w:color="auto" w:val="clear"/>
        <w:spacing w:after="120" w:before="120"/>
        <w:ind w:left="120" w:right="120"/>
      </w:pPr>
      <w:r>
        <w:rPr>
          <w:b/>
          <w:bCs/>
          <w:color w:val="C00000"/>
        </w:rPr>
        <w:t xml:space="preserve">Achtung: </w:t>
      </w:r>
      <w:r>
        <w:t xml:space="preserve">Laut S4F13 S. 88 hängt es von der Art der Zahlungssperre ab, ob sie im Zahlungsvorschlag aufgehoben werden darf (Sperre A ist im Standard änderbar). Nach dem Zahllauf ist die Rechnung nicht mehr änderbar.</w:t>
      </w:r>
    </w:p>
    <w:p>
      <w:pPr>
        <w:pBdr>
          <w:left w:val="single" w:color="BF8F00" w:sz="24" w:space="6"/>
        </w:pBdr>
        <w:shd w:fill="FFF2CC" w:color="auto" w:val="clear"/>
        <w:spacing w:after="120" w:before="120"/>
        <w:ind w:left="120" w:right="120"/>
      </w:pPr>
      <w:r>
        <w:rPr>
          <w:b/>
          <w:bCs/>
          <w:color w:val="BF8F00"/>
        </w:rPr>
        <w:t xml:space="preserve">Nicht in den Schulungsunterlagen – eigene SAP-Kenntnis: </w:t>
      </w:r>
      <w:r>
        <w:t xml:space="preserve">Die konkreten Klicks zum Entfernen einer Zahlsperre im Fiori-Vorschlag sind in den Unterlagen nicht als Übung enthalten (nur als Funktion beschrieben, S. 89–90). Das Vorgehen entspricht analog der Bearbeitung des Mahnvorschlags, in dem Sperren auf Posten-Ebene gelöscht werden: </w:t>
      </w:r>
      <w:r>
        <w:rPr>
          <w:b/>
          <w:bCs/>
        </w:rPr>
        <w:t xml:space="preserve">S4F13</w:t>
      </w:r>
      <w:r>
        <w:t xml:space="preserve">, Übung 15 „Mahnvorschlagsliste bearbeiten", S. 196–197 (PDF 204–205).</w:t>
      </w:r>
    </w:p>
    <w:p>
      <w:r>
        <w:br w:type="page"/>
      </w:r>
    </w:p>
    <w:p>
      <w:pPr>
        <w:pStyle w:val="Heading1"/>
      </w:pPr>
      <w:r>
        <w:t xml:space="preserve">Task 6: Asset Accounting – Perform Customizing, Acquisition, and Depreciation Postings</w:t>
      </w:r>
    </w:p>
    <w:p>
      <w:pPr>
        <w:pStyle w:val="Heading2"/>
      </w:pPr>
      <w:r>
        <w:t xml:space="preserve">Schritt 6.1 – Buchungskreis TA## für FI-AA konfigurieren</w:t>
      </w:r>
    </w:p>
    <w:p>
      <w:pPr>
        <w:pBdr>
          <w:left w:val="single" w:color="7F7F7F" w:sz="24" w:space="6"/>
        </w:pBdr>
        <w:shd w:fill="EDEDED" w:color="auto" w:val="clear"/>
        <w:spacing w:after="120" w:before="120"/>
        <w:ind w:left="120" w:right="120"/>
      </w:pPr>
      <w:r>
        <w:rPr>
          <w:b/>
          <w:bCs/>
          <w:color w:val="7F7F7F"/>
        </w:rPr>
        <w:t xml:space="preserve">Aufgabe (Original): </w:t>
      </w:r>
      <w:r>
        <w:t xml:space="preserve">Z000 als Quelle für den Bewertungsplan von TA##; alle übrigen Einstellungen wie 1010; allgemeine Buchungskreiseinstellungen mit höchstem Geschäftsjahr = aktuelles Jahr; Kontierungsobjekte für die CO-Integration.</w:t>
      </w:r>
    </w:p>
    <w:p>
      <w:pPr>
        <w:pStyle w:val="Heading3"/>
      </w:pPr>
      <w:r>
        <w:t xml:space="preserve">a) Bewertungsplan aus Z000 und Zuordnung</w:t>
      </w:r>
    </w:p>
    <w:p>
      <w:pPr>
        <w:pBdr>
          <w:left w:val="single" w:color="7030A0" w:sz="24" w:space="6"/>
        </w:pBdr>
        <w:shd w:fill="F3E8FA" w:color="auto" w:val="clear"/>
        <w:spacing w:after="120" w:before="120"/>
        <w:ind w:left="120" w:right="120"/>
      </w:pPr>
      <w:r>
        <w:rPr>
          <w:b/>
          <w:bCs/>
          <w:color w:val="7030A0"/>
        </w:rPr>
        <w:t xml:space="preserve">Vergleichbare Übung in den Schulungsunterlagen: </w:t>
      </w:r>
      <w:r>
        <w:rPr>
          <w:b/>
          <w:bCs/>
        </w:rPr>
        <w:t xml:space="preserve">S4F17</w:t>
      </w:r>
      <w:r>
        <w:t xml:space="preserve">, Übung 1 „Zuordnen eines Bewertungsplans zu einem Buchungskreis", S. 13–15 (PDF 23–25) – Aufgabe 1: Bewertungsplan TA## durch Kopieren von Z000 anlegen; Aufgabe 2: Zuordnung zum Buchungskreis TA## und „höchstes GJahr" = laufendes Jahr</w:t>
      </w:r>
    </w:p>
    <w:p>
      <w:pPr>
        <w:pBdr>
          <w:left w:val="single" w:color="F0AB00" w:sz="24" w:space="6"/>
        </w:pBdr>
        <w:shd w:fill="FFF4D6" w:color="auto" w:val="clear"/>
        <w:spacing w:after="120" w:before="120"/>
        <w:ind w:left="120" w:right="120"/>
      </w:pPr>
      <w:r>
        <w:rPr>
          <w:b/>
          <w:bCs/>
          <w:color w:val="F0AB00"/>
        </w:rPr>
        <w:t xml:space="preserve">Transaktion / App: </w:t>
      </w:r>
      <w:r>
        <w:t xml:space="preserve">IMG: Asset Accounting → Organizational Structures → Copy Reference Chart of Depreciation/Depreciation Areas (Referenzbewertungsplan/Bewertungsbereiche kopieren; Transaktion </w:t>
      </w:r>
      <w:r>
        <w:rPr>
          <w:rFonts w:ascii="Consolas" w:cs="Consolas" w:eastAsia="Consolas" w:hAnsi="Consolas"/>
          <w:b/>
          <w:bCs/>
          <w:color w:val="1F4E79"/>
        </w:rPr>
        <w:t xml:space="preserve">EC08</w:t>
      </w:r>
      <w:r>
        <w:t xml:space="preserve">) und → Assign Chart of Depreciation to Company Code (Zuordnung Buchungskreis/Bewertungsplan festlegen; Transaktion </w:t>
      </w:r>
      <w:r>
        <w:rPr>
          <w:rFonts w:ascii="Consolas" w:cs="Consolas" w:eastAsia="Consolas" w:hAnsi="Consolas"/>
          <w:b/>
          <w:bCs/>
          <w:color w:val="1F4E79"/>
        </w:rPr>
        <w:t xml:space="preserve">OAOB</w:t>
      </w:r>
      <w:r>
        <w:t xml:space="preserve">).</w:t>
      </w:r>
    </w:p>
    <w:p>
      <w:pPr>
        <w:pStyle w:val="ListParagraph"/>
        <w:numPr>
          <w:ilvl w:val="0"/>
          <w:numId w:val="29"/>
        </w:numPr>
        <w:spacing w:after="60"/>
      </w:pPr>
      <w:r>
        <w:t xml:space="preserve">IMG </w:t>
      </w:r>
      <w:r>
        <w:rPr>
          <w:b/>
          <w:bCs/>
        </w:rPr>
        <w:t xml:space="preserve">Copy Reference Chart of Depreciation/Depreciation Areas</w:t>
      </w:r>
      <w:r>
        <w:t xml:space="preserve"> → Aktivität </w:t>
      </w:r>
      <w:r>
        <w:rPr>
          <w:b/>
          <w:bCs/>
        </w:rPr>
        <w:t xml:space="preserve">Copy Reference Chart of Depreciation</w:t>
      </w:r>
      <w:r>
        <w:t xml:space="preserve"> doppelklicken → </w:t>
      </w:r>
      <w:r>
        <w:rPr>
          <w:b/>
          <w:bCs/>
        </w:rPr>
        <w:t xml:space="preserve">Organizational Object → Copy Org. Object</w:t>
      </w:r>
      <w:r>
        <w:t xml:space="preserve"> (Schulung 1 a)–c).</w:t>
      </w:r>
    </w:p>
    <w:p>
      <w:pPr>
        <w:pStyle w:val="ListParagraph"/>
        <w:numPr>
          <w:ilvl w:val="0"/>
          <w:numId w:val="29"/>
        </w:numPr>
        <w:spacing w:after="60"/>
      </w:pPr>
      <w:r>
        <w:t xml:space="preserve">Dialog: </w:t>
      </w:r>
      <w:r>
        <w:rPr>
          <w:b/>
          <w:bCs/>
        </w:rPr>
        <w:t xml:space="preserve">From Chart of Dep.</w:t>
      </w:r>
      <w:r>
        <w:t xml:space="preserve"> </w:t>
      </w:r>
      <w:r>
        <w:rPr>
          <w:rFonts w:ascii="Consolas" w:cs="Consolas" w:eastAsia="Consolas" w:hAnsi="Consolas"/>
          <w:b/>
          <w:bCs/>
          <w:color w:val="1F4E79"/>
        </w:rPr>
        <w:t xml:space="preserve">Z000</w:t>
      </w:r>
      <w:r>
        <w:t xml:space="preserve">, </w:t>
      </w:r>
      <w:r>
        <w:rPr>
          <w:b/>
          <w:bCs/>
        </w:rPr>
        <w:t xml:space="preserve">To Chart of Dep.</w:t>
      </w:r>
      <w:r>
        <w:t xml:space="preserve"> </w:t>
      </w:r>
      <w:r>
        <w:rPr>
          <w:rFonts w:ascii="Consolas" w:cs="Consolas" w:eastAsia="Consolas" w:hAnsi="Consolas"/>
          <w:b/>
          <w:bCs/>
          <w:color w:val="1F4E79"/>
        </w:rPr>
        <w:t xml:space="preserve">TA##</w:t>
      </w:r>
      <w:r>
        <w:t xml:space="preserve"> → </w:t>
      </w:r>
      <w:r>
        <w:rPr>
          <w:b/>
          <w:bCs/>
        </w:rPr>
        <w:t xml:space="preserve">Continue</w:t>
      </w:r>
      <w:r>
        <w:t xml:space="preserve"> → Erfolgsmeldung bestätigen (Schulung d)–f).</w:t>
      </w:r>
    </w:p>
    <w:p>
      <w:pPr>
        <w:pStyle w:val="ListParagraph"/>
        <w:numPr>
          <w:ilvl w:val="0"/>
          <w:numId w:val="29"/>
        </w:numPr>
        <w:spacing w:after="60"/>
      </w:pPr>
      <w:r>
        <w:t xml:space="preserve">Aktivität </w:t>
      </w:r>
      <w:r>
        <w:rPr>
          <w:b/>
          <w:bCs/>
        </w:rPr>
        <w:t xml:space="preserve">Specify Description of Chart of Depreciation</w:t>
      </w:r>
      <w:r>
        <w:t xml:space="preserve"> → Zeile TA## → Bezeichnung z. B. „Bewertungsplan Gruppe ##" → </w:t>
      </w:r>
      <w:r>
        <w:rPr>
          <w:b/>
          <w:bCs/>
        </w:rPr>
        <w:t xml:space="preserve">Save</w:t>
      </w:r>
      <w:r>
        <w:t xml:space="preserve"> (Schulung 2 a)–d).</w:t>
      </w:r>
    </w:p>
    <w:p>
      <w:pPr>
        <w:pStyle w:val="ListParagraph"/>
        <w:numPr>
          <w:ilvl w:val="0"/>
          <w:numId w:val="29"/>
        </w:numPr>
        <w:spacing w:after="60"/>
      </w:pPr>
      <w:r>
        <w:t xml:space="preserve">IMG </w:t>
      </w:r>
      <w:r>
        <w:rPr>
          <w:b/>
          <w:bCs/>
        </w:rPr>
        <w:t xml:space="preserve">Assign Chart of Depreciation to Company Code</w:t>
      </w:r>
      <w:r>
        <w:t xml:space="preserve"> → Buchungskreis </w:t>
      </w:r>
      <w:r>
        <w:rPr>
          <w:b/>
          <w:bCs/>
        </w:rPr>
        <w:t xml:space="preserve">TA##</w:t>
      </w:r>
      <w:r>
        <w:t xml:space="preserve"> → Spalte </w:t>
      </w:r>
      <w:r>
        <w:rPr>
          <w:b/>
          <w:bCs/>
        </w:rPr>
        <w:t xml:space="preserve">Chart of Dep.</w:t>
      </w:r>
      <w:r>
        <w:t xml:space="preserve"> = </w:t>
      </w:r>
      <w:r>
        <w:rPr>
          <w:rFonts w:ascii="Consolas" w:cs="Consolas" w:eastAsia="Consolas" w:hAnsi="Consolas"/>
          <w:b/>
          <w:bCs/>
          <w:color w:val="1F4E79"/>
        </w:rPr>
        <w:t xml:space="preserve">TA##</w:t>
      </w:r>
      <w:r>
        <w:t xml:space="preserve"> → </w:t>
      </w:r>
      <w:r>
        <w:rPr>
          <w:b/>
          <w:bCs/>
        </w:rPr>
        <w:t xml:space="preserve">Save</w:t>
      </w:r>
      <w:r>
        <w:t xml:space="preserve"> (Schulung Aufgabe 2, 1 a)–d).</w:t>
      </w:r>
    </w:p>
    <w:p>
      <w:pPr>
        <w:pBdr>
          <w:left w:val="single" w:color="7030A0" w:sz="24" w:space="6"/>
        </w:pBdr>
        <w:shd w:fill="F3E8FA" w:color="auto" w:val="clear"/>
        <w:spacing w:after="120" w:before="120"/>
        <w:ind w:left="120" w:right="120"/>
      </w:pPr>
      <w:r>
        <w:rPr>
          <w:b/>
          <w:bCs/>
          <w:color w:val="7030A0"/>
        </w:rPr>
        <w:t xml:space="preserve">Vergleichbare Übung in den Schulungsunterlagen: </w:t>
      </w:r>
      <w:r>
        <w:rPr>
          <w:b/>
          <w:bCs/>
        </w:rPr>
        <w:t xml:space="preserve">S4F17</w:t>
      </w:r>
      <w:r>
        <w:t xml:space="preserve">, Lektion „Zuordnen eines Kontenplans und eines Bewertungsplans …", S. 6 (PDF 16): „Es ist nicht möglich, diese Standardbewertungspläne direkt zu verwenden. </w:t>
      </w:r>
      <w:r>
        <w:rPr>
          <w:b/>
          <w:bCs/>
        </w:rPr>
        <w:t xml:space="preserve">Sie müssen einen eigenen Bewertungsplan anlegen, indem Sie den Referenzbewertungsplan kopieren.</w:t>
      </w:r>
      <w:r>
        <w:t xml:space="preserve">" Beim Kopieren werden bewertungsbereichsspezifische Parameter mitkopiert. S. 7 (PDF 17): „In den Übungen wird der Bewertungsplan </w:t>
      </w:r>
      <w:r>
        <w:rPr>
          <w:b/>
          <w:bCs/>
        </w:rPr>
        <w:t xml:space="preserve">Z000 als Kopiervorlage</w:t>
      </w:r>
      <w:r>
        <w:t xml:space="preserve"> verwendet." Vorgehen für einen FI-AA-Buchungskreis: S. 9 (PDF 19).</w:t>
      </w:r>
    </w:p>
    <w:p>
      <w:pPr>
        <w:pBdr>
          <w:left w:val="single" w:color="2E75B6" w:sz="24" w:space="6"/>
        </w:pBdr>
        <w:shd w:fill="E8F1FB" w:color="auto" w:val="clear"/>
        <w:spacing w:after="120" w:before="120"/>
        <w:ind w:left="120" w:right="120"/>
      </w:pPr>
      <w:r>
        <w:rPr>
          <w:b/>
          <w:bCs/>
          <w:color w:val="2E75B6"/>
        </w:rPr>
        <w:t xml:space="preserve">Hinweis: </w:t>
      </w:r>
      <w:r>
        <w:t xml:space="preserve">Damit ist „using Z000 as the source" eindeutig als </w:t>
      </w:r>
      <w:r>
        <w:rPr>
          <w:b/>
          <w:bCs/>
        </w:rPr>
        <w:t xml:space="preserve">Kopie von Z000</w:t>
      </w:r>
      <w:r>
        <w:t xml:space="preserve"> zu verstehen. Den Namen des neuen Plans gibt die Prüfung nicht vor; die Schulung verwendet </w:t>
      </w:r>
      <w:r>
        <w:rPr>
          <w:rFonts w:ascii="Consolas" w:cs="Consolas" w:eastAsia="Consolas" w:hAnsi="Consolas"/>
          <w:b/>
          <w:bCs/>
          <w:color w:val="1F4E79"/>
        </w:rPr>
        <w:t xml:space="preserve">TA##</w:t>
      </w:r>
      <w:r>
        <w:t xml:space="preserve">.</w:t>
      </w:r>
    </w:p>
    <w:p>
      <w:pPr>
        <w:pStyle w:val="Heading3"/>
      </w:pPr>
      <w:r>
        <w:t xml:space="preserve">b) Allgemeine Buchungskreiseinstellungen – höchstes Geschäftsjahr</w:t>
      </w:r>
    </w:p>
    <w:p>
      <w:pPr>
        <w:pBdr>
          <w:left w:val="single" w:color="7030A0" w:sz="24" w:space="6"/>
        </w:pBdr>
        <w:shd w:fill="F3E8FA" w:color="auto" w:val="clear"/>
        <w:spacing w:after="120" w:before="120"/>
        <w:ind w:left="120" w:right="120"/>
      </w:pPr>
      <w:r>
        <w:rPr>
          <w:b/>
          <w:bCs/>
          <w:color w:val="7030A0"/>
        </w:rPr>
        <w:t xml:space="preserve">Vergleichbare Übung in den Schulungsunterlagen: </w:t>
      </w:r>
      <w:r>
        <w:rPr>
          <w:b/>
          <w:bCs/>
        </w:rPr>
        <w:t xml:space="preserve">S4F17</w:t>
      </w:r>
      <w:r>
        <w:t xml:space="preserve">, Übung 1 „Zuordnen eines Bewertungsplans zu einem Buchungskreis", S. 14–15 (PDF 24–25) – Aufgabe 2 Schritt 2 a)–g): Ledger 0L → Feld „höchstes GJahr" = laufendes Jahr; Ergebnis „Abgeschlossenes Geschäftsjahr" = Vorjahr; Anzeige über Transaktion </w:t>
      </w:r>
      <w:r>
        <w:rPr>
          <w:rFonts w:ascii="Consolas" w:cs="Consolas" w:eastAsia="Consolas" w:hAnsi="Consolas"/>
          <w:b/>
          <w:bCs/>
          <w:color w:val="1F4E79"/>
        </w:rPr>
        <w:t xml:space="preserve">FAA_CMP</w:t>
      </w:r>
      <w:r>
        <w:t xml:space="preserve">: </w:t>
      </w:r>
      <w:r>
        <w:rPr>
          <w:b/>
          <w:bCs/>
        </w:rPr>
        <w:t xml:space="preserve">S4F17</w:t>
      </w:r>
      <w:r>
        <w:t xml:space="preserve">, Übung 28 „Jahresabschluss in der Anlagenbuchhaltung", S. 314 (PDF 324)</w:t>
      </w:r>
    </w:p>
    <w:p>
      <w:pPr>
        <w:pBdr>
          <w:left w:val="single" w:color="F0AB00" w:sz="24" w:space="6"/>
        </w:pBdr>
        <w:shd w:fill="FFF4D6" w:color="auto" w:val="clear"/>
        <w:spacing w:after="120" w:before="120"/>
        <w:ind w:left="120" w:right="120"/>
      </w:pPr>
      <w:r>
        <w:rPr>
          <w:b/>
          <w:bCs/>
          <w:color w:val="F0AB00"/>
        </w:rPr>
        <w:t xml:space="preserve">Transaktion / App: </w:t>
      </w:r>
      <w:r>
        <w:t xml:space="preserve">IMG: Asset Accounting → Asset Data Transfer → Parameters for Data Transfer → Specify Transfer Date/Additional Parameters (Datenübernahme Anlagen → Parameter für die Übernahme → Übernahmedatum und weitere Parameter festlegen). Anzeige/Pflege der Buchungskreiseinstellungen auch über </w:t>
      </w:r>
      <w:r>
        <w:rPr>
          <w:rFonts w:ascii="Consolas" w:cs="Consolas" w:eastAsia="Consolas" w:hAnsi="Consolas"/>
          <w:b/>
          <w:bCs/>
          <w:color w:val="1F4E79"/>
        </w:rPr>
        <w:t xml:space="preserve">FAA_CMP</w:t>
      </w:r>
      <w:r>
        <w:t xml:space="preserve">.</w:t>
      </w:r>
    </w:p>
    <w:p>
      <w:pPr>
        <w:pStyle w:val="ListParagraph"/>
        <w:numPr>
          <w:ilvl w:val="0"/>
          <w:numId w:val="30"/>
        </w:numPr>
        <w:spacing w:after="60"/>
      </w:pPr>
      <w:r>
        <w:t xml:space="preserve">IMG-Aktivität öffnen → Buchungskreis </w:t>
      </w:r>
      <w:r>
        <w:rPr>
          <w:b/>
          <w:bCs/>
        </w:rPr>
        <w:t xml:space="preserve">TA##</w:t>
      </w:r>
      <w:r>
        <w:t xml:space="preserve"> doppelklicken (Schulung b).</w:t>
      </w:r>
    </w:p>
    <w:p>
      <w:pPr>
        <w:pStyle w:val="ListParagraph"/>
        <w:numPr>
          <w:ilvl w:val="0"/>
          <w:numId w:val="30"/>
        </w:numPr>
        <w:spacing w:after="60"/>
      </w:pPr>
      <w:r>
        <w:t xml:space="preserve">Unter dem Buchungskreis </w:t>
      </w:r>
      <w:r>
        <w:rPr>
          <w:b/>
          <w:bCs/>
        </w:rPr>
        <w:t xml:space="preserve">Ledger 0L</w:t>
      </w:r>
      <w:r>
        <w:t xml:space="preserve"> doppelklicken → </w:t>
      </w:r>
      <w:r>
        <w:rPr>
          <w:b/>
          <w:bCs/>
        </w:rPr>
        <w:t xml:space="preserve">Change/Display</w:t>
      </w:r>
      <w:r>
        <w:t xml:space="preserve"> (Schulung c–d).</w:t>
      </w:r>
    </w:p>
    <w:p>
      <w:pPr>
        <w:pStyle w:val="ListParagraph"/>
        <w:numPr>
          <w:ilvl w:val="0"/>
          <w:numId w:val="30"/>
        </w:numPr>
        <w:spacing w:after="60"/>
      </w:pPr>
      <w:r>
        <w:t xml:space="preserve">Feld </w:t>
      </w:r>
      <w:r>
        <w:rPr>
          <w:b/>
          <w:bCs/>
        </w:rPr>
        <w:t xml:space="preserve">Highest Fiscal Year</w:t>
      </w:r>
      <w:r>
        <w:t xml:space="preserve"> (höchstes GJahr) = </w:t>
      </w:r>
      <w:r>
        <w:rPr>
          <w:b/>
          <w:bCs/>
        </w:rPr>
        <w:t xml:space="preserve">aktuelles Jahr</w:t>
      </w:r>
      <w:r>
        <w:t xml:space="preserve"> → </w:t>
      </w:r>
      <w:r>
        <w:rPr>
          <w:b/>
          <w:bCs/>
        </w:rPr>
        <w:t xml:space="preserve">Save</w:t>
      </w:r>
      <w:r>
        <w:t xml:space="preserve"> → Meldungen mit </w:t>
      </w:r>
      <w:r>
        <w:rPr>
          <w:b/>
          <w:bCs/>
        </w:rPr>
        <w:t xml:space="preserve">Continue</w:t>
      </w:r>
      <w:r>
        <w:t xml:space="preserve"> bestätigen (Schulung e–g).</w:t>
      </w:r>
    </w:p>
    <w:p>
      <w:pPr>
        <w:pStyle w:val="ListParagraph"/>
        <w:numPr>
          <w:ilvl w:val="0"/>
          <w:numId w:val="30"/>
        </w:numPr>
        <w:spacing w:after="60"/>
      </w:pPr>
      <w:r>
        <w:t xml:space="preserve">Ergebnis prüfen: höchstes Geschäftsjahr = aktuelles Jahr, abgeschlossenes Geschäftsjahr = Vorjahr. Falls weitere Ledger (z. B. 2L) vorhanden sind, analog prüfen (Schulung Schritt 3).</w:t>
      </w:r>
    </w:p>
    <w:p>
      <w:pPr>
        <w:pStyle w:val="Heading3"/>
      </w:pPr>
      <w:r>
        <w:t xml:space="preserve">c) Übrige Einstellungen wie Buchungskreis 1010</w:t>
      </w:r>
    </w:p>
    <w:p>
      <w:pPr>
        <w:pBdr>
          <w:left w:val="single" w:color="7030A0" w:sz="24" w:space="6"/>
        </w:pBdr>
        <w:shd w:fill="F3E8FA" w:color="auto" w:val="clear"/>
        <w:spacing w:after="120" w:before="120"/>
        <w:ind w:left="120" w:right="120"/>
      </w:pPr>
      <w:r>
        <w:rPr>
          <w:b/>
          <w:bCs/>
          <w:color w:val="7030A0"/>
        </w:rPr>
        <w:t xml:space="preserve">Vergleichbare Übung in den Schulungsunterlagen: </w:t>
      </w:r>
      <w:r>
        <w:rPr>
          <w:b/>
          <w:bCs/>
        </w:rPr>
        <w:t xml:space="preserve">S4F17</w:t>
      </w:r>
      <w:r>
        <w:t xml:space="preserve">, Übung 3 „Verwenden der Nummernzuordnung für FI-AA", S. 55 (PDF 65) – Nummernkreisintervalle von 1010 nach TA## kopieren („Intervalle → Unterobjekt kopieren"); </w:t>
      </w:r>
      <w:r>
        <w:rPr>
          <w:b/>
          <w:bCs/>
        </w:rPr>
        <w:t xml:space="preserve">S4F17</w:t>
      </w:r>
      <w:r>
        <w:t xml:space="preserve">, Übung 27 „Den Abschreibungslauf durchführen und auswerten", S. 298–300 (PDF 308–310) – Kontierungsobjekte aktivieren, Kontierungsarten, Belegart AF, Periodizität/Buchungsregeln; Übersicht der erforderlichen Einstellungen: </w:t>
      </w:r>
      <w:r>
        <w:rPr>
          <w:b/>
          <w:bCs/>
        </w:rPr>
        <w:t xml:space="preserve">S4F17</w:t>
      </w:r>
      <w:r>
        <w:t xml:space="preserve">, Lektion „Definieren von Bewertungsbereichen …", S. 293 (PDF 303).</w:t>
      </w:r>
    </w:p>
    <w:p>
      <w:pPr>
        <w:pStyle w:val="ListParagraph"/>
        <w:numPr>
          <w:ilvl w:val="0"/>
          <w:numId w:val="31"/>
        </w:numPr>
        <w:spacing w:after="60"/>
      </w:pPr>
      <w:r>
        <w:rPr>
          <w:b/>
          <w:bCs/>
        </w:rPr>
        <w:t xml:space="preserve">Nummernkreise:</w:t>
      </w:r>
      <w:r>
        <w:t xml:space="preserve"> IMG Asset Accounting → Organizational Structures → Asset Classes → </w:t>
      </w:r>
      <w:r>
        <w:rPr>
          <w:b/>
          <w:bCs/>
        </w:rPr>
        <w:t xml:space="preserve">Define Number Range Interval</w:t>
      </w:r>
      <w:r>
        <w:t xml:space="preserve"> (</w:t>
      </w:r>
      <w:r>
        <w:rPr>
          <w:rFonts w:ascii="Consolas" w:cs="Consolas" w:eastAsia="Consolas" w:hAnsi="Consolas"/>
          <w:b/>
          <w:bCs/>
          <w:color w:val="1F4E79"/>
        </w:rPr>
        <w:t xml:space="preserve">AS08</w:t>
      </w:r>
      <w:r>
        <w:t xml:space="preserve">) → Buchungskreis </w:t>
      </w:r>
      <w:r>
        <w:rPr>
          <w:rFonts w:ascii="Consolas" w:cs="Consolas" w:eastAsia="Consolas" w:hAnsi="Consolas"/>
          <w:b/>
          <w:bCs/>
          <w:color w:val="1F4E79"/>
        </w:rPr>
        <w:t xml:space="preserve">1010</w:t>
      </w:r>
      <w:r>
        <w:t xml:space="preserve"> → </w:t>
      </w:r>
      <w:r>
        <w:rPr>
          <w:b/>
          <w:bCs/>
        </w:rPr>
        <w:t xml:space="preserve">Interval → Copy Sub-Object</w:t>
      </w:r>
      <w:r>
        <w:t xml:space="preserve"> (Intervalle → Unterobjekt kopieren) → Von </w:t>
      </w:r>
      <w:r>
        <w:rPr>
          <w:rFonts w:ascii="Consolas" w:cs="Consolas" w:eastAsia="Consolas" w:hAnsi="Consolas"/>
          <w:b/>
          <w:bCs/>
          <w:color w:val="1F4E79"/>
        </w:rPr>
        <w:t xml:space="preserve">1010</w:t>
      </w:r>
      <w:r>
        <w:t xml:space="preserve"> Bis </w:t>
      </w:r>
      <w:r>
        <w:rPr>
          <w:rFonts w:ascii="Consolas" w:cs="Consolas" w:eastAsia="Consolas" w:hAnsi="Consolas"/>
          <w:b/>
          <w:bCs/>
          <w:color w:val="1F4E79"/>
        </w:rPr>
        <w:t xml:space="preserve">TA##</w:t>
      </w:r>
      <w:r>
        <w:t xml:space="preserve"> → </w:t>
      </w:r>
      <w:r>
        <w:rPr>
          <w:b/>
          <w:bCs/>
        </w:rPr>
        <w:t xml:space="preserve">Continue</w:t>
      </w:r>
      <w:r>
        <w:t xml:space="preserve"> → Meldung „Nr. Bukrs 1010 wurde in TA## kopiert" (Schulung S4F17 S. 55 a)–g).</w:t>
      </w:r>
    </w:p>
    <w:p>
      <w:pPr>
        <w:pStyle w:val="ListParagraph"/>
        <w:numPr>
          <w:ilvl w:val="0"/>
          <w:numId w:val="31"/>
        </w:numPr>
        <w:spacing w:after="60"/>
      </w:pPr>
      <w:r>
        <w:rPr>
          <w:b/>
          <w:bCs/>
        </w:rPr>
        <w:t xml:space="preserve">Belegart für Abschreibung:</w:t>
      </w:r>
      <w:r>
        <w:t xml:space="preserve"> IMG Asset Accounting → Integration with General Ledger → Post Depreciation to General Ledger → </w:t>
      </w:r>
      <w:r>
        <w:rPr>
          <w:b/>
          <w:bCs/>
        </w:rPr>
        <w:t xml:space="preserve">Specify Document Type for Posting of Depreciation</w:t>
      </w:r>
      <w:r>
        <w:t xml:space="preserve"> → TA## wie 1010 (Standard </w:t>
      </w:r>
      <w:r>
        <w:rPr>
          <w:b/>
          <w:bCs/>
        </w:rPr>
        <w:t xml:space="preserve">AF</w:t>
      </w:r>
      <w:r>
        <w:t xml:space="preserve">) (Schulung S. 299, Schritt 3).</w:t>
      </w:r>
    </w:p>
    <w:p>
      <w:pPr>
        <w:pStyle w:val="ListParagraph"/>
        <w:numPr>
          <w:ilvl w:val="0"/>
          <w:numId w:val="31"/>
        </w:numPr>
        <w:spacing w:after="60"/>
      </w:pPr>
      <w:r>
        <w:rPr>
          <w:b/>
          <w:bCs/>
        </w:rPr>
        <w:t xml:space="preserve">Periodizität/Buchungsregeln:</w:t>
      </w:r>
      <w:r>
        <w:t xml:space="preserve"> … → Post Depreciation to General Ledger → </w:t>
      </w:r>
      <w:r>
        <w:rPr>
          <w:b/>
          <w:bCs/>
        </w:rPr>
        <w:t xml:space="preserve">Specify Intervals and Posting Rules</w:t>
      </w:r>
      <w:r>
        <w:t xml:space="preserve"> → TA## markieren → </w:t>
      </w:r>
      <w:r>
        <w:rPr>
          <w:b/>
          <w:bCs/>
        </w:rPr>
        <w:t xml:space="preserve">Posting Rules</w:t>
      </w:r>
      <w:r>
        <w:t xml:space="preserve"> → buchende Bereiche (z. B. 01, 32, 20) </w:t>
      </w:r>
      <w:r>
        <w:rPr>
          <w:b/>
          <w:bCs/>
        </w:rPr>
        <w:t xml:space="preserve">monatlich</w:t>
      </w:r>
      <w:r>
        <w:t xml:space="preserve"> wie 1010 (Schulung S. 300, Schritt 4).</w:t>
      </w:r>
    </w:p>
    <w:p>
      <w:pPr>
        <w:pStyle w:val="Heading3"/>
      </w:pPr>
      <w:r>
        <w:t xml:space="preserve">d) Kontierungsobjekte für die CO-Integration</w:t>
      </w:r>
    </w:p>
    <w:p>
      <w:pPr>
        <w:pBdr>
          <w:left w:val="single" w:color="7030A0" w:sz="24" w:space="6"/>
        </w:pBdr>
        <w:shd w:fill="F3E8FA" w:color="auto" w:val="clear"/>
        <w:spacing w:after="120" w:before="120"/>
        <w:ind w:left="120" w:right="120"/>
      </w:pPr>
      <w:r>
        <w:rPr>
          <w:b/>
          <w:bCs/>
          <w:color w:val="7030A0"/>
        </w:rPr>
        <w:t xml:space="preserve">Vergleichbare Übung in den Schulungsunterlagen: </w:t>
      </w:r>
      <w:r>
        <w:rPr>
          <w:b/>
          <w:bCs/>
        </w:rPr>
        <w:t xml:space="preserve">S4F17</w:t>
      </w:r>
      <w:r>
        <w:t xml:space="preserve">, Übung 27 „Den Abschreibungslauf durchführen und auswerten", S. 298–299 (PDF 308–309) – Schritt 1: Kontierungsobjekte aktivieren (KOSTL, CAUFN); Schritt 2: Kontierungsarten für Kontierungsobjekte festlegen – Buchungskreis → Bewertungsbereich → Kontierungsobjekte → Neue Einträge KOSTL/PRCTR/SEGMENT, Bewegungsart *, Kontierungsart AfA-Lauf</w:t>
      </w:r>
    </w:p>
    <w:p>
      <w:pPr>
        <w:pBdr>
          <w:left w:val="single" w:color="F0AB00" w:sz="24" w:space="6"/>
        </w:pBdr>
        <w:shd w:fill="FFF4D6" w:color="auto" w:val="clear"/>
        <w:spacing w:after="120" w:before="120"/>
        <w:ind w:left="120" w:right="120"/>
      </w:pPr>
      <w:r>
        <w:rPr>
          <w:b/>
          <w:bCs/>
          <w:color w:val="F0AB00"/>
        </w:rPr>
        <w:t xml:space="preserve">Transaktion / App: </w:t>
      </w:r>
      <w:r>
        <w:t xml:space="preserve">IMG: Asset Accounting → Integration with General Ledger → Additional Account Assignment Objects → </w:t>
      </w:r>
      <w:r>
        <w:rPr>
          <w:b/>
          <w:bCs/>
        </w:rPr>
        <w:t xml:space="preserve">Activate Account Assignment Objects</w:t>
      </w:r>
      <w:r>
        <w:t xml:space="preserve"> (Kontierungsobjekte aktivieren) und </w:t>
      </w:r>
      <w:r>
        <w:rPr>
          <w:b/>
          <w:bCs/>
        </w:rPr>
        <w:t xml:space="preserve">Specify Account Assignment Types for Account Assignment Objects</w:t>
      </w:r>
      <w:r>
        <w:t xml:space="preserve"> (Kontierungsarten für Kontierungsobjekte festlegen; Transaktion </w:t>
      </w:r>
      <w:r>
        <w:rPr>
          <w:rFonts w:ascii="Consolas" w:cs="Consolas" w:eastAsia="Consolas" w:hAnsi="Consolas"/>
          <w:b/>
          <w:bCs/>
          <w:color w:val="1F4E79"/>
        </w:rPr>
        <w:t xml:space="preserve">ACSET</w:t>
      </w:r>
      <w:r>
        <w:t xml:space="preserve">).</w:t>
      </w:r>
    </w:p>
    <w:p>
      <w:pPr>
        <w:pStyle w:val="ListParagraph"/>
        <w:numPr>
          <w:ilvl w:val="0"/>
          <w:numId w:val="32"/>
        </w:numPr>
        <w:spacing w:after="60"/>
      </w:pPr>
      <w:r>
        <w:rPr>
          <w:b/>
          <w:bCs/>
        </w:rPr>
        <w:t xml:space="preserve">Activate Account Assignment Objects:</w:t>
      </w:r>
      <w:r>
        <w:t xml:space="preserve"> prüfen, dass </w:t>
      </w:r>
      <w:r>
        <w:rPr>
          <w:b/>
          <w:bCs/>
        </w:rPr>
        <w:t xml:space="preserve">KOSTL</w:t>
      </w:r>
      <w:r>
        <w:t xml:space="preserve"> (Kostenstelle) und </w:t>
      </w:r>
      <w:r>
        <w:rPr>
          <w:b/>
          <w:bCs/>
        </w:rPr>
        <w:t xml:space="preserve">CAUFN</w:t>
      </w:r>
      <w:r>
        <w:t xml:space="preserve"> (Innenauftrag) aktiv sind – nichts ändern (Schulung Schritt 1 a)–b).</w:t>
      </w:r>
    </w:p>
    <w:p>
      <w:pPr>
        <w:pStyle w:val="ListParagraph"/>
        <w:numPr>
          <w:ilvl w:val="0"/>
          <w:numId w:val="32"/>
        </w:numPr>
        <w:spacing w:after="60"/>
      </w:pPr>
      <w:r>
        <w:rPr>
          <w:b/>
          <w:bCs/>
        </w:rPr>
        <w:t xml:space="preserve">Specify Account Assignment Types:</w:t>
      </w:r>
      <w:r>
        <w:t xml:space="preserve"> zuerst Buchungskreis </w:t>
      </w:r>
      <w:r>
        <w:rPr>
          <w:b/>
          <w:bCs/>
        </w:rPr>
        <w:t xml:space="preserve">1010</w:t>
      </w:r>
      <w:r>
        <w:t xml:space="preserve"> markieren → </w:t>
      </w:r>
      <w:r>
        <w:rPr>
          <w:b/>
          <w:bCs/>
        </w:rPr>
        <w:t xml:space="preserve">Depreciation Area</w:t>
      </w:r>
      <w:r>
        <w:t xml:space="preserve"> → </w:t>
      </w:r>
      <w:r>
        <w:rPr>
          <w:b/>
          <w:bCs/>
        </w:rPr>
        <w:t xml:space="preserve">Account Assignment Objects</w:t>
      </w:r>
      <w:r>
        <w:t xml:space="preserve"> ansehen und notieren.</w:t>
      </w:r>
    </w:p>
    <w:p>
      <w:pPr>
        <w:pStyle w:val="ListParagraph"/>
        <w:numPr>
          <w:ilvl w:val="0"/>
          <w:numId w:val="32"/>
        </w:numPr>
        <w:spacing w:after="60"/>
      </w:pPr>
      <w:r>
        <w:t xml:space="preserve">Buchungskreis </w:t>
      </w:r>
      <w:r>
        <w:rPr>
          <w:b/>
          <w:bCs/>
        </w:rPr>
        <w:t xml:space="preserve">TA##</w:t>
      </w:r>
      <w:r>
        <w:t xml:space="preserve"> markieren → in der Dialogstruktur </w:t>
      </w:r>
      <w:r>
        <w:rPr>
          <w:b/>
          <w:bCs/>
        </w:rPr>
        <w:t xml:space="preserve">Depreciation Area</w:t>
      </w:r>
      <w:r>
        <w:t xml:space="preserve"> doppelklicken → Bereich wählen (z. B. 20 bzw. die Bereiche wie bei 1010) → </w:t>
      </w:r>
      <w:r>
        <w:rPr>
          <w:b/>
          <w:bCs/>
        </w:rPr>
        <w:t xml:space="preserve">Account Assignment Objects</w:t>
      </w:r>
      <w:r>
        <w:t xml:space="preserve"> → </w:t>
      </w:r>
      <w:r>
        <w:rPr>
          <w:b/>
          <w:bCs/>
        </w:rPr>
        <w:t xml:space="preserve">New Entries</w:t>
      </w:r>
      <w:r>
        <w:t xml:space="preserve"> (Schulung c)–e).</w:t>
      </w:r>
    </w:p>
    <w:p>
      <w:pPr>
        <w:pStyle w:val="ListParagraph"/>
        <w:numPr>
          <w:ilvl w:val="0"/>
          <w:numId w:val="32"/>
        </w:numPr>
        <w:spacing w:after="60"/>
      </w:pPr>
      <w:r>
        <w:t xml:space="preserve">Einträge wie 1010, z. B.: </w:t>
      </w:r>
      <w:r>
        <w:rPr>
          <w:b/>
          <w:bCs/>
        </w:rPr>
        <w:t xml:space="preserve">Account Assignment Object</w:t>
      </w:r>
      <w:r>
        <w:t xml:space="preserve"> </w:t>
      </w:r>
      <w:r>
        <w:rPr>
          <w:rFonts w:ascii="Consolas" w:cs="Consolas" w:eastAsia="Consolas" w:hAnsi="Consolas"/>
          <w:b/>
          <w:bCs/>
          <w:color w:val="1F4E79"/>
        </w:rPr>
        <w:t xml:space="preserve">KOSTL</w:t>
      </w:r>
      <w:r>
        <w:t xml:space="preserve">, </w:t>
      </w:r>
      <w:r>
        <w:rPr>
          <w:b/>
          <w:bCs/>
        </w:rPr>
        <w:t xml:space="preserve">Transaction Type</w:t>
      </w:r>
      <w:r>
        <w:t xml:space="preserve"> </w:t>
      </w:r>
      <w:r>
        <w:rPr>
          <w:rFonts w:ascii="Consolas" w:cs="Consolas" w:eastAsia="Consolas" w:hAnsi="Consolas"/>
          <w:b/>
          <w:bCs/>
          <w:color w:val="1F4E79"/>
        </w:rPr>
        <w:t xml:space="preserve">*</w:t>
      </w:r>
      <w:r>
        <w:t xml:space="preserve">, </w:t>
      </w:r>
      <w:r>
        <w:rPr>
          <w:b/>
          <w:bCs/>
        </w:rPr>
        <w:t xml:space="preserve">Account Assignment Type</w:t>
      </w:r>
      <w:r>
        <w:t xml:space="preserve"> </w:t>
      </w:r>
      <w:r>
        <w:rPr>
          <w:rFonts w:ascii="Consolas" w:cs="Consolas" w:eastAsia="Consolas" w:hAnsi="Consolas"/>
          <w:b/>
          <w:bCs/>
          <w:color w:val="1F4E79"/>
        </w:rPr>
        <w:t xml:space="preserve">AfA-Lauf</w:t>
      </w:r>
      <w:r>
        <w:t xml:space="preserve"> (Depreciation Run), </w:t>
      </w:r>
      <w:r>
        <w:rPr>
          <w:b/>
          <w:bCs/>
        </w:rPr>
        <w:t xml:space="preserve">Account Assignment</w:t>
      </w:r>
      <w:r>
        <w:t xml:space="preserve"> markiert; ggf. PRCTR und SEGMENT analog (Schulung f) → </w:t>
      </w:r>
      <w:r>
        <w:rPr>
          <w:b/>
          <w:bCs/>
        </w:rPr>
        <w:t xml:space="preserve">Save</w:t>
      </w:r>
      <w:r>
        <w:t xml:space="preserve">.</w:t>
      </w:r>
    </w:p>
    <w:p>
      <w:pPr>
        <w:pStyle w:val="Heading2"/>
      </w:pPr>
      <w:r>
        <w:t xml:space="preserve">Schritt 6.2 – Nicht integrierter Zugang Bürogebäude</w:t>
      </w:r>
    </w:p>
    <w:p>
      <w:pPr>
        <w:pBdr>
          <w:left w:val="single" w:color="7F7F7F" w:sz="24" w:space="6"/>
        </w:pBdr>
        <w:shd w:fill="EDEDED" w:color="auto" w:val="clear"/>
        <w:spacing w:after="120" w:before="120"/>
        <w:ind w:left="120" w:right="120"/>
      </w:pPr>
      <w:r>
        <w:rPr>
          <w:b/>
          <w:bCs/>
          <w:color w:val="7F7F7F"/>
        </w:rPr>
        <w:t xml:space="preserve">Aufgabe (Original): </w:t>
      </w:r>
      <w:r>
        <w:t xml:space="preserve">Nicht integrierter Zugang zum 01.01. aktuelles Jahr, 500.000 EUR, Kostenstelle TA##1100.</w:t>
      </w:r>
    </w:p>
    <w:p>
      <w:pPr>
        <w:pBdr>
          <w:left w:val="single" w:color="7030A0" w:sz="24" w:space="6"/>
        </w:pBdr>
        <w:shd w:fill="F3E8FA" w:color="auto" w:val="clear"/>
        <w:spacing w:after="120" w:before="120"/>
        <w:ind w:left="120" w:right="120"/>
      </w:pPr>
      <w:r>
        <w:rPr>
          <w:b/>
          <w:bCs/>
          <w:color w:val="7030A0"/>
        </w:rPr>
        <w:t xml:space="preserve">Vergleichbare Übung in den Schulungsunterlagen: </w:t>
      </w:r>
      <w:r>
        <w:rPr>
          <w:b/>
          <w:bCs/>
        </w:rPr>
        <w:t xml:space="preserve">S4F17</w:t>
      </w:r>
      <w:r>
        <w:t xml:space="preserve">, Übung 10 „Anlegen von Anlagenstammsätzen", S. 92–94 (PDF 102–104) – Kachel „Anlage anlegen" (AS01): Anlagenklasse, Buchungskreis, Beschreibung, Registerkarte Zeitabhängig → Kostenstelle; </w:t>
      </w:r>
      <w:r>
        <w:rPr>
          <w:b/>
          <w:bCs/>
        </w:rPr>
        <w:t xml:space="preserve">S4F17</w:t>
      </w:r>
      <w:r>
        <w:t xml:space="preserve">, Übung 15 „Durchführen verschiedener nicht integrierter Anlagenzugangsbuchungen", S. 157–161 (PDF 167–171) – Kachel „Zugang buchen (nicht integriert) Mit automatischer Gegenbuchung" (ABZOL); Aufgabe 3 Schritt 2: neue Anlage direkt bei der Zugangsbuchung mit Kostenstelle TA##1100; </w:t>
      </w:r>
      <w:r>
        <w:rPr>
          <w:b/>
          <w:bCs/>
        </w:rPr>
        <w:t xml:space="preserve">S4F10</w:t>
      </w:r>
      <w:r>
        <w:t xml:space="preserve">, Übung 47 „Nicht integrierte Anlagenzugänge buchen", S. 374 (PDF 384). Anlagenklasse </w:t>
      </w:r>
      <w:r>
        <w:rPr>
          <w:b/>
          <w:bCs/>
        </w:rPr>
        <w:t xml:space="preserve">1100 für Gebäude</w:t>
      </w:r>
      <w:r>
        <w:t xml:space="preserve">: S4F17 Ü10 Aufgabe 3, S. 90 (PDF 100).</w:t>
      </w:r>
    </w:p>
    <w:p>
      <w:pPr>
        <w:pBdr>
          <w:left w:val="single" w:color="F0AB00" w:sz="24" w:space="6"/>
        </w:pBdr>
        <w:shd w:fill="FFF4D6" w:color="auto" w:val="clear"/>
        <w:spacing w:after="120" w:before="120"/>
        <w:ind w:left="120" w:right="120"/>
      </w:pPr>
      <w:r>
        <w:rPr>
          <w:b/>
          <w:bCs/>
          <w:color w:val="F0AB00"/>
        </w:rPr>
        <w:t xml:space="preserve">Transaktion / App: </w:t>
      </w:r>
      <w:r>
        <w:t xml:space="preserve">Fiori-Kachel </w:t>
      </w:r>
      <w:r>
        <w:rPr>
          <w:b/>
          <w:bCs/>
        </w:rPr>
        <w:t xml:space="preserve">Create Asset</w:t>
      </w:r>
      <w:r>
        <w:t xml:space="preserve"> (Anlage anlegen, </w:t>
      </w:r>
      <w:r>
        <w:rPr>
          <w:rFonts w:ascii="Consolas" w:cs="Consolas" w:eastAsia="Consolas" w:hAnsi="Consolas"/>
          <w:b/>
          <w:bCs/>
          <w:color w:val="1F4E79"/>
        </w:rPr>
        <w:t xml:space="preserve">AS01</w:t>
      </w:r>
      <w:r>
        <w:t xml:space="preserve">) und </w:t>
      </w:r>
      <w:r>
        <w:rPr>
          <w:b/>
          <w:bCs/>
        </w:rPr>
        <w:t xml:space="preserve">Post Acquisition (Non-Integrated) – With Automatic Offsetting Entry</w:t>
      </w:r>
      <w:r>
        <w:t xml:space="preserve"> (Zugang buchen (nicht integriert) Mit automatischer Gegenbuchung, </w:t>
      </w:r>
      <w:r>
        <w:rPr>
          <w:rFonts w:ascii="Consolas" w:cs="Consolas" w:eastAsia="Consolas" w:hAnsi="Consolas"/>
          <w:b/>
          <w:bCs/>
          <w:color w:val="1F4E79"/>
        </w:rPr>
        <w:t xml:space="preserve">ABZOL</w:t>
      </w:r>
      <w:r>
        <w:t xml:space="preserve">/</w:t>
      </w:r>
      <w:r>
        <w:rPr>
          <w:rFonts w:ascii="Consolas" w:cs="Consolas" w:eastAsia="Consolas" w:hAnsi="Consolas"/>
          <w:b/>
          <w:bCs/>
          <w:color w:val="1F4E79"/>
        </w:rPr>
        <w:t xml:space="preserve">ABZON</w:t>
      </w:r>
      <w:r>
        <w:t xml:space="preserve">).</w:t>
      </w:r>
    </w:p>
    <w:p>
      <w:pPr>
        <w:pStyle w:val="Heading3"/>
      </w:pPr>
      <w:r>
        <w:t xml:space="preserve">Variante A (wie Schulung Ü10 + Ü15 Aufgabe 1)</w:t>
      </w:r>
    </w:p>
    <w:p>
      <w:pPr>
        <w:pStyle w:val="ListParagraph"/>
        <w:numPr>
          <w:ilvl w:val="0"/>
          <w:numId w:val="33"/>
        </w:numPr>
        <w:spacing w:after="60"/>
      </w:pPr>
      <w:r>
        <w:t xml:space="preserve">Kachel </w:t>
      </w:r>
      <w:r>
        <w:rPr>
          <w:b/>
          <w:bCs/>
        </w:rPr>
        <w:t xml:space="preserve">Create Asset</w:t>
      </w:r>
      <w:r>
        <w:t xml:space="preserve"> (AS01): </w:t>
      </w:r>
      <w:r>
        <w:rPr>
          <w:b/>
          <w:bCs/>
        </w:rPr>
        <w:t xml:space="preserve">Asset Class</w:t>
      </w:r>
      <w:r>
        <w:t xml:space="preserve"> </w:t>
      </w:r>
      <w:r>
        <w:rPr>
          <w:rFonts w:ascii="Consolas" w:cs="Consolas" w:eastAsia="Consolas" w:hAnsi="Consolas"/>
          <w:b/>
          <w:bCs/>
          <w:color w:val="1F4E79"/>
        </w:rPr>
        <w:t xml:space="preserve">1100</w:t>
      </w:r>
      <w:r>
        <w:t xml:space="preserve"> (Gebäude), </w:t>
      </w:r>
      <w:r>
        <w:rPr>
          <w:b/>
          <w:bCs/>
        </w:rPr>
        <w:t xml:space="preserve">Company Code</w:t>
      </w:r>
      <w:r>
        <w:t xml:space="preserve"> </w:t>
      </w:r>
      <w:r>
        <w:rPr>
          <w:rFonts w:ascii="Consolas" w:cs="Consolas" w:eastAsia="Consolas" w:hAnsi="Consolas"/>
          <w:b/>
          <w:bCs/>
          <w:color w:val="1F4E79"/>
        </w:rPr>
        <w:t xml:space="preserve">TA##</w:t>
      </w:r>
      <w:r>
        <w:t xml:space="preserve"> → Enter (Schulung S4F17 S. 93 b)–c).</w:t>
      </w:r>
    </w:p>
    <w:p>
      <w:pPr>
        <w:pStyle w:val="ListParagraph"/>
        <w:numPr>
          <w:ilvl w:val="0"/>
          <w:numId w:val="33"/>
        </w:numPr>
        <w:spacing w:after="60"/>
      </w:pPr>
      <w:r>
        <w:rPr>
          <w:b/>
          <w:bCs/>
        </w:rPr>
        <w:t xml:space="preserve">Description</w:t>
      </w:r>
      <w:r>
        <w:t xml:space="preserve"> </w:t>
      </w:r>
      <w:r>
        <w:rPr>
          <w:rFonts w:ascii="Consolas" w:cs="Consolas" w:eastAsia="Consolas" w:hAnsi="Consolas"/>
          <w:b/>
          <w:bCs/>
          <w:color w:val="1F4E79"/>
        </w:rPr>
        <w:t xml:space="preserve">Office Building ##</w:t>
      </w:r>
      <w:r>
        <w:t xml:space="preserve"> (Bürogebäude); Registerkarte </w:t>
      </w:r>
      <w:r>
        <w:rPr>
          <w:b/>
          <w:bCs/>
        </w:rPr>
        <w:t xml:space="preserve">Time-dependent</w:t>
      </w:r>
      <w:r>
        <w:t xml:space="preserve"> (Zeitabhängig): </w:t>
      </w:r>
      <w:r>
        <w:rPr>
          <w:b/>
          <w:bCs/>
        </w:rPr>
        <w:t xml:space="preserve">Cost Center</w:t>
      </w:r>
      <w:r>
        <w:t xml:space="preserve"> </w:t>
      </w:r>
      <w:r>
        <w:rPr>
          <w:rFonts w:ascii="Consolas" w:cs="Consolas" w:eastAsia="Consolas" w:hAnsi="Consolas"/>
          <w:b/>
          <w:bCs/>
          <w:color w:val="1F4E79"/>
        </w:rPr>
        <w:t xml:space="preserve">TA##1100</w:t>
      </w:r>
      <w:r>
        <w:t xml:space="preserve"> → </w:t>
      </w:r>
      <w:r>
        <w:rPr>
          <w:b/>
          <w:bCs/>
        </w:rPr>
        <w:t xml:space="preserve">Save</w:t>
      </w:r>
      <w:r>
        <w:t xml:space="preserve"> → Anlagennummer notieren (Schulung d)–f).</w:t>
      </w:r>
    </w:p>
    <w:p>
      <w:pPr>
        <w:pStyle w:val="ListParagraph"/>
        <w:numPr>
          <w:ilvl w:val="0"/>
          <w:numId w:val="33"/>
        </w:numPr>
        <w:spacing w:after="60"/>
      </w:pPr>
      <w:r>
        <w:t xml:space="preserve">Kachel </w:t>
      </w:r>
      <w:r>
        <w:rPr>
          <w:b/>
          <w:bCs/>
        </w:rPr>
        <w:t xml:space="preserve">Post Acquisition (Non-Integrated) – With Automatic Offsetting Entry</w:t>
      </w:r>
      <w:r>
        <w:t xml:space="preserve">; Buchungskreis </w:t>
      </w:r>
      <w:r>
        <w:rPr>
          <w:rFonts w:ascii="Consolas" w:cs="Consolas" w:eastAsia="Consolas" w:hAnsi="Consolas"/>
          <w:b/>
          <w:bCs/>
          <w:color w:val="1F4E79"/>
        </w:rPr>
        <w:t xml:space="preserve">TA##</w:t>
      </w:r>
      <w:r>
        <w:t xml:space="preserve"> (Schulung S. 157 a)–b).</w:t>
      </w:r>
    </w:p>
    <w:p>
      <w:pPr>
        <w:pStyle w:val="ListParagraph"/>
        <w:numPr>
          <w:ilvl w:val="0"/>
          <w:numId w:val="33"/>
        </w:numPr>
        <w:spacing w:after="60"/>
      </w:pPr>
      <w:r>
        <w:t xml:space="preserve">Erfassen: </w:t>
      </w:r>
      <w:r>
        <w:rPr>
          <w:b/>
          <w:bCs/>
        </w:rPr>
        <w:t xml:space="preserve">Existing Asset</w:t>
      </w:r>
      <w:r>
        <w:t xml:space="preserve"> = neue Anlagennummer, </w:t>
      </w:r>
      <w:r>
        <w:rPr>
          <w:b/>
          <w:bCs/>
        </w:rPr>
        <w:t xml:space="preserve">Document Date</w:t>
      </w:r>
      <w:r>
        <w:t xml:space="preserve"> </w:t>
      </w:r>
      <w:r>
        <w:rPr>
          <w:rFonts w:ascii="Consolas" w:cs="Consolas" w:eastAsia="Consolas" w:hAnsi="Consolas"/>
          <w:b/>
          <w:bCs/>
          <w:color w:val="1F4E79"/>
        </w:rPr>
        <w:t xml:space="preserve">01.01.</w:t>
      </w:r>
      <w:r>
        <w:t xml:space="preserve"> aktuelles Jahr, </w:t>
      </w:r>
      <w:r>
        <w:rPr>
          <w:b/>
          <w:bCs/>
        </w:rPr>
        <w:t xml:space="preserve">Posting Date</w:t>
      </w:r>
      <w:r>
        <w:t xml:space="preserve"> (Offen am Stichtag) </w:t>
      </w:r>
      <w:r>
        <w:rPr>
          <w:rFonts w:ascii="Consolas" w:cs="Consolas" w:eastAsia="Consolas" w:hAnsi="Consolas"/>
          <w:b/>
          <w:bCs/>
          <w:color w:val="1F4E79"/>
        </w:rPr>
        <w:t xml:space="preserve">01.01.</w:t>
      </w:r>
      <w:r>
        <w:t xml:space="preserve"> aktuelles Jahr, </w:t>
      </w:r>
      <w:r>
        <w:rPr>
          <w:b/>
          <w:bCs/>
        </w:rPr>
        <w:t xml:space="preserve">Asset Value Date</w:t>
      </w:r>
      <w:r>
        <w:t xml:space="preserve"> (Bezugsdatum) </w:t>
      </w:r>
      <w:r>
        <w:rPr>
          <w:rFonts w:ascii="Consolas" w:cs="Consolas" w:eastAsia="Consolas" w:hAnsi="Consolas"/>
          <w:b/>
          <w:bCs/>
          <w:color w:val="1F4E79"/>
        </w:rPr>
        <w:t xml:space="preserve">01.01.</w:t>
      </w:r>
      <w:r>
        <w:t xml:space="preserve"> aktuelles Jahr, </w:t>
      </w:r>
      <w:r>
        <w:rPr>
          <w:b/>
          <w:bCs/>
        </w:rPr>
        <w:t xml:space="preserve">Amount Posted</w:t>
      </w:r>
      <w:r>
        <w:t xml:space="preserve"> </w:t>
      </w:r>
      <w:r>
        <w:rPr>
          <w:rFonts w:ascii="Consolas" w:cs="Consolas" w:eastAsia="Consolas" w:hAnsi="Consolas"/>
          <w:b/>
          <w:bCs/>
          <w:color w:val="1F4E79"/>
        </w:rPr>
        <w:t xml:space="preserve">500000</w:t>
      </w:r>
      <w:r>
        <w:t xml:space="preserve"> (Schulung c) und S. 159 b).</w:t>
      </w:r>
    </w:p>
    <w:p>
      <w:pPr>
        <w:pStyle w:val="ListParagraph"/>
        <w:numPr>
          <w:ilvl w:val="0"/>
          <w:numId w:val="33"/>
        </w:numPr>
        <w:spacing w:after="60"/>
      </w:pPr>
      <w:r>
        <w:rPr>
          <w:b/>
          <w:bCs/>
        </w:rPr>
        <w:t xml:space="preserve">Simulate</w:t>
      </w:r>
      <w:r>
        <w:t xml:space="preserve"> (F9) → ggf. Rechnungslegungsvorschrift/Währung ansehen → </w:t>
      </w:r>
      <w:r>
        <w:rPr>
          <w:b/>
          <w:bCs/>
        </w:rPr>
        <w:t xml:space="preserve">Post</w:t>
      </w:r>
      <w:r>
        <w:t xml:space="preserve"> → Belegnummern notieren (Schulung d)–f).</w:t>
      </w:r>
    </w:p>
    <w:p>
      <w:pPr>
        <w:pStyle w:val="Heading3"/>
      </w:pPr>
      <w:r>
        <w:t xml:space="preserve">Variante B (Anlage bei der Zugangsbuchung anlegen – Schulung Ü15 Aufgabe 3 Schritt 2)</w:t>
      </w:r>
    </w:p>
    <w:p>
      <w:pPr>
        <w:pStyle w:val="ListParagraph"/>
        <w:numPr>
          <w:ilvl w:val="0"/>
          <w:numId w:val="34"/>
        </w:numPr>
        <w:spacing w:after="60"/>
      </w:pPr>
      <w:r>
        <w:t xml:space="preserve">In der Zugangs-App die Option </w:t>
      </w:r>
      <w:r>
        <w:rPr>
          <w:b/>
          <w:bCs/>
        </w:rPr>
        <w:t xml:space="preserve">New Asset</w:t>
      </w:r>
      <w:r>
        <w:t xml:space="preserve"> (Neue Anlage) wählen.</w:t>
      </w:r>
    </w:p>
    <w:p>
      <w:pPr>
        <w:pStyle w:val="ListParagraph"/>
        <w:numPr>
          <w:ilvl w:val="0"/>
          <w:numId w:val="34"/>
        </w:numPr>
        <w:spacing w:after="60"/>
      </w:pPr>
      <w:r>
        <w:rPr>
          <w:b/>
          <w:bCs/>
        </w:rPr>
        <w:t xml:space="preserve">Description</w:t>
      </w:r>
      <w:r>
        <w:t xml:space="preserve"> </w:t>
      </w:r>
      <w:r>
        <w:rPr>
          <w:rFonts w:ascii="Consolas" w:cs="Consolas" w:eastAsia="Consolas" w:hAnsi="Consolas"/>
          <w:b/>
          <w:bCs/>
          <w:color w:val="1F4E79"/>
        </w:rPr>
        <w:t xml:space="preserve">Office Building ##</w:t>
      </w:r>
      <w:r>
        <w:t xml:space="preserve">, </w:t>
      </w:r>
      <w:r>
        <w:rPr>
          <w:b/>
          <w:bCs/>
        </w:rPr>
        <w:t xml:space="preserve">Asset Class</w:t>
      </w:r>
      <w:r>
        <w:t xml:space="preserve"> </w:t>
      </w:r>
      <w:r>
        <w:rPr>
          <w:rFonts w:ascii="Consolas" w:cs="Consolas" w:eastAsia="Consolas" w:hAnsi="Consolas"/>
          <w:b/>
          <w:bCs/>
          <w:color w:val="1F4E79"/>
        </w:rPr>
        <w:t xml:space="preserve">1100</w:t>
      </w:r>
      <w:r>
        <w:t xml:space="preserve">, </w:t>
      </w:r>
      <w:r>
        <w:rPr>
          <w:b/>
          <w:bCs/>
        </w:rPr>
        <w:t xml:space="preserve">Cost Center</w:t>
      </w:r>
      <w:r>
        <w:t xml:space="preserve"> </w:t>
      </w:r>
      <w:r>
        <w:rPr>
          <w:rFonts w:ascii="Consolas" w:cs="Consolas" w:eastAsia="Consolas" w:hAnsi="Consolas"/>
          <w:b/>
          <w:bCs/>
          <w:color w:val="1F4E79"/>
        </w:rPr>
        <w:t xml:space="preserve">TA##1100</w:t>
      </w:r>
      <w:r>
        <w:t xml:space="preserve">, Datumsfelder </w:t>
      </w:r>
      <w:r>
        <w:rPr>
          <w:rFonts w:ascii="Consolas" w:cs="Consolas" w:eastAsia="Consolas" w:hAnsi="Consolas"/>
          <w:b/>
          <w:bCs/>
          <w:color w:val="1F4E79"/>
        </w:rPr>
        <w:t xml:space="preserve">01.01.</w:t>
      </w:r>
      <w:r>
        <w:t xml:space="preserve"> aktuelles Jahr, </w:t>
      </w:r>
      <w:r>
        <w:rPr>
          <w:b/>
          <w:bCs/>
        </w:rPr>
        <w:t xml:space="preserve">Amount Posted</w:t>
      </w:r>
      <w:r>
        <w:t xml:space="preserve"> </w:t>
      </w:r>
      <w:r>
        <w:rPr>
          <w:rFonts w:ascii="Consolas" w:cs="Consolas" w:eastAsia="Consolas" w:hAnsi="Consolas"/>
          <w:b/>
          <w:bCs/>
          <w:color w:val="1F4E79"/>
        </w:rPr>
        <w:t xml:space="preserve">500000</w:t>
      </w:r>
      <w:r>
        <w:t xml:space="preserve"> → </w:t>
      </w:r>
      <w:r>
        <w:rPr>
          <w:b/>
          <w:bCs/>
        </w:rPr>
        <w:t xml:space="preserve">Simulate</w:t>
      </w:r>
      <w:r>
        <w:t xml:space="preserve"> → </w:t>
      </w:r>
      <w:r>
        <w:rPr>
          <w:b/>
          <w:bCs/>
        </w:rPr>
        <w:t xml:space="preserve">Post</w:t>
      </w:r>
      <w:r>
        <w:t xml:space="preserve"> (Schulung S. 160–161 a)–d).</w:t>
      </w:r>
    </w:p>
    <w:p>
      <w:pPr>
        <w:pStyle w:val="Heading2"/>
      </w:pPr>
      <w:r>
        <w:t xml:space="preserve">Schritt 6.3 – Abschreibungslauf Januar (Periode 01)</w:t>
      </w:r>
    </w:p>
    <w:p>
      <w:pPr>
        <w:pBdr>
          <w:left w:val="single" w:color="7F7F7F" w:sz="24" w:space="6"/>
        </w:pBdr>
        <w:shd w:fill="EDEDED" w:color="auto" w:val="clear"/>
        <w:spacing w:after="120" w:before="120"/>
        <w:ind w:left="120" w:right="120"/>
      </w:pPr>
      <w:r>
        <w:rPr>
          <w:b/>
          <w:bCs/>
          <w:color w:val="7F7F7F"/>
        </w:rPr>
        <w:t xml:space="preserve">Aufgabe (Original): </w:t>
      </w:r>
      <w:r>
        <w:t xml:space="preserve">AfA-Lauf für TA##, Periode 01 des aktuellen Jahres.</w:t>
      </w:r>
    </w:p>
    <w:p>
      <w:pPr>
        <w:pBdr>
          <w:left w:val="single" w:color="7030A0" w:sz="24" w:space="6"/>
        </w:pBdr>
        <w:shd w:fill="F3E8FA" w:color="auto" w:val="clear"/>
        <w:spacing w:after="120" w:before="120"/>
        <w:ind w:left="120" w:right="120"/>
      </w:pPr>
      <w:r>
        <w:rPr>
          <w:b/>
          <w:bCs/>
          <w:color w:val="7030A0"/>
        </w:rPr>
        <w:t xml:space="preserve">Vergleichbare Übung in den Schulungsunterlagen: </w:t>
      </w:r>
      <w:r>
        <w:rPr>
          <w:b/>
          <w:bCs/>
        </w:rPr>
        <w:t xml:space="preserve">S4F17</w:t>
      </w:r>
      <w:r>
        <w:t xml:space="preserve">, Übung 27 „Den Abschreibungslauf durchführen und auswerten", S. 300–303 (PDF 310–313) – Schritte 7–9: Kachel „Anlagenbuchhaltungs-Jobs einplanen", Jobvorlage „AfA-Buchungslauf", Testlauf, dann Echtlauf ohne Testlauf; </w:t>
      </w:r>
      <w:r>
        <w:rPr>
          <w:b/>
          <w:bCs/>
        </w:rPr>
        <w:t xml:space="preserve">S4F15</w:t>
      </w:r>
      <w:r>
        <w:t xml:space="preserve">, Übung 3 „Den Abschreibungslauf durchführen und auswerten", S. 67 (PDF 75)</w:t>
      </w:r>
    </w:p>
    <w:p>
      <w:pPr>
        <w:pBdr>
          <w:left w:val="single" w:color="F0AB00" w:sz="24" w:space="6"/>
        </w:pBdr>
        <w:shd w:fill="FFF4D6" w:color="auto" w:val="clear"/>
        <w:spacing w:after="120" w:before="120"/>
        <w:ind w:left="120" w:right="120"/>
      </w:pPr>
      <w:r>
        <w:rPr>
          <w:b/>
          <w:bCs/>
          <w:color w:val="F0AB00"/>
        </w:rPr>
        <w:t xml:space="preserve">Transaktion / App: </w:t>
      </w:r>
      <w:r>
        <w:t xml:space="preserve">Fiori-Kachel </w:t>
      </w:r>
      <w:r>
        <w:rPr>
          <w:b/>
          <w:bCs/>
        </w:rPr>
        <w:t xml:space="preserve">Schedule Fixed Asset Accounting Jobs</w:t>
      </w:r>
      <w:r>
        <w:t xml:space="preserve"> (Anlagenbuchhaltungs-Jobs einplanen), Kachelgruppe Periodische Buchungen; Jobvorlage </w:t>
      </w:r>
      <w:r>
        <w:rPr>
          <w:b/>
          <w:bCs/>
        </w:rPr>
        <w:t xml:space="preserve">Depreciation Posting Run</w:t>
      </w:r>
      <w:r>
        <w:t xml:space="preserve"> (AfA-Buchungslauf). Programm </w:t>
      </w:r>
      <w:r>
        <w:rPr>
          <w:rFonts w:ascii="Consolas" w:cs="Consolas" w:eastAsia="Consolas" w:hAnsi="Consolas"/>
          <w:b/>
          <w:bCs/>
          <w:color w:val="1F4E79"/>
        </w:rPr>
        <w:t xml:space="preserve">FAA_DEPRECIATION_POST</w:t>
      </w:r>
      <w:r>
        <w:t xml:space="preserve"> (S4F17 S. 293).</w:t>
      </w:r>
    </w:p>
    <w:p>
      <w:pPr>
        <w:pStyle w:val="ListParagraph"/>
        <w:numPr>
          <w:ilvl w:val="0"/>
          <w:numId w:val="35"/>
        </w:numPr>
        <w:spacing w:after="60"/>
      </w:pPr>
      <w:r>
        <w:t xml:space="preserve">Kachel öffnen → </w:t>
      </w:r>
      <w:r>
        <w:rPr>
          <w:b/>
          <w:bCs/>
        </w:rPr>
        <w:t xml:space="preserve">Create</w:t>
      </w:r>
      <w:r>
        <w:t xml:space="preserve"> (Anlegen) (Schulung S. 301 a).</w:t>
      </w:r>
    </w:p>
    <w:p>
      <w:pPr>
        <w:pStyle w:val="ListParagraph"/>
        <w:numPr>
          <w:ilvl w:val="0"/>
          <w:numId w:val="35"/>
        </w:numPr>
        <w:spacing w:after="60"/>
      </w:pPr>
      <w:r>
        <w:rPr>
          <w:b/>
          <w:bCs/>
        </w:rPr>
        <w:t xml:space="preserve">Job Template</w:t>
      </w:r>
      <w:r>
        <w:t xml:space="preserve"> </w:t>
      </w:r>
      <w:r>
        <w:rPr>
          <w:rFonts w:ascii="Consolas" w:cs="Consolas" w:eastAsia="Consolas" w:hAnsi="Consolas"/>
          <w:b/>
          <w:bCs/>
          <w:color w:val="1F4E79"/>
        </w:rPr>
        <w:t xml:space="preserve">AfA-Buchungslauf</w:t>
      </w:r>
      <w:r>
        <w:t xml:space="preserve"> (Depreciation Posting Run), </w:t>
      </w:r>
      <w:r>
        <w:rPr>
          <w:b/>
          <w:bCs/>
        </w:rPr>
        <w:t xml:space="preserve">Job Name</w:t>
      </w:r>
      <w:r>
        <w:t xml:space="preserve"> z. B. </w:t>
      </w:r>
      <w:r>
        <w:rPr>
          <w:rFonts w:ascii="Consolas" w:cs="Consolas" w:eastAsia="Consolas" w:hAnsi="Consolas"/>
          <w:b/>
          <w:bCs/>
          <w:color w:val="1F4E79"/>
        </w:rPr>
        <w:t xml:space="preserve">AfA ## Test</w:t>
      </w:r>
      <w:r>
        <w:t xml:space="preserve"> → </w:t>
      </w:r>
      <w:r>
        <w:rPr>
          <w:b/>
          <w:bCs/>
        </w:rPr>
        <w:t xml:space="preserve">Step 2</w:t>
      </w:r>
      <w:r>
        <w:t xml:space="preserve"> → </w:t>
      </w:r>
      <w:r>
        <w:rPr>
          <w:b/>
          <w:bCs/>
        </w:rPr>
        <w:t xml:space="preserve">Start Immediately</w:t>
      </w:r>
      <w:r>
        <w:t xml:space="preserve"> → </w:t>
      </w:r>
      <w:r>
        <w:rPr>
          <w:b/>
          <w:bCs/>
        </w:rPr>
        <w:t xml:space="preserve">Step 3</w:t>
      </w:r>
      <w:r>
        <w:t xml:space="preserve"> (Schulung b)–e).</w:t>
      </w:r>
    </w:p>
    <w:p>
      <w:pPr>
        <w:pStyle w:val="ListParagraph"/>
        <w:numPr>
          <w:ilvl w:val="0"/>
          <w:numId w:val="35"/>
        </w:numPr>
        <w:spacing w:after="60"/>
      </w:pPr>
      <w:r>
        <w:t xml:space="preserve">Parameter: </w:t>
      </w:r>
      <w:r>
        <w:rPr>
          <w:b/>
          <w:bCs/>
        </w:rPr>
        <w:t xml:space="preserve">Company Code</w:t>
      </w:r>
      <w:r>
        <w:t xml:space="preserve"> </w:t>
      </w:r>
      <w:r>
        <w:rPr>
          <w:rFonts w:ascii="Consolas" w:cs="Consolas" w:eastAsia="Consolas" w:hAnsi="Consolas"/>
          <w:b/>
          <w:bCs/>
          <w:color w:val="1F4E79"/>
        </w:rPr>
        <w:t xml:space="preserve">TA##</w:t>
      </w:r>
      <w:r>
        <w:t xml:space="preserve">, </w:t>
      </w:r>
      <w:r>
        <w:rPr>
          <w:b/>
          <w:bCs/>
        </w:rPr>
        <w:t xml:space="preserve">Fiscal Year</w:t>
      </w:r>
      <w:r>
        <w:t xml:space="preserve"> aktuelles Jahr, </w:t>
      </w:r>
      <w:r>
        <w:rPr>
          <w:b/>
          <w:bCs/>
        </w:rPr>
        <w:t xml:space="preserve">Posting Period</w:t>
      </w:r>
      <w:r>
        <w:t xml:space="preserve"> </w:t>
      </w:r>
      <w:r>
        <w:rPr>
          <w:rFonts w:ascii="Consolas" w:cs="Consolas" w:eastAsia="Consolas" w:hAnsi="Consolas"/>
          <w:b/>
          <w:bCs/>
          <w:color w:val="1F4E79"/>
        </w:rPr>
        <w:t xml:space="preserve">01</w:t>
      </w:r>
      <w:r>
        <w:t xml:space="preserve">, </w:t>
      </w:r>
      <w:r>
        <w:rPr>
          <w:b/>
          <w:bCs/>
        </w:rPr>
        <w:t xml:space="preserve">Test Run</w:t>
      </w:r>
      <w:r>
        <w:t xml:space="preserve"> markiert, </w:t>
      </w:r>
      <w:r>
        <w:rPr>
          <w:b/>
          <w:bCs/>
        </w:rPr>
        <w:t xml:space="preserve">Detailed Log</w:t>
      </w:r>
      <w:r>
        <w:t xml:space="preserve"> markiert → </w:t>
      </w:r>
      <w:r>
        <w:rPr>
          <w:b/>
          <w:bCs/>
        </w:rPr>
        <w:t xml:space="preserve">Schedule</w:t>
      </w:r>
      <w:r>
        <w:t xml:space="preserve"> (Schulung f)–g), S. 302).</w:t>
      </w:r>
    </w:p>
    <w:p>
      <w:pPr>
        <w:pStyle w:val="ListParagraph"/>
        <w:numPr>
          <w:ilvl w:val="0"/>
          <w:numId w:val="35"/>
        </w:numPr>
        <w:spacing w:after="60"/>
      </w:pPr>
      <w:r>
        <w:t xml:space="preserve">Ergebnis über das Symbol in Spalte </w:t>
      </w:r>
      <w:r>
        <w:rPr>
          <w:b/>
          <w:bCs/>
        </w:rPr>
        <w:t xml:space="preserve">Results</w:t>
      </w:r>
      <w:r>
        <w:t xml:space="preserve"> und die Spool-Aufträge prüfen (Schulung i)–l).</w:t>
      </w:r>
    </w:p>
    <w:p>
      <w:pPr>
        <w:pStyle w:val="ListParagraph"/>
        <w:numPr>
          <w:ilvl w:val="0"/>
          <w:numId w:val="35"/>
        </w:numPr>
        <w:spacing w:after="60"/>
      </w:pPr>
      <w:r>
        <w:t xml:space="preserve">Testlauf markieren → </w:t>
      </w:r>
      <w:r>
        <w:rPr>
          <w:b/>
          <w:bCs/>
        </w:rPr>
        <w:t xml:space="preserve">Copy</w:t>
      </w:r>
      <w:r>
        <w:t xml:space="preserve"> → Jobname z. B. </w:t>
      </w:r>
      <w:r>
        <w:rPr>
          <w:rFonts w:ascii="Consolas" w:cs="Consolas" w:eastAsia="Consolas" w:hAnsi="Consolas"/>
          <w:b/>
          <w:bCs/>
          <w:color w:val="1F4E79"/>
        </w:rPr>
        <w:t xml:space="preserve">AfA ## Update</w:t>
      </w:r>
      <w:r>
        <w:t xml:space="preserve"> → Step 2 → Step 3 → </w:t>
      </w:r>
      <w:r>
        <w:rPr>
          <w:b/>
          <w:bCs/>
        </w:rPr>
        <w:t xml:space="preserve">Test Run</w:t>
      </w:r>
      <w:r>
        <w:t xml:space="preserve"> entmarkieren → </w:t>
      </w:r>
      <w:r>
        <w:rPr>
          <w:b/>
          <w:bCs/>
        </w:rPr>
        <w:t xml:space="preserve">Schedule</w:t>
      </w:r>
      <w:r>
        <w:t xml:space="preserve"> (Schulung S. 302–303, Schritt 9 b)–g).</w:t>
      </w:r>
    </w:p>
    <w:p>
      <w:pPr>
        <w:pStyle w:val="ListParagraph"/>
        <w:numPr>
          <w:ilvl w:val="0"/>
          <w:numId w:val="35"/>
        </w:numPr>
        <w:spacing w:after="60"/>
      </w:pPr>
      <w:r>
        <w:t xml:space="preserve">Protokoll prüfen; Belege mit Belegart </w:t>
      </w:r>
      <w:r>
        <w:rPr>
          <w:b/>
          <w:bCs/>
        </w:rPr>
        <w:t xml:space="preserve">AF</w:t>
      </w:r>
      <w:r>
        <w:t xml:space="preserve"> in „Manage Journal Entries" (Buchungsbelege verwalten) kontrollieren (Schulung Aufgabe 2, S. 303).</w:t>
      </w:r>
    </w:p>
    <w:p>
      <w:r>
        <w:br w:type="page"/>
      </w:r>
    </w:p>
    <w:p>
      <w:pPr>
        <w:pStyle w:val="Heading1"/>
      </w:pPr>
      <w:r>
        <w:t xml:space="preserve">Task 7: Establish a New Company Code</w:t>
      </w:r>
    </w:p>
    <w:p>
      <w:pPr>
        <w:pStyle w:val="Heading2"/>
      </w:pPr>
      <w:r>
        <w:t xml:space="preserve">Schritt 7.1 – Buchungskreis GR## aus 1010 kopieren</w:t>
      </w:r>
    </w:p>
    <w:p>
      <w:pPr>
        <w:pBdr>
          <w:left w:val="single" w:color="7F7F7F" w:sz="24" w:space="6"/>
        </w:pBdr>
        <w:shd w:fill="EDEDED" w:color="auto" w:val="clear"/>
        <w:spacing w:after="120" w:before="120"/>
        <w:ind w:left="120" w:right="120"/>
      </w:pPr>
      <w:r>
        <w:rPr>
          <w:b/>
          <w:bCs/>
          <w:color w:val="7F7F7F"/>
        </w:rPr>
        <w:t xml:space="preserve">Aufgabe (Original): </w:t>
      </w:r>
      <w:r>
        <w:t xml:space="preserve">GR## mit Vorlage 1010; Währung EUR, Land DE, Sprache EN; Sachkonten aus 1010 kopieren.</w:t>
      </w:r>
    </w:p>
    <w:p>
      <w:pPr>
        <w:pBdr>
          <w:left w:val="single" w:color="7030A0" w:sz="24" w:space="6"/>
        </w:pBdr>
        <w:shd w:fill="F3E8FA" w:color="auto" w:val="clear"/>
        <w:spacing w:after="120" w:before="120"/>
        <w:ind w:left="120" w:right="120"/>
      </w:pPr>
      <w:r>
        <w:rPr>
          <w:b/>
          <w:bCs/>
          <w:color w:val="7030A0"/>
        </w:rPr>
        <w:t xml:space="preserve">Vergleichbare Übung in den Schulungsunterlagen: </w:t>
      </w:r>
      <w:r>
        <w:rPr>
          <w:b/>
          <w:bCs/>
        </w:rPr>
        <w:t xml:space="preserve">S4F12</w:t>
      </w:r>
      <w:r>
        <w:t xml:space="preserve">, Übung 2 „Einen Buchungskreis anlegen", S. 33–36 (PDF 41–44) – Kopie TA00 → GR## mit Sachkonten, Kostenrechnungskreis-Zuordnung kopieren, Hauswährung nicht ändern; danach Buchungskreisdaten bearbeiten (Name, Ort, Land DE, Währung EUR, Sprache DE)</w:t>
      </w:r>
    </w:p>
    <w:p>
      <w:pPr>
        <w:pBdr>
          <w:left w:val="single" w:color="F0AB00" w:sz="24" w:space="6"/>
        </w:pBdr>
        <w:shd w:fill="FFF4D6" w:color="auto" w:val="clear"/>
        <w:spacing w:after="120" w:before="120"/>
        <w:ind w:left="120" w:right="120"/>
      </w:pPr>
      <w:r>
        <w:rPr>
          <w:b/>
          <w:bCs/>
          <w:color w:val="F0AB00"/>
        </w:rPr>
        <w:t xml:space="preserve">Transaktion / App: </w:t>
      </w:r>
      <w:r>
        <w:t xml:space="preserve">IMG: Enterprise Structure → Definition → Financial Accounting → Edit, Copy, Delete, Check Company Code (Buchungskreis bearbeiten, kopieren, löschen, prüfen; Transaktion </w:t>
      </w:r>
      <w:r>
        <w:rPr>
          <w:rFonts w:ascii="Consolas" w:cs="Consolas" w:eastAsia="Consolas" w:hAnsi="Consolas"/>
          <w:b/>
          <w:bCs/>
          <w:color w:val="1F4E79"/>
        </w:rPr>
        <w:t xml:space="preserve">EC01</w:t>
      </w:r>
      <w:r>
        <w:t xml:space="preserve">). Danach Aktivität „Edit Company Code Data" (</w:t>
      </w:r>
      <w:r>
        <w:rPr>
          <w:rFonts w:ascii="Consolas" w:cs="Consolas" w:eastAsia="Consolas" w:hAnsi="Consolas"/>
          <w:b/>
          <w:bCs/>
          <w:color w:val="1F4E79"/>
        </w:rPr>
        <w:t xml:space="preserve">OX02</w:t>
      </w:r>
      <w:r>
        <w:t xml:space="preserve">).</w:t>
      </w:r>
    </w:p>
    <w:p>
      <w:pPr>
        <w:pStyle w:val="ListParagraph"/>
        <w:numPr>
          <w:ilvl w:val="0"/>
          <w:numId w:val="36"/>
        </w:numPr>
        <w:spacing w:after="60"/>
      </w:pPr>
      <w:r>
        <w:rPr>
          <w:rFonts w:ascii="Consolas" w:cs="Consolas" w:eastAsia="Consolas" w:hAnsi="Consolas"/>
          <w:b/>
          <w:bCs/>
          <w:color w:val="1F4E79"/>
        </w:rPr>
        <w:t xml:space="preserve">SPRO</w:t>
      </w:r>
      <w:r>
        <w:t xml:space="preserve"> → SAP Reference IMG → obigen Pfad (Symbol IMG-Aktivität) → Aktion </w:t>
      </w:r>
      <w:r>
        <w:rPr>
          <w:b/>
          <w:bCs/>
        </w:rPr>
        <w:t xml:space="preserve">Copy, Delete, Check Company Code</w:t>
      </w:r>
      <w:r>
        <w:t xml:space="preserve"> doppelklicken (Schulung 2 a)–d).</w:t>
      </w:r>
    </w:p>
    <w:p>
      <w:pPr>
        <w:pStyle w:val="ListParagraph"/>
        <w:numPr>
          <w:ilvl w:val="0"/>
          <w:numId w:val="36"/>
        </w:numPr>
        <w:spacing w:after="60"/>
      </w:pPr>
      <w:r>
        <w:rPr>
          <w:b/>
          <w:bCs/>
        </w:rPr>
        <w:t xml:space="preserve">Organizational Object → Copy Org. Object</w:t>
      </w:r>
      <w:r>
        <w:t xml:space="preserve"> (Drucktaste Org.Objekt kopieren) (Schulung e).</w:t>
      </w:r>
    </w:p>
    <w:p>
      <w:pPr>
        <w:pStyle w:val="ListParagraph"/>
        <w:numPr>
          <w:ilvl w:val="0"/>
          <w:numId w:val="36"/>
        </w:numPr>
        <w:spacing w:after="60"/>
      </w:pPr>
      <w:r>
        <w:t xml:space="preserve">Dialog: </w:t>
      </w:r>
      <w:r>
        <w:rPr>
          <w:b/>
          <w:bCs/>
        </w:rPr>
        <w:t xml:space="preserve">From Company Code</w:t>
      </w:r>
      <w:r>
        <w:t xml:space="preserve"> </w:t>
      </w:r>
      <w:r>
        <w:rPr>
          <w:rFonts w:ascii="Consolas" w:cs="Consolas" w:eastAsia="Consolas" w:hAnsi="Consolas"/>
          <w:b/>
          <w:bCs/>
          <w:color w:val="1F4E79"/>
        </w:rPr>
        <w:t xml:space="preserve">1010</w:t>
      </w:r>
      <w:r>
        <w:t xml:space="preserve">, </w:t>
      </w:r>
      <w:r>
        <w:rPr>
          <w:b/>
          <w:bCs/>
        </w:rPr>
        <w:t xml:space="preserve">To Company Code</w:t>
      </w:r>
      <w:r>
        <w:t xml:space="preserve"> </w:t>
      </w:r>
      <w:r>
        <w:rPr>
          <w:rFonts w:ascii="Consolas" w:cs="Consolas" w:eastAsia="Consolas" w:hAnsi="Consolas"/>
          <w:b/>
          <w:bCs/>
          <w:color w:val="1F4E79"/>
        </w:rPr>
        <w:t xml:space="preserve">GR##</w:t>
      </w:r>
      <w:r>
        <w:t xml:space="preserve"> → </w:t>
      </w:r>
      <w:r>
        <w:rPr>
          <w:b/>
          <w:bCs/>
        </w:rPr>
        <w:t xml:space="preserve">Continue</w:t>
      </w:r>
      <w:r>
        <w:t xml:space="preserve"> (Schulung f)–g; dort TA00).</w:t>
      </w:r>
    </w:p>
    <w:p>
      <w:pPr>
        <w:pStyle w:val="ListParagraph"/>
        <w:numPr>
          <w:ilvl w:val="0"/>
          <w:numId w:val="36"/>
        </w:numPr>
        <w:spacing w:after="60"/>
      </w:pPr>
      <w:r>
        <w:t xml:space="preserve">Dialogfenster beantworten (Tabelle Schulung S. 35):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438"/>
      </w:tblGrid>
      <w:tr>
        <w:trPr>
          <w:tblHeader/>
        </w:trPr>
        <w:tc>
          <w:tcPr>
            <w:tcW w:type="dxa" w:w="2600"/>
            <w:tcBorders>
              <w:top w:val="single" w:color="A6A6A6" w:sz="4"/>
              <w:left w:val="single" w:color="A6A6A6" w:sz="4"/>
              <w:bottom w:val="single" w:color="A6A6A6" w:sz="4"/>
              <w:right w:val="single" w:color="A6A6A6" w:sz="4"/>
            </w:tcBorders>
            <w:shd w:fill="F0AB00" w:color="auto" w:val="clear"/>
            <w:tcMar>
              <w:top w:type="dxa" w:w="60"/>
              <w:left w:type="dxa" w:w="100"/>
              <w:bottom w:type="dxa" w:w="60"/>
              <w:right w:type="dxa" w:w="100"/>
            </w:tcMar>
          </w:tcPr>
          <w:p>
            <w:r>
              <w:rPr>
                <w:b/>
                <w:bCs/>
              </w:rPr>
              <w:t xml:space="preserve">Dialogfenster</w:t>
            </w:r>
          </w:p>
        </w:tc>
        <w:tc>
          <w:tcPr>
            <w:tcW w:type="dxa" w:w="3600"/>
            <w:tcBorders>
              <w:top w:val="single" w:color="A6A6A6" w:sz="4"/>
              <w:left w:val="single" w:color="A6A6A6" w:sz="4"/>
              <w:bottom w:val="single" w:color="A6A6A6" w:sz="4"/>
              <w:right w:val="single" w:color="A6A6A6" w:sz="4"/>
            </w:tcBorders>
            <w:shd w:fill="F0AB00" w:color="auto" w:val="clear"/>
            <w:tcMar>
              <w:top w:type="dxa" w:w="60"/>
              <w:left w:type="dxa" w:w="100"/>
              <w:bottom w:type="dxa" w:w="60"/>
              <w:right w:type="dxa" w:w="100"/>
            </w:tcMar>
          </w:tcPr>
          <w:p>
            <w:r>
              <w:rPr>
                <w:b/>
                <w:bCs/>
              </w:rPr>
              <w:t xml:space="preserve">Meldung (sinngemäß)</w:t>
            </w:r>
          </w:p>
        </w:tc>
        <w:tc>
          <w:tcPr>
            <w:tcW w:type="dxa" w:w="3438"/>
            <w:tcBorders>
              <w:top w:val="single" w:color="A6A6A6" w:sz="4"/>
              <w:left w:val="single" w:color="A6A6A6" w:sz="4"/>
              <w:bottom w:val="single" w:color="A6A6A6" w:sz="4"/>
              <w:right w:val="single" w:color="A6A6A6" w:sz="4"/>
            </w:tcBorders>
            <w:shd w:fill="F0AB00" w:color="auto" w:val="clear"/>
            <w:tcMar>
              <w:top w:type="dxa" w:w="60"/>
              <w:left w:type="dxa" w:w="100"/>
              <w:bottom w:type="dxa" w:w="60"/>
              <w:right w:type="dxa" w:w="100"/>
            </w:tcMar>
          </w:tcPr>
          <w:p>
            <w:r>
              <w:rPr>
                <w:b/>
                <w:bCs/>
              </w:rPr>
              <w:t xml:space="preserve">Aktion</w:t>
            </w:r>
          </w:p>
        </w:tc>
      </w:tr>
      <w:tr>
        <w:trPr>
          <w:tblHeader w:val="false"/>
        </w:trPr>
        <w:tc>
          <w:tcPr>
            <w:tcW w:type="dxa" w:w="2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t xml:space="preserve">G/L accounts in company code GR## (Sachkonten)</w:t>
            </w:r>
          </w:p>
        </w:tc>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Buchungskreisdaten der Sachkonten mitkopieren?</w:t>
            </w:r>
          </w:p>
        </w:tc>
        <w:tc>
          <w:tcPr>
            <w:tcW w:type="dxa" w:w="34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bCs/>
              </w:rPr>
              <w:t xml:space="preserve">Yes</w:t>
            </w:r>
            <w:r>
              <w:t xml:space="preserve"> (Ja)</w:t>
            </w:r>
          </w:p>
        </w:tc>
      </w:tr>
      <w:tr>
        <w:trPr>
          <w:tblHeader w:val="false"/>
        </w:trPr>
        <w:tc>
          <w:tcPr>
            <w:tcW w:type="dxa" w:w="2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t xml:space="preserve">Controlling area assignment (Kostenrechnungskreiszuordnung)</w:t>
            </w:r>
          </w:p>
        </w:tc>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Zuordnung zum Kostenrechnungskreis kopieren?</w:t>
            </w:r>
          </w:p>
        </w:tc>
        <w:tc>
          <w:tcPr>
            <w:tcW w:type="dxa" w:w="34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bCs/>
              </w:rPr>
              <w:t xml:space="preserve">Yes</w:t>
            </w:r>
            <w:r>
              <w:t xml:space="preserve"> (Ja)</w:t>
            </w:r>
          </w:p>
        </w:tc>
      </w:tr>
      <w:tr>
        <w:trPr>
          <w:tblHeader w:val="false"/>
        </w:trPr>
        <w:tc>
          <w:tcPr>
            <w:tcW w:type="dxa" w:w="2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t xml:space="preserve">Assign different local currency (Abweichende Hauswährung)</w:t>
            </w:r>
          </w:p>
        </w:tc>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Andere Hauswährung zuordnen? (Vorlage = EUR)</w:t>
            </w:r>
          </w:p>
        </w:tc>
        <w:tc>
          <w:tcPr>
            <w:tcW w:type="dxa" w:w="34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bCs/>
              </w:rPr>
              <w:t xml:space="preserve">No</w:t>
            </w:r>
            <w:r>
              <w:t xml:space="preserve"> (Nein) → EUR bleibt</w:t>
            </w:r>
          </w:p>
        </w:tc>
      </w:tr>
    </w:tbl>
    <w:p>
      <w:pPr>
        <w:spacing w:after="60"/>
      </w:pPr>
    </w:p>
    <w:p>
      <w:pPr>
        <w:pStyle w:val="ListParagraph"/>
        <w:numPr>
          <w:ilvl w:val="0"/>
          <w:numId w:val="37"/>
        </w:numPr>
        <w:spacing w:after="60"/>
      </w:pPr>
      <w:r>
        <w:t xml:space="preserve">Weitere Warnmeldungen mit </w:t>
      </w:r>
      <w:r>
        <w:rPr>
          <w:b/>
          <w:bCs/>
        </w:rPr>
        <w:t xml:space="preserve">Continue</w:t>
      </w:r>
      <w:r>
        <w:t xml:space="preserve"> (Enter) bestätigen → Meldung „Company code 1010 was copied to GR##" (Schulung h)–i).</w:t>
      </w:r>
    </w:p>
    <w:p>
      <w:pPr>
        <w:pStyle w:val="ListParagraph"/>
        <w:numPr>
          <w:ilvl w:val="0"/>
          <w:numId w:val="37"/>
        </w:numPr>
        <w:spacing w:after="60"/>
      </w:pPr>
      <w:r>
        <w:t xml:space="preserve">Zurück → Aktion </w:t>
      </w:r>
      <w:r>
        <w:rPr>
          <w:b/>
          <w:bCs/>
        </w:rPr>
        <w:t xml:space="preserve">Edit Company Code Data</w:t>
      </w:r>
      <w:r>
        <w:t xml:space="preserve"> (Buchungskreisdaten bearbeiten) → </w:t>
      </w:r>
      <w:r>
        <w:rPr>
          <w:b/>
          <w:bCs/>
        </w:rPr>
        <w:t xml:space="preserve">Position…</w:t>
      </w:r>
      <w:r>
        <w:t xml:space="preserve"> → </w:t>
      </w:r>
      <w:r>
        <w:rPr>
          <w:rFonts w:ascii="Consolas" w:cs="Consolas" w:eastAsia="Consolas" w:hAnsi="Consolas"/>
          <w:b/>
          <w:bCs/>
          <w:color w:val="1F4E79"/>
        </w:rPr>
        <w:t xml:space="preserve">GR##</w:t>
      </w:r>
      <w:r>
        <w:t xml:space="preserve"> → doppelklicken (Schulung 3 a)–e).</w:t>
      </w:r>
    </w:p>
    <w:p>
      <w:pPr>
        <w:pStyle w:val="ListParagraph"/>
        <w:numPr>
          <w:ilvl w:val="0"/>
          <w:numId w:val="37"/>
        </w:numPr>
        <w:spacing w:after="60"/>
      </w:pPr>
      <w:r>
        <w:t xml:space="preserve">Werte: </w:t>
      </w:r>
      <w:r>
        <w:rPr>
          <w:b/>
          <w:bCs/>
        </w:rPr>
        <w:t xml:space="preserve">Company Name</w:t>
      </w:r>
      <w:r>
        <w:t xml:space="preserve"> z. B. „Gruppe ##", </w:t>
      </w:r>
      <w:r>
        <w:rPr>
          <w:b/>
          <w:bCs/>
        </w:rPr>
        <w:t xml:space="preserve">City</w:t>
      </w:r>
      <w:r>
        <w:t xml:space="preserve"> beliebig, </w:t>
      </w:r>
      <w:r>
        <w:rPr>
          <w:b/>
          <w:bCs/>
        </w:rPr>
        <w:t xml:space="preserve">Country</w:t>
      </w:r>
      <w:r>
        <w:t xml:space="preserve"> </w:t>
      </w:r>
      <w:r>
        <w:rPr>
          <w:rFonts w:ascii="Consolas" w:cs="Consolas" w:eastAsia="Consolas" w:hAnsi="Consolas"/>
          <w:b/>
          <w:bCs/>
          <w:color w:val="1F4E79"/>
        </w:rPr>
        <w:t xml:space="preserve">DE</w:t>
      </w:r>
      <w:r>
        <w:t xml:space="preserve">, </w:t>
      </w:r>
      <w:r>
        <w:rPr>
          <w:b/>
          <w:bCs/>
        </w:rPr>
        <w:t xml:space="preserve">Currency</w:t>
      </w:r>
      <w:r>
        <w:t xml:space="preserve"> </w:t>
      </w:r>
      <w:r>
        <w:rPr>
          <w:rFonts w:ascii="Consolas" w:cs="Consolas" w:eastAsia="Consolas" w:hAnsi="Consolas"/>
          <w:b/>
          <w:bCs/>
          <w:color w:val="1F4E79"/>
        </w:rPr>
        <w:t xml:space="preserve">EUR</w:t>
      </w:r>
      <w:r>
        <w:t xml:space="preserve">, </w:t>
      </w:r>
      <w:r>
        <w:rPr>
          <w:b/>
          <w:bCs/>
        </w:rPr>
        <w:t xml:space="preserve">Language</w:t>
      </w:r>
      <w:r>
        <w:t xml:space="preserve"> </w:t>
      </w:r>
      <w:r>
        <w:rPr>
          <w:rFonts w:ascii="Consolas" w:cs="Consolas" w:eastAsia="Consolas" w:hAnsi="Consolas"/>
          <w:b/>
          <w:bCs/>
          <w:color w:val="1F4E79"/>
        </w:rPr>
        <w:t xml:space="preserve">EN</w:t>
      </w:r>
      <w:r>
        <w:t xml:space="preserve"> (Schulung: DE) → </w:t>
      </w:r>
      <w:r>
        <w:rPr>
          <w:b/>
          <w:bCs/>
        </w:rPr>
        <w:t xml:space="preserve">Save</w:t>
      </w:r>
      <w:r>
        <w:t xml:space="preserve"> → „Data was saved" (Schulung f)–g).</w:t>
      </w:r>
    </w:p>
    <w:p>
      <w:pPr>
        <w:pBdr>
          <w:left w:val="single" w:color="2E75B6" w:sz="24" w:space="6"/>
        </w:pBdr>
        <w:shd w:fill="E8F1FB" w:color="auto" w:val="clear"/>
        <w:spacing w:after="120" w:before="120"/>
        <w:ind w:left="120" w:right="120"/>
      </w:pPr>
      <w:r>
        <w:rPr>
          <w:b/>
          <w:bCs/>
          <w:color w:val="2E75B6"/>
        </w:rPr>
        <w:t xml:space="preserve">Hinweis: </w:t>
      </w:r>
      <w:r>
        <w:t xml:space="preserve">Einzige Abweichung zur Schulung: Vorlage </w:t>
      </w:r>
      <w:r>
        <w:rPr>
          <w:b/>
          <w:bCs/>
        </w:rPr>
        <w:t xml:space="preserve">1010</w:t>
      </w:r>
      <w:r>
        <w:t xml:space="preserve"> statt TA00 und Sprache </w:t>
      </w:r>
      <w:r>
        <w:rPr>
          <w:b/>
          <w:bCs/>
        </w:rPr>
        <w:t xml:space="preserve">EN</w:t>
      </w:r>
      <w:r>
        <w:t xml:space="preserve"> statt DE.</w:t>
      </w:r>
    </w:p>
    <w:p>
      <w:pPr>
        <w:pBdr>
          <w:left w:val="single" w:color="7030A0" w:sz="24" w:space="6"/>
        </w:pBdr>
        <w:shd w:fill="F3E8FA" w:color="auto" w:val="clear"/>
        <w:spacing w:after="120" w:before="120"/>
        <w:ind w:left="120" w:right="120"/>
      </w:pPr>
      <w:r>
        <w:rPr>
          <w:b/>
          <w:bCs/>
          <w:color w:val="7030A0"/>
        </w:rPr>
        <w:t xml:space="preserve">Vergleichbare Übung in den Schulungsunterlagen: </w:t>
      </w:r>
      <w:r>
        <w:t xml:space="preserve">Kontrolle nach dem Kopieren: </w:t>
      </w:r>
      <w:r>
        <w:rPr>
          <w:b/>
          <w:bCs/>
        </w:rPr>
        <w:t xml:space="preserve">S4F12</w:t>
      </w:r>
      <w:r>
        <w:t xml:space="preserve">, Übung 5 „Die Grundeinstellungen in der Hauptbuchhaltung prüfen", S. 54–55 (PDF 62–63) – IMG Grundeinstellungen Finanzwesen → Bücher → Ledger → Einstellungen für Ledger und Währungstypen definieren → Ledger markieren → Buchungskreiseinstellungen für das Ledger: GR## ist mit Geschäftsjahresvariante und Buchungsperiodenvariante zugeordnet.</w:t>
      </w:r>
    </w:p>
    <w:p>
      <w:pPr>
        <w:pStyle w:val="Heading2"/>
      </w:pPr>
      <w:r>
        <w:t xml:space="preserve">Schritt 7.2 – Kontengruppe AE## und neues Sachkonto</w:t>
      </w:r>
    </w:p>
    <w:p>
      <w:pPr>
        <w:pBdr>
          <w:left w:val="single" w:color="7F7F7F" w:sz="24" w:space="6"/>
        </w:pBdr>
        <w:shd w:fill="EDEDED" w:color="auto" w:val="clear"/>
        <w:spacing w:after="120" w:before="120"/>
        <w:ind w:left="120" w:right="120"/>
      </w:pPr>
      <w:r>
        <w:rPr>
          <w:b/>
          <w:bCs/>
          <w:color w:val="7F7F7F"/>
        </w:rPr>
        <w:t xml:space="preserve">Aufgabe (Original): </w:t>
      </w:r>
      <w:r>
        <w:t xml:space="preserve">Kontengruppe AE## mit Bereich AE##0000 – AE##9999; neues Sachkonto „non-operating income or expense" in dieser Gruppe.</w:t>
      </w:r>
    </w:p>
    <w:p>
      <w:pPr>
        <w:pBdr>
          <w:left w:val="single" w:color="7030A0" w:sz="24" w:space="6"/>
        </w:pBdr>
        <w:shd w:fill="F3E8FA" w:color="auto" w:val="clear"/>
        <w:spacing w:after="120" w:before="120"/>
        <w:ind w:left="120" w:right="120"/>
      </w:pPr>
      <w:r>
        <w:rPr>
          <w:b/>
          <w:bCs/>
          <w:color w:val="7030A0"/>
        </w:rPr>
        <w:t xml:space="preserve">Vergleichbare Übung in den Schulungsunterlagen: </w:t>
      </w:r>
      <w:r>
        <w:rPr>
          <w:b/>
          <w:bCs/>
        </w:rPr>
        <w:t xml:space="preserve">S4F12</w:t>
      </w:r>
      <w:r>
        <w:t xml:space="preserve">, Übung 7 „Kontengruppen für Sachkonten anlegen und einige neue Sachkonten installieren", S. 117–124 (PDF 125–132) – Schritt 1: Kontengruppe ERG. kopieren als AE## (YCOA, Von/Bis-Konto); Schritt 3–4: Sachkonto AE0001## mit „Sachkontenstammdaten verwalten" anlegen, Buchungskreissegment GR##</w:t>
      </w:r>
    </w:p>
    <w:p>
      <w:pPr>
        <w:pStyle w:val="Heading3"/>
      </w:pPr>
      <w:r>
        <w:t xml:space="preserve">a) Kontengruppe</w:t>
      </w:r>
    </w:p>
    <w:p>
      <w:pPr>
        <w:pBdr>
          <w:left w:val="single" w:color="F0AB00" w:sz="24" w:space="6"/>
        </w:pBdr>
        <w:shd w:fill="FFF4D6" w:color="auto" w:val="clear"/>
        <w:spacing w:after="120" w:before="120"/>
        <w:ind w:left="120" w:right="120"/>
      </w:pPr>
      <w:r>
        <w:rPr>
          <w:b/>
          <w:bCs/>
          <w:color w:val="F0AB00"/>
        </w:rPr>
        <w:t xml:space="preserve">Transaktion / App: </w:t>
      </w:r>
      <w:r>
        <w:t xml:space="preserve">IMG: Financial Accounting → General Ledger Accounting → Master Data → G/L Accounts → Preparations → Define Account Group (Schulung: … → Stammdaten → Sachkonten → Vorarbeiten → Kontengruppe definieren; Transaktion </w:t>
      </w:r>
      <w:r>
        <w:rPr>
          <w:rFonts w:ascii="Consolas" w:cs="Consolas" w:eastAsia="Consolas" w:hAnsi="Consolas"/>
          <w:b/>
          <w:bCs/>
          <w:color w:val="1F4E79"/>
        </w:rPr>
        <w:t xml:space="preserve">OBD4</w:t>
      </w:r>
      <w:r>
        <w:t xml:space="preserve">).</w:t>
      </w:r>
    </w:p>
    <w:p>
      <w:pPr>
        <w:pStyle w:val="ListParagraph"/>
        <w:numPr>
          <w:ilvl w:val="0"/>
          <w:numId w:val="38"/>
        </w:numPr>
        <w:spacing w:after="60"/>
      </w:pPr>
      <w:r>
        <w:t xml:space="preserve">IMG-Aktivität öffnen → zum Kontenplan </w:t>
      </w:r>
      <w:r>
        <w:rPr>
          <w:b/>
          <w:bCs/>
        </w:rPr>
        <w:t xml:space="preserve">YCOA</w:t>
      </w:r>
      <w:r>
        <w:t xml:space="preserve"> blättern (Position…) (Schulung 1 a)–b).</w:t>
      </w:r>
    </w:p>
    <w:p>
      <w:pPr>
        <w:pStyle w:val="ListParagraph"/>
        <w:numPr>
          <w:ilvl w:val="0"/>
          <w:numId w:val="38"/>
        </w:numPr>
        <w:spacing w:after="60"/>
      </w:pPr>
      <w:r>
        <w:t xml:space="preserve">Kontengruppe </w:t>
      </w:r>
      <w:r>
        <w:rPr>
          <w:b/>
          <w:bCs/>
        </w:rPr>
        <w:t xml:space="preserve">ERG.</w:t>
      </w:r>
      <w:r>
        <w:t xml:space="preserve"> (Erfolgskonten) markieren → </w:t>
      </w:r>
      <w:r>
        <w:rPr>
          <w:b/>
          <w:bCs/>
        </w:rPr>
        <w:t xml:space="preserve">Copy As…</w:t>
      </w:r>
      <w:r>
        <w:t xml:space="preserve"> (Schulung c)–d).</w:t>
      </w:r>
    </w:p>
    <w:p>
      <w:pPr>
        <w:pStyle w:val="ListParagraph"/>
        <w:numPr>
          <w:ilvl w:val="0"/>
          <w:numId w:val="38"/>
        </w:numPr>
        <w:spacing w:after="60"/>
      </w:pPr>
      <w:r>
        <w:t xml:space="preserve">Überschreiben: </w:t>
      </w:r>
      <w:r>
        <w:rPr>
          <w:b/>
          <w:bCs/>
        </w:rPr>
        <w:t xml:space="preserve">Chart of Accounts</w:t>
      </w:r>
      <w:r>
        <w:t xml:space="preserve"> </w:t>
      </w:r>
      <w:r>
        <w:rPr>
          <w:rFonts w:ascii="Consolas" w:cs="Consolas" w:eastAsia="Consolas" w:hAnsi="Consolas"/>
          <w:b/>
          <w:bCs/>
          <w:color w:val="1F4E79"/>
        </w:rPr>
        <w:t xml:space="preserve">YCOA</w:t>
      </w:r>
      <w:r>
        <w:t xml:space="preserve">, </w:t>
      </w:r>
      <w:r>
        <w:rPr>
          <w:b/>
          <w:bCs/>
        </w:rPr>
        <w:t xml:space="preserve">Account Group</w:t>
      </w:r>
      <w:r>
        <w:t xml:space="preserve"> </w:t>
      </w:r>
      <w:r>
        <w:rPr>
          <w:rFonts w:ascii="Consolas" w:cs="Consolas" w:eastAsia="Consolas" w:hAnsi="Consolas"/>
          <w:b/>
          <w:bCs/>
          <w:color w:val="1F4E79"/>
        </w:rPr>
        <w:t xml:space="preserve">AE##</w:t>
      </w:r>
      <w:r>
        <w:t xml:space="preserve">, </w:t>
      </w:r>
      <w:r>
        <w:rPr>
          <w:b/>
          <w:bCs/>
        </w:rPr>
        <w:t xml:space="preserve">Name</w:t>
      </w:r>
      <w:r>
        <w:t xml:space="preserve"> z. B. „Non-operating Inc/Exp ##", </w:t>
      </w:r>
      <w:r>
        <w:rPr>
          <w:b/>
          <w:bCs/>
        </w:rPr>
        <w:t xml:space="preserve">From Acct</w:t>
      </w:r>
      <w:r>
        <w:t xml:space="preserve"> </w:t>
      </w:r>
      <w:r>
        <w:rPr>
          <w:rFonts w:ascii="Consolas" w:cs="Consolas" w:eastAsia="Consolas" w:hAnsi="Consolas"/>
          <w:b/>
          <w:bCs/>
          <w:color w:val="1F4E79"/>
        </w:rPr>
        <w:t xml:space="preserve">AE##0000</w:t>
      </w:r>
      <w:r>
        <w:t xml:space="preserve">, </w:t>
      </w:r>
      <w:r>
        <w:rPr>
          <w:b/>
          <w:bCs/>
        </w:rPr>
        <w:t xml:space="preserve">To Account</w:t>
      </w:r>
      <w:r>
        <w:t xml:space="preserve"> </w:t>
      </w:r>
      <w:r>
        <w:rPr>
          <w:rFonts w:ascii="Consolas" w:cs="Consolas" w:eastAsia="Consolas" w:hAnsi="Consolas"/>
          <w:b/>
          <w:bCs/>
          <w:color w:val="1F4E79"/>
        </w:rPr>
        <w:t xml:space="preserve">AE##9999</w:t>
      </w:r>
      <w:r>
        <w:t xml:space="preserve"> → Enter → </w:t>
      </w:r>
      <w:r>
        <w:rPr>
          <w:b/>
          <w:bCs/>
        </w:rPr>
        <w:t xml:space="preserve">Save</w:t>
      </w:r>
      <w:r>
        <w:t xml:space="preserve"> (Schulung e)–g).</w:t>
      </w:r>
    </w:p>
    <w:p>
      <w:pPr>
        <w:pStyle w:val="Heading3"/>
      </w:pPr>
      <w:r>
        <w:t xml:space="preserve">b) Sachkonto</w:t>
      </w:r>
    </w:p>
    <w:p>
      <w:pPr>
        <w:pBdr>
          <w:left w:val="single" w:color="F0AB00" w:sz="24" w:space="6"/>
        </w:pBdr>
        <w:shd w:fill="FFF4D6" w:color="auto" w:val="clear"/>
        <w:spacing w:after="120" w:before="120"/>
        <w:ind w:left="120" w:right="120"/>
      </w:pPr>
      <w:r>
        <w:rPr>
          <w:b/>
          <w:bCs/>
          <w:color w:val="F0AB00"/>
        </w:rPr>
        <w:t xml:space="preserve">Transaktion / App: </w:t>
      </w:r>
      <w:r>
        <w:t xml:space="preserve">Fiori-App </w:t>
      </w:r>
      <w:r>
        <w:rPr>
          <w:b/>
          <w:bCs/>
        </w:rPr>
        <w:t xml:space="preserve">Manage G/L Account Master Data</w:t>
      </w:r>
      <w:r>
        <w:t xml:space="preserve"> (Sachkontenstammdaten verwalten), Kachelgruppe Hauptbuch (alternativ </w:t>
      </w:r>
      <w:r>
        <w:rPr>
          <w:rFonts w:ascii="Consolas" w:cs="Consolas" w:eastAsia="Consolas" w:hAnsi="Consolas"/>
          <w:b/>
          <w:bCs/>
          <w:color w:val="1F4E79"/>
        </w:rPr>
        <w:t xml:space="preserve">FS00</w:t>
      </w:r>
      <w:r>
        <w:t xml:space="preserve">).</w:t>
      </w:r>
    </w:p>
    <w:p>
      <w:pPr>
        <w:pStyle w:val="ListParagraph"/>
        <w:numPr>
          <w:ilvl w:val="0"/>
          <w:numId w:val="39"/>
        </w:numPr>
        <w:spacing w:after="60"/>
      </w:pPr>
      <w:r>
        <w:t xml:space="preserve">App öffnen → </w:t>
      </w:r>
      <w:r>
        <w:rPr>
          <w:b/>
          <w:bCs/>
        </w:rPr>
        <w:t xml:space="preserve">Create</w:t>
      </w:r>
      <w:r>
        <w:t xml:space="preserve"> (Schulung 3 a)–b).</w:t>
      </w:r>
    </w:p>
    <w:p>
      <w:pPr>
        <w:pStyle w:val="ListParagraph"/>
        <w:numPr>
          <w:ilvl w:val="0"/>
          <w:numId w:val="39"/>
        </w:numPr>
        <w:spacing w:after="60"/>
      </w:pPr>
      <w:r>
        <w:t xml:space="preserve">Kopfdaten/Allgemein (Schulung S. 119–120):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438"/>
      </w:tblGrid>
      <w:tr>
        <w:trPr>
          <w:tblHeader/>
        </w:trPr>
        <w:tc>
          <w:tcPr>
            <w:tcW w:type="dxa" w:w="2600"/>
            <w:tcBorders>
              <w:top w:val="single" w:color="A6A6A6" w:sz="4"/>
              <w:left w:val="single" w:color="A6A6A6" w:sz="4"/>
              <w:bottom w:val="single" w:color="A6A6A6" w:sz="4"/>
              <w:right w:val="single" w:color="A6A6A6" w:sz="4"/>
            </w:tcBorders>
            <w:shd w:fill="F0AB00" w:color="auto" w:val="clear"/>
            <w:tcMar>
              <w:top w:type="dxa" w:w="60"/>
              <w:left w:type="dxa" w:w="100"/>
              <w:bottom w:type="dxa" w:w="60"/>
              <w:right w:type="dxa" w:w="100"/>
            </w:tcMar>
          </w:tcPr>
          <w:p>
            <w:r>
              <w:rPr>
                <w:b/>
                <w:bCs/>
              </w:rPr>
              <w:t xml:space="preserve">Feld (EN / DE)</w:t>
            </w:r>
          </w:p>
        </w:tc>
        <w:tc>
          <w:tcPr>
            <w:tcW w:type="dxa" w:w="3600"/>
            <w:tcBorders>
              <w:top w:val="single" w:color="A6A6A6" w:sz="4"/>
              <w:left w:val="single" w:color="A6A6A6" w:sz="4"/>
              <w:bottom w:val="single" w:color="A6A6A6" w:sz="4"/>
              <w:right w:val="single" w:color="A6A6A6" w:sz="4"/>
            </w:tcBorders>
            <w:shd w:fill="F0AB00" w:color="auto" w:val="clear"/>
            <w:tcMar>
              <w:top w:type="dxa" w:w="60"/>
              <w:left w:type="dxa" w:w="100"/>
              <w:bottom w:type="dxa" w:w="60"/>
              <w:right w:type="dxa" w:w="100"/>
            </w:tcMar>
          </w:tcPr>
          <w:p>
            <w:r>
              <w:rPr>
                <w:b/>
                <w:bCs/>
              </w:rPr>
              <w:t xml:space="preserve">Wert Prüfung</w:t>
            </w:r>
          </w:p>
        </w:tc>
        <w:tc>
          <w:tcPr>
            <w:tcW w:type="dxa" w:w="3438"/>
            <w:tcBorders>
              <w:top w:val="single" w:color="A6A6A6" w:sz="4"/>
              <w:left w:val="single" w:color="A6A6A6" w:sz="4"/>
              <w:bottom w:val="single" w:color="A6A6A6" w:sz="4"/>
              <w:right w:val="single" w:color="A6A6A6" w:sz="4"/>
            </w:tcBorders>
            <w:shd w:fill="F0AB00" w:color="auto" w:val="clear"/>
            <w:tcMar>
              <w:top w:type="dxa" w:w="60"/>
              <w:left w:type="dxa" w:w="100"/>
              <w:bottom w:type="dxa" w:w="60"/>
              <w:right w:type="dxa" w:w="100"/>
            </w:tcMar>
          </w:tcPr>
          <w:p>
            <w:r>
              <w:rPr>
                <w:b/>
                <w:bCs/>
              </w:rPr>
              <w:t xml:space="preserve">Wert in der Schulung</w:t>
            </w:r>
          </w:p>
        </w:tc>
      </w:tr>
      <w:tr>
        <w:trPr>
          <w:tblHeader w:val="false"/>
        </w:trPr>
        <w:tc>
          <w:tcPr>
            <w:tcW w:type="dxa" w:w="2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t xml:space="preserve">G/L Account (Sachkonto)</w:t>
            </w:r>
          </w:p>
        </w:tc>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z. B. </w:t>
            </w:r>
            <w:r>
              <w:rPr>
                <w:rFonts w:ascii="Consolas" w:cs="Consolas" w:eastAsia="Consolas" w:hAnsi="Consolas"/>
                <w:b/>
                <w:bCs/>
                <w:color w:val="1F4E79"/>
              </w:rPr>
              <w:t xml:space="preserve">AE##0001</w:t>
            </w:r>
          </w:p>
        </w:tc>
        <w:tc>
          <w:tcPr>
            <w:tcW w:type="dxa" w:w="3438"/>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AE0001##</w:t>
            </w:r>
          </w:p>
        </w:tc>
      </w:tr>
      <w:tr>
        <w:trPr>
          <w:tblHeader w:val="false"/>
        </w:trPr>
        <w:tc>
          <w:tcPr>
            <w:tcW w:type="dxa" w:w="2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t xml:space="preserve">Chart of Accounts (Kontenplan)</w:t>
            </w:r>
          </w:p>
        </w:tc>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onsolas" w:cs="Consolas" w:eastAsia="Consolas" w:hAnsi="Consolas"/>
                <w:b/>
                <w:bCs/>
                <w:color w:val="1F4E79"/>
              </w:rPr>
              <w:t xml:space="preserve">YCOA</w:t>
            </w:r>
          </w:p>
        </w:tc>
        <w:tc>
          <w:tcPr>
            <w:tcW w:type="dxa" w:w="3438"/>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YCOA</w:t>
            </w:r>
          </w:p>
        </w:tc>
      </w:tr>
      <w:tr>
        <w:trPr>
          <w:tblHeader w:val="false"/>
        </w:trPr>
        <w:tc>
          <w:tcPr>
            <w:tcW w:type="dxa" w:w="2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t xml:space="preserve">G/L Account Type (Sachkontoart)</w:t>
            </w:r>
          </w:p>
        </w:tc>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bCs/>
              </w:rPr>
              <w:t xml:space="preserve">Nonoperating Expense or Income</w:t>
            </w:r>
            <w:r>
              <w:t xml:space="preserve"> (Nicht betriebliche Aufwendungen und Erträge)</w:t>
            </w:r>
          </w:p>
        </w:tc>
        <w:tc>
          <w:tcPr>
            <w:tcW w:type="dxa" w:w="3438"/>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Primärkosten oder Erlöse</w:t>
            </w:r>
          </w:p>
        </w:tc>
      </w:tr>
      <w:tr>
        <w:trPr>
          <w:tblHeader w:val="false"/>
        </w:trPr>
        <w:tc>
          <w:tcPr>
            <w:tcW w:type="dxa" w:w="2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t xml:space="preserve">P&amp;L Statement Acct Type (Erfolgskontentyp)</w:t>
            </w:r>
          </w:p>
        </w:tc>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onsolas" w:cs="Consolas" w:eastAsia="Consolas" w:hAnsi="Consolas"/>
                <w:b/>
                <w:bCs/>
                <w:color w:val="1F4E79"/>
              </w:rPr>
              <w:t xml:space="preserve">X</w:t>
            </w:r>
            <w:r>
              <w:t xml:space="preserve"> (Ergebnisvortrag)</w:t>
            </w:r>
          </w:p>
        </w:tc>
        <w:tc>
          <w:tcPr>
            <w:tcW w:type="dxa" w:w="3438"/>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X (bei AE0002##)</w:t>
            </w:r>
          </w:p>
        </w:tc>
      </w:tr>
      <w:tr>
        <w:trPr>
          <w:tblHeader w:val="false"/>
        </w:trPr>
        <w:tc>
          <w:tcPr>
            <w:tcW w:type="dxa" w:w="2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t xml:space="preserve">Account Group (Kontengruppe)</w:t>
            </w:r>
          </w:p>
        </w:tc>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onsolas" w:cs="Consolas" w:eastAsia="Consolas" w:hAnsi="Consolas"/>
                <w:b/>
                <w:bCs/>
                <w:color w:val="1F4E79"/>
              </w:rPr>
              <w:t xml:space="preserve">AE##</w:t>
            </w:r>
          </w:p>
        </w:tc>
        <w:tc>
          <w:tcPr>
            <w:tcW w:type="dxa" w:w="3438"/>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AE##</w:t>
            </w:r>
          </w:p>
        </w:tc>
      </w:tr>
      <w:tr>
        <w:trPr>
          <w:tblHeader w:val="false"/>
        </w:trPr>
        <w:tc>
          <w:tcPr>
            <w:tcW w:type="dxa" w:w="2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t xml:space="preserve">Short Text / Long Text</w:t>
            </w:r>
          </w:p>
        </w:tc>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z. B. „Non-oper. Inc/Exp ##"</w:t>
            </w:r>
          </w:p>
        </w:tc>
        <w:tc>
          <w:tcPr>
            <w:tcW w:type="dxa" w:w="3438"/>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Unterhaltung ## / Unterhaltungskosten ##</w:t>
            </w:r>
          </w:p>
        </w:tc>
      </w:tr>
    </w:tbl>
    <w:p>
      <w:pPr>
        <w:spacing w:after="60"/>
      </w:pPr>
    </w:p>
    <w:p>
      <w:pPr>
        <w:pStyle w:val="ListParagraph"/>
        <w:numPr>
          <w:ilvl w:val="0"/>
          <w:numId w:val="40"/>
        </w:numPr>
        <w:spacing w:after="60"/>
      </w:pPr>
      <w:r>
        <w:rPr>
          <w:b/>
          <w:bCs/>
        </w:rPr>
        <w:t xml:space="preserve">Save</w:t>
      </w:r>
      <w:r>
        <w:t xml:space="preserve"> → „Account saved successfully" (Schulung e).</w:t>
      </w:r>
    </w:p>
    <w:p>
      <w:pPr>
        <w:pStyle w:val="ListParagraph"/>
        <w:numPr>
          <w:ilvl w:val="0"/>
          <w:numId w:val="40"/>
        </w:numPr>
        <w:spacing w:after="60"/>
      </w:pPr>
      <w:r>
        <w:rPr>
          <w:b/>
          <w:bCs/>
        </w:rPr>
        <w:t xml:space="preserve">Edit</w:t>
      </w:r>
      <w:r>
        <w:t xml:space="preserve"> → </w:t>
      </w:r>
      <w:r>
        <w:rPr>
          <w:b/>
          <w:bCs/>
        </w:rPr>
        <w:t xml:space="preserve">Company Code Data</w:t>
      </w:r>
      <w:r>
        <w:t xml:space="preserve"> → </w:t>
      </w:r>
      <w:r>
        <w:rPr>
          <w:b/>
          <w:bCs/>
        </w:rPr>
        <w:t xml:space="preserve">Create</w:t>
      </w:r>
      <w:r>
        <w:t xml:space="preserve"> → </w:t>
      </w:r>
      <w:r>
        <w:rPr>
          <w:b/>
          <w:bCs/>
        </w:rPr>
        <w:t xml:space="preserve">New Company Code Assignment</w:t>
      </w:r>
      <w:r>
        <w:t xml:space="preserve"> </w:t>
      </w:r>
      <w:r>
        <w:rPr>
          <w:rFonts w:ascii="Consolas" w:cs="Consolas" w:eastAsia="Consolas" w:hAnsi="Consolas"/>
          <w:b/>
          <w:bCs/>
          <w:color w:val="1F4E79"/>
        </w:rPr>
        <w:t xml:space="preserve">GR##</w:t>
      </w:r>
      <w:r>
        <w:t xml:space="preserve"> (Schulung 4 a)–d).</w:t>
      </w:r>
    </w:p>
    <w:p>
      <w:pPr>
        <w:pStyle w:val="ListParagraph"/>
        <w:numPr>
          <w:ilvl w:val="0"/>
          <w:numId w:val="40"/>
        </w:numPr>
        <w:spacing w:after="60"/>
      </w:pPr>
      <w:r>
        <w:t xml:space="preserve">Steuerungsdaten: </w:t>
      </w:r>
      <w:r>
        <w:rPr>
          <w:b/>
          <w:bCs/>
        </w:rPr>
        <w:t xml:space="preserve">Account Currency</w:t>
      </w:r>
      <w:r>
        <w:t xml:space="preserve"> </w:t>
      </w:r>
      <w:r>
        <w:rPr>
          <w:rFonts w:ascii="Consolas" w:cs="Consolas" w:eastAsia="Consolas" w:hAnsi="Consolas"/>
          <w:b/>
          <w:bCs/>
          <w:color w:val="1F4E79"/>
        </w:rPr>
        <w:t xml:space="preserve">EUR</w:t>
      </w:r>
      <w:r>
        <w:t xml:space="preserve">; </w:t>
      </w:r>
      <w:r>
        <w:rPr>
          <w:b/>
          <w:bCs/>
        </w:rPr>
        <w:t xml:space="preserve">Posting without tax allowed</w:t>
      </w:r>
      <w:r>
        <w:t xml:space="preserve"> markieren (Schulung: Steuerkategorie „–"); </w:t>
      </w:r>
      <w:r>
        <w:rPr>
          <w:b/>
          <w:bCs/>
        </w:rPr>
        <w:t xml:space="preserve">Sort Key</w:t>
      </w:r>
      <w:r>
        <w:t xml:space="preserve"> z. B. </w:t>
      </w:r>
      <w:r>
        <w:rPr>
          <w:rFonts w:ascii="Consolas" w:cs="Consolas" w:eastAsia="Consolas" w:hAnsi="Consolas"/>
          <w:b/>
          <w:bCs/>
          <w:color w:val="1F4E79"/>
        </w:rPr>
        <w:t xml:space="preserve">001</w:t>
      </w:r>
      <w:r>
        <w:t xml:space="preserve">/</w:t>
      </w:r>
      <w:r>
        <w:rPr>
          <w:rFonts w:ascii="Consolas" w:cs="Consolas" w:eastAsia="Consolas" w:hAnsi="Consolas"/>
          <w:b/>
          <w:bCs/>
          <w:color w:val="1F4E79"/>
        </w:rPr>
        <w:t xml:space="preserve">003</w:t>
      </w:r>
      <w:r>
        <w:t xml:space="preserve">; </w:t>
      </w:r>
      <w:r>
        <w:rPr>
          <w:b/>
          <w:bCs/>
        </w:rPr>
        <w:t xml:space="preserve">Field Status Group</w:t>
      </w:r>
      <w:r>
        <w:t xml:space="preserve"> z. B. </w:t>
      </w:r>
      <w:r>
        <w:rPr>
          <w:rFonts w:ascii="Consolas" w:cs="Consolas" w:eastAsia="Consolas" w:hAnsi="Consolas"/>
          <w:b/>
          <w:bCs/>
          <w:color w:val="1F4E79"/>
        </w:rPr>
        <w:t xml:space="preserve">YB01</w:t>
      </w:r>
      <w:r>
        <w:t xml:space="preserve">/</w:t>
      </w:r>
      <w:r>
        <w:rPr>
          <w:rFonts w:ascii="Consolas" w:cs="Consolas" w:eastAsia="Consolas" w:hAnsi="Consolas"/>
          <w:b/>
          <w:bCs/>
          <w:color w:val="1F4E79"/>
        </w:rPr>
        <w:t xml:space="preserve">YB03</w:t>
      </w:r>
      <w:r>
        <w:t xml:space="preserve"> (Schulung e) → </w:t>
      </w:r>
      <w:r>
        <w:rPr>
          <w:b/>
          <w:bCs/>
        </w:rPr>
        <w:t xml:space="preserve">OK</w:t>
      </w:r>
      <w:r>
        <w:t xml:space="preserve"> → </w:t>
      </w:r>
      <w:r>
        <w:rPr>
          <w:b/>
          <w:bCs/>
        </w:rPr>
        <w:t xml:space="preserve">Save</w:t>
      </w:r>
      <w:r>
        <w:t xml:space="preserve"> (Schulung f, i).</w:t>
      </w:r>
    </w:p>
    <w:p>
      <w:pPr>
        <w:pBdr>
          <w:left w:val="single" w:color="7030A0" w:sz="24" w:space="6"/>
        </w:pBdr>
        <w:shd w:fill="F3E8FA" w:color="auto" w:val="clear"/>
        <w:spacing w:after="120" w:before="120"/>
        <w:ind w:left="120" w:right="120"/>
      </w:pPr>
      <w:r>
        <w:rPr>
          <w:b/>
          <w:bCs/>
          <w:color w:val="7030A0"/>
        </w:rPr>
        <w:t xml:space="preserve">Vergleichbare Übung in den Schulungsunterlagen: </w:t>
      </w:r>
      <w:r>
        <w:t xml:space="preserve">Definition der Sachkontoart: </w:t>
      </w:r>
      <w:r>
        <w:rPr>
          <w:b/>
          <w:bCs/>
        </w:rPr>
        <w:t xml:space="preserve">S4F12</w:t>
      </w:r>
      <w:r>
        <w:t xml:space="preserve">, S. 107 (PDF 115): „Nicht betriebliche Aufwendungen und Erträge – Erfolgskonto, das den Aufwand oder Ertrag von Aktivitäten erfasst, die nicht zum Hauptzweck des Unternehmens gehören"; ebenso </w:t>
      </w:r>
      <w:r>
        <w:rPr>
          <w:b/>
          <w:bCs/>
        </w:rPr>
        <w:t xml:space="preserve">S4F10</w:t>
      </w:r>
      <w:r>
        <w:t xml:space="preserve">, S. 51 (PDF 61). Erfolgskontentyp X: S4F12 Lösung 7, Schritt 5, S. 122.</w:t>
      </w:r>
    </w:p>
    <w:p>
      <w:pPr>
        <w:pBdr>
          <w:left w:val="single" w:color="2E75B6" w:sz="24" w:space="6"/>
        </w:pBdr>
        <w:shd w:fill="E8F1FB" w:color="auto" w:val="clear"/>
        <w:spacing w:after="120" w:before="120"/>
        <w:ind w:left="120" w:right="120"/>
      </w:pPr>
      <w:r>
        <w:rPr>
          <w:b/>
          <w:bCs/>
          <w:color w:val="2E75B6"/>
        </w:rPr>
        <w:t xml:space="preserve">Hinweis: </w:t>
      </w:r>
      <w:r>
        <w:t xml:space="preserve">Bei Sachkontoart „Nonoperating Expense or Income" entfallen die Controlling-Daten (Kostenartentyp), die die Schulung für „Primärkosten oder Erlöse" pflegt (S4F12 S. 121 g)–h).</w:t>
      </w:r>
    </w:p>
    <w:p>
      <w:pPr>
        <w:pStyle w:val="Heading2"/>
      </w:pPr>
      <w:r>
        <w:t xml:space="preserve">Schritt 7.3 – Testbuchung in GR##</w:t>
      </w:r>
    </w:p>
    <w:p>
      <w:pPr>
        <w:pBdr>
          <w:left w:val="single" w:color="7F7F7F" w:sz="24" w:space="6"/>
        </w:pBdr>
        <w:shd w:fill="EDEDED" w:color="auto" w:val="clear"/>
        <w:spacing w:after="120" w:before="120"/>
        <w:ind w:left="120" w:right="120"/>
      </w:pPr>
      <w:r>
        <w:rPr>
          <w:b/>
          <w:bCs/>
          <w:color w:val="7F7F7F"/>
        </w:rPr>
        <w:t xml:space="preserve">Aufgabe (Original): </w:t>
      </w:r>
      <w:r>
        <w:t xml:space="preserve">Hauptbuchbeleg in GR## mit dem neuen Konto gegen 10010000 (Petty Cash), Beleg- und Buchungsdatum heute, Betrag frei.</w:t>
      </w:r>
    </w:p>
    <w:p>
      <w:pPr>
        <w:pBdr>
          <w:left w:val="single" w:color="7030A0" w:sz="24" w:space="6"/>
        </w:pBdr>
        <w:shd w:fill="F3E8FA" w:color="auto" w:val="clear"/>
        <w:spacing w:after="120" w:before="120"/>
        <w:ind w:left="120" w:right="120"/>
      </w:pPr>
      <w:r>
        <w:rPr>
          <w:b/>
          <w:bCs/>
          <w:color w:val="7030A0"/>
        </w:rPr>
        <w:t xml:space="preserve">Vergleichbare Übung in den Schulungsunterlagen: </w:t>
      </w:r>
      <w:r>
        <w:rPr>
          <w:b/>
          <w:bCs/>
        </w:rPr>
        <w:t xml:space="preserve">S4F12</w:t>
      </w:r>
      <w:r>
        <w:t xml:space="preserve">, Übung 17 „FI-Belege buchen", S. 257–258 (PDF 265–266) – Schritt 1: „Hauptbuchbelege buchen", Kopfdaten, Sachkonto 10010000 (Handkasse), Simulieren, Buchen</w:t>
      </w:r>
    </w:p>
    <w:p>
      <w:pPr>
        <w:pBdr>
          <w:left w:val="single" w:color="F0AB00" w:sz="24" w:space="6"/>
        </w:pBdr>
        <w:shd w:fill="FFF4D6" w:color="auto" w:val="clear"/>
        <w:spacing w:after="120" w:before="120"/>
        <w:ind w:left="120" w:right="120"/>
      </w:pPr>
      <w:r>
        <w:rPr>
          <w:b/>
          <w:bCs/>
          <w:color w:val="F0AB00"/>
        </w:rPr>
        <w:t xml:space="preserve">Transaktion / App: </w:t>
      </w:r>
      <w:r>
        <w:t xml:space="preserve">Fiori-App </w:t>
      </w:r>
      <w:r>
        <w:rPr>
          <w:b/>
          <w:bCs/>
        </w:rPr>
        <w:t xml:space="preserve">Post General Journal Entries</w:t>
      </w:r>
      <w:r>
        <w:t xml:space="preserve"> (Hauptbuchbelege buchen), Kachelgruppe Hauptbuch – entspricht </w:t>
      </w:r>
      <w:r>
        <w:rPr>
          <w:rFonts w:ascii="Consolas" w:cs="Consolas" w:eastAsia="Consolas" w:hAnsi="Consolas"/>
          <w:b/>
          <w:bCs/>
          <w:color w:val="1F4E79"/>
        </w:rPr>
        <w:t xml:space="preserve">FB50</w:t>
      </w:r>
      <w:r>
        <w:t xml:space="preserve">.</w:t>
      </w:r>
    </w:p>
    <w:p>
      <w:pPr>
        <w:pStyle w:val="ListParagraph"/>
        <w:numPr>
          <w:ilvl w:val="0"/>
          <w:numId w:val="41"/>
        </w:numPr>
        <w:spacing w:after="60"/>
      </w:pPr>
      <w:r>
        <w:t xml:space="preserve">App öffnen. Kopf: </w:t>
      </w:r>
      <w:r>
        <w:rPr>
          <w:b/>
          <w:bCs/>
        </w:rPr>
        <w:t xml:space="preserve">Journal Entry Date</w:t>
      </w:r>
      <w:r>
        <w:t xml:space="preserve"> (Buchungsbelegdatum) heute, </w:t>
      </w:r>
      <w:r>
        <w:rPr>
          <w:b/>
          <w:bCs/>
        </w:rPr>
        <w:t xml:space="preserve">Posting Date</w:t>
      </w:r>
      <w:r>
        <w:t xml:space="preserve"> (Offen am Stichtag) heute, </w:t>
      </w:r>
      <w:r>
        <w:rPr>
          <w:b/>
          <w:bCs/>
        </w:rPr>
        <w:t xml:space="preserve">Journal Entry Type</w:t>
      </w:r>
      <w:r>
        <w:t xml:space="preserve"> </w:t>
      </w:r>
      <w:r>
        <w:rPr>
          <w:rFonts w:ascii="Consolas" w:cs="Consolas" w:eastAsia="Consolas" w:hAnsi="Consolas"/>
          <w:b/>
          <w:bCs/>
          <w:color w:val="1F4E79"/>
        </w:rPr>
        <w:t xml:space="preserve">SA</w:t>
      </w:r>
      <w:r>
        <w:t xml:space="preserve">, </w:t>
      </w:r>
      <w:r>
        <w:rPr>
          <w:b/>
          <w:bCs/>
        </w:rPr>
        <w:t xml:space="preserve">Company Code</w:t>
      </w:r>
      <w:r>
        <w:t xml:space="preserve"> </w:t>
      </w:r>
      <w:r>
        <w:rPr>
          <w:rFonts w:ascii="Consolas" w:cs="Consolas" w:eastAsia="Consolas" w:hAnsi="Consolas"/>
          <w:b/>
          <w:bCs/>
          <w:color w:val="1F4E79"/>
        </w:rPr>
        <w:t xml:space="preserve">GR##</w:t>
      </w:r>
      <w:r>
        <w:t xml:space="preserve">, </w:t>
      </w:r>
      <w:r>
        <w:rPr>
          <w:b/>
          <w:bCs/>
        </w:rPr>
        <w:t xml:space="preserve">Transaction Currency</w:t>
      </w:r>
      <w:r>
        <w:t xml:space="preserve"> </w:t>
      </w:r>
      <w:r>
        <w:rPr>
          <w:rFonts w:ascii="Consolas" w:cs="Consolas" w:eastAsia="Consolas" w:hAnsi="Consolas"/>
          <w:b/>
          <w:bCs/>
          <w:color w:val="1F4E79"/>
        </w:rPr>
        <w:t xml:space="preserve">EUR</w:t>
      </w:r>
      <w:r>
        <w:t xml:space="preserve"> (Schulung e).</w:t>
      </w:r>
    </w:p>
    <w:p>
      <w:pPr>
        <w:pStyle w:val="ListParagraph"/>
        <w:numPr>
          <w:ilvl w:val="0"/>
          <w:numId w:val="41"/>
        </w:numPr>
        <w:spacing w:after="60"/>
      </w:pPr>
      <w:r>
        <w:t xml:space="preserve">Zeile 1: </w:t>
      </w:r>
      <w:r>
        <w:rPr>
          <w:b/>
          <w:bCs/>
        </w:rPr>
        <w:t xml:space="preserve">G/L Account</w:t>
      </w:r>
      <w:r>
        <w:t xml:space="preserve"> </w:t>
      </w:r>
      <w:r>
        <w:rPr>
          <w:rFonts w:ascii="Consolas" w:cs="Consolas" w:eastAsia="Consolas" w:hAnsi="Consolas"/>
          <w:b/>
          <w:bCs/>
          <w:color w:val="1F4E79"/>
        </w:rPr>
        <w:t xml:space="preserve">AE##0001</w:t>
      </w:r>
      <w:r>
        <w:t xml:space="preserve">, </w:t>
      </w:r>
      <w:r>
        <w:rPr>
          <w:b/>
          <w:bCs/>
        </w:rPr>
        <w:t xml:space="preserve">Debit</w:t>
      </w:r>
      <w:r>
        <w:t xml:space="preserve"> z. B. </w:t>
      </w:r>
      <w:r>
        <w:rPr>
          <w:rFonts w:ascii="Consolas" w:cs="Consolas" w:eastAsia="Consolas" w:hAnsi="Consolas"/>
          <w:b/>
          <w:bCs/>
          <w:color w:val="1F4E79"/>
        </w:rPr>
        <w:t xml:space="preserve">100</w:t>
      </w:r>
      <w:r>
        <w:t xml:space="preserve"> (Schulung f).</w:t>
      </w:r>
    </w:p>
    <w:p>
      <w:pPr>
        <w:pStyle w:val="ListParagraph"/>
        <w:numPr>
          <w:ilvl w:val="0"/>
          <w:numId w:val="41"/>
        </w:numPr>
        <w:spacing w:after="60"/>
      </w:pPr>
      <w:r>
        <w:t xml:space="preserve">Zeile 2: </w:t>
      </w:r>
      <w:r>
        <w:rPr>
          <w:b/>
          <w:bCs/>
        </w:rPr>
        <w:t xml:space="preserve">G/L Account</w:t>
      </w:r>
      <w:r>
        <w:t xml:space="preserve"> </w:t>
      </w:r>
      <w:r>
        <w:rPr>
          <w:rFonts w:ascii="Consolas" w:cs="Consolas" w:eastAsia="Consolas" w:hAnsi="Consolas"/>
          <w:b/>
          <w:bCs/>
          <w:color w:val="1F4E79"/>
        </w:rPr>
        <w:t xml:space="preserve">10010000</w:t>
      </w:r>
      <w:r>
        <w:t xml:space="preserve"> (Petty Cash/Handkasse), </w:t>
      </w:r>
      <w:r>
        <w:rPr>
          <w:b/>
          <w:bCs/>
        </w:rPr>
        <w:t xml:space="preserve">Credit</w:t>
      </w:r>
      <w:r>
        <w:t xml:space="preserve"> </w:t>
      </w:r>
      <w:r>
        <w:rPr>
          <w:rFonts w:ascii="Consolas" w:cs="Consolas" w:eastAsia="Consolas" w:hAnsi="Consolas"/>
          <w:b/>
          <w:bCs/>
          <w:color w:val="1F4E79"/>
        </w:rPr>
        <w:t xml:space="preserve">100</w:t>
      </w:r>
      <w:r>
        <w:t xml:space="preserve"> (Schulung i); falls gefordert Profitcenter ergänzen (Schulung g).</w:t>
      </w:r>
    </w:p>
    <w:p>
      <w:pPr>
        <w:pStyle w:val="ListParagraph"/>
        <w:numPr>
          <w:ilvl w:val="0"/>
          <w:numId w:val="41"/>
        </w:numPr>
        <w:spacing w:after="60"/>
      </w:pPr>
      <w:r>
        <w:rPr>
          <w:b/>
          <w:bCs/>
        </w:rPr>
        <w:t xml:space="preserve">Simulate</w:t>
      </w:r>
      <w:r>
        <w:t xml:space="preserve"> → prüfen → </w:t>
      </w:r>
      <w:r>
        <w:rPr>
          <w:b/>
          <w:bCs/>
        </w:rPr>
        <w:t xml:space="preserve">Post</w:t>
      </w:r>
      <w:r>
        <w:t xml:space="preserve"> → „Journal entry … (Jahr/GR##) saved" → Belegnummer notieren (Schulung j)–l).</w:t>
      </w:r>
    </w:p>
    <w:p>
      <w:pPr>
        <w:pStyle w:val="Heading2"/>
      </w:pPr>
      <w:r>
        <w:t xml:space="preserve">Schritt 7.4 – Storno 10 Tage nach der Originalbuchung</w:t>
      </w:r>
    </w:p>
    <w:p>
      <w:pPr>
        <w:pBdr>
          <w:left w:val="single" w:color="7F7F7F" w:sz="24" w:space="6"/>
        </w:pBdr>
        <w:shd w:fill="EDEDED" w:color="auto" w:val="clear"/>
        <w:spacing w:after="120" w:before="120"/>
        <w:ind w:left="120" w:right="120"/>
      </w:pPr>
      <w:r>
        <w:rPr>
          <w:b/>
          <w:bCs/>
          <w:color w:val="7F7F7F"/>
        </w:rPr>
        <w:t xml:space="preserve">Aufgabe (Original): </w:t>
      </w:r>
      <w:r>
        <w:t xml:space="preserve">Storno des Belegs aus 7.3 mit Datum Originalbuchung + 10 Tage.</w:t>
      </w:r>
    </w:p>
    <w:p>
      <w:pPr>
        <w:pBdr>
          <w:left w:val="single" w:color="7030A0" w:sz="24" w:space="6"/>
        </w:pBdr>
        <w:shd w:fill="F3E8FA" w:color="auto" w:val="clear"/>
        <w:spacing w:after="120" w:before="120"/>
        <w:ind w:left="120" w:right="120"/>
      </w:pPr>
      <w:r>
        <w:rPr>
          <w:b/>
          <w:bCs/>
          <w:color w:val="7030A0"/>
        </w:rPr>
        <w:t xml:space="preserve">Vergleichbare Übung in den Schulungsunterlagen: </w:t>
      </w:r>
      <w:r>
        <w:rPr>
          <w:b/>
          <w:bCs/>
        </w:rPr>
        <w:t xml:space="preserve">S4F12</w:t>
      </w:r>
      <w:r>
        <w:t xml:space="preserve">, Lektion „Konfigurieren von Belegstornierungen", S. 312 (PDF 320): „Die Einstellungen für den Stornogrund können so konfiguriert werden, dass ein Stornodatum eingegeben werden kann, das vom ursprünglichen Buchungsdatum abweicht."; </w:t>
      </w:r>
      <w:r>
        <w:rPr>
          <w:b/>
          <w:bCs/>
        </w:rPr>
        <w:t xml:space="preserve">S4F12</w:t>
      </w:r>
      <w:r>
        <w:t xml:space="preserve">, Übung 21 „Belegstornierungen buchen", S. 316–318 (PDF 324–326) – Stornogründe prüfen (IMG … Korrekturbuchung/Storno → Stornogründe definieren), Storno über „Buchungsbelege verwalten" → Stornieren mit Stornogrund und Datum</w:t>
      </w:r>
    </w:p>
    <w:p>
      <w:pPr>
        <w:pBdr>
          <w:left w:val="single" w:color="F0AB00" w:sz="24" w:space="6"/>
        </w:pBdr>
        <w:shd w:fill="FFF4D6" w:color="auto" w:val="clear"/>
        <w:spacing w:after="120" w:before="120"/>
        <w:ind w:left="120" w:right="120"/>
      </w:pPr>
      <w:r>
        <w:rPr>
          <w:b/>
          <w:bCs/>
          <w:color w:val="F0AB00"/>
        </w:rPr>
        <w:t xml:space="preserve">Transaktion / App: </w:t>
      </w:r>
      <w:r>
        <w:t xml:space="preserve">Fiori-App </w:t>
      </w:r>
      <w:r>
        <w:rPr>
          <w:b/>
          <w:bCs/>
        </w:rPr>
        <w:t xml:space="preserve">Manage Journal Entries</w:t>
      </w:r>
      <w:r>
        <w:t xml:space="preserve"> (Buchungsbelege verwalten) → </w:t>
      </w:r>
      <w:r>
        <w:rPr>
          <w:b/>
          <w:bCs/>
        </w:rPr>
        <w:t xml:space="preserve">Reverse</w:t>
      </w:r>
      <w:r>
        <w:t xml:space="preserve"> (Stornieren); alternativ </w:t>
      </w:r>
      <w:r>
        <w:rPr>
          <w:rFonts w:ascii="Consolas" w:cs="Consolas" w:eastAsia="Consolas" w:hAnsi="Consolas"/>
          <w:b/>
          <w:bCs/>
          <w:color w:val="1F4E79"/>
        </w:rPr>
        <w:t xml:space="preserve">FB08</w:t>
      </w:r>
      <w:r>
        <w:t xml:space="preserve">.</w:t>
      </w:r>
    </w:p>
    <w:p>
      <w:pPr>
        <w:pStyle w:val="ListParagraph"/>
        <w:numPr>
          <w:ilvl w:val="0"/>
          <w:numId w:val="42"/>
        </w:numPr>
        <w:spacing w:after="60"/>
      </w:pPr>
      <w:r>
        <w:t xml:space="preserve">Optional prüfen: IMG Financial Accounting → General Ledger Accounting → Business Transactions → Adjustment Posting/Reversal → </w:t>
      </w:r>
      <w:r>
        <w:rPr>
          <w:b/>
          <w:bCs/>
        </w:rPr>
        <w:t xml:space="preserve">Define Reasons for Reversal</w:t>
      </w:r>
      <w:r>
        <w:t xml:space="preserve"> – welcher Grund ein abweichendes Buchungsdatum (</w:t>
      </w:r>
      <w:r>
        <w:rPr>
          <w:b/>
          <w:bCs/>
        </w:rPr>
        <w:t xml:space="preserve">Alt. Posting Date</w:t>
      </w:r>
      <w:r>
        <w:t xml:space="preserve">) erlaubt (Schulung S. 316, Schritt 2).</w:t>
      </w:r>
    </w:p>
    <w:p>
      <w:pPr>
        <w:pStyle w:val="ListParagraph"/>
        <w:numPr>
          <w:ilvl w:val="0"/>
          <w:numId w:val="42"/>
        </w:numPr>
        <w:spacing w:after="60"/>
      </w:pPr>
      <w:r>
        <w:t xml:space="preserve">App </w:t>
      </w:r>
      <w:r>
        <w:rPr>
          <w:b/>
          <w:bCs/>
        </w:rPr>
        <w:t xml:space="preserve">Manage Journal Entries</w:t>
      </w:r>
      <w:r>
        <w:t xml:space="preserve"> → Company Code </w:t>
      </w:r>
      <w:r>
        <w:rPr>
          <w:rFonts w:ascii="Consolas" w:cs="Consolas" w:eastAsia="Consolas" w:hAnsi="Consolas"/>
          <w:b/>
          <w:bCs/>
          <w:color w:val="1F4E79"/>
        </w:rPr>
        <w:t xml:space="preserve">GR##</w:t>
      </w:r>
      <w:r>
        <w:t xml:space="preserve"> → Beleg aus 7.3 suchen → markieren → </w:t>
      </w:r>
      <w:r>
        <w:rPr>
          <w:b/>
          <w:bCs/>
        </w:rPr>
        <w:t xml:space="preserve">Reverse</w:t>
      </w:r>
      <w:r>
        <w:t xml:space="preserve"> (Schulung S. 318 Hinweis „Alternativ … Buchungsbelege verwalten … Stornieren").</w:t>
      </w:r>
    </w:p>
    <w:p>
      <w:pPr>
        <w:pStyle w:val="ListParagraph"/>
        <w:numPr>
          <w:ilvl w:val="0"/>
          <w:numId w:val="42"/>
        </w:numPr>
        <w:spacing w:after="60"/>
      </w:pPr>
      <w:r>
        <w:t xml:space="preserve">Im Bild </w:t>
      </w:r>
      <w:r>
        <w:rPr>
          <w:b/>
          <w:bCs/>
        </w:rPr>
        <w:t xml:space="preserve">Reverse Journal Entry</w:t>
      </w:r>
      <w:r>
        <w:t xml:space="preserve">: </w:t>
      </w:r>
      <w:r>
        <w:rPr>
          <w:b/>
          <w:bCs/>
        </w:rPr>
        <w:t xml:space="preserve">Reversal Reason</w:t>
      </w:r>
      <w:r>
        <w:t xml:space="preserve"> </w:t>
      </w:r>
      <w:r>
        <w:rPr>
          <w:rFonts w:ascii="Consolas" w:cs="Consolas" w:eastAsia="Consolas" w:hAnsi="Consolas"/>
          <w:b/>
          <w:bCs/>
          <w:color w:val="1F4E79"/>
        </w:rPr>
        <w:t xml:space="preserve">02</w:t>
      </w:r>
      <w:r>
        <w:t xml:space="preserve"> (Reversal in closed period / Storno für geschlossene Periode), </w:t>
      </w:r>
      <w:r>
        <w:rPr>
          <w:b/>
          <w:bCs/>
        </w:rPr>
        <w:t xml:space="preserve">Posting Date</w:t>
      </w:r>
      <w:r>
        <w:t xml:space="preserve"> = Buchungsdatum Original </w:t>
      </w:r>
      <w:r>
        <w:rPr>
          <w:b/>
          <w:bCs/>
        </w:rPr>
        <w:t xml:space="preserve">+ 10 Tage</w:t>
      </w:r>
      <w:r>
        <w:t xml:space="preserve"> → </w:t>
      </w:r>
      <w:r>
        <w:rPr>
          <w:b/>
          <w:bCs/>
        </w:rPr>
        <w:t xml:space="preserve">OK</w:t>
      </w:r>
      <w:r>
        <w:t xml:space="preserve"> (Schulung S4F13 S. 293 e)–f): Stornogrund 02, „Offen am Stichtag" = erster Tag der nächsten Periode).</w:t>
      </w:r>
    </w:p>
    <w:p>
      <w:pPr>
        <w:pStyle w:val="ListParagraph"/>
        <w:numPr>
          <w:ilvl w:val="0"/>
          <w:numId w:val="42"/>
        </w:numPr>
        <w:spacing w:after="60"/>
      </w:pPr>
      <w:r>
        <w:t xml:space="preserve">Meldung „Reversal document posted"; unter </w:t>
      </w:r>
      <w:r>
        <w:rPr>
          <w:b/>
          <w:bCs/>
        </w:rPr>
        <w:t xml:space="preserve">Related Documents</w:t>
      </w:r>
      <w:r>
        <w:t xml:space="preserve"> (Zugehörige Belege) den Stornobeleg prüfen (Schulung l).</w:t>
      </w:r>
    </w:p>
    <w:p>
      <w:pPr>
        <w:pBdr>
          <w:left w:val="single" w:color="7030A0" w:sz="24" w:space="6"/>
        </w:pBdr>
        <w:shd w:fill="F3E8FA" w:color="auto" w:val="clear"/>
        <w:spacing w:after="120" w:before="120"/>
        <w:ind w:left="120" w:right="120"/>
      </w:pPr>
      <w:r>
        <w:rPr>
          <w:b/>
          <w:bCs/>
          <w:color w:val="7030A0"/>
        </w:rPr>
        <w:t xml:space="preserve">Vergleichbare Übung in den Schulungsunterlagen: </w:t>
      </w:r>
      <w:r>
        <w:rPr>
          <w:b/>
          <w:bCs/>
        </w:rPr>
        <w:t xml:space="preserve">S4F13</w:t>
      </w:r>
      <w:r>
        <w:t xml:space="preserve">, Übung 20 „Debitorenrechnung buchen und Einzelwertberichtigung eingeben", S. 292–293 (PDF 300–301) – Schritt 3: Storno über „Buchungsbelege verwalten" mit </w:t>
      </w:r>
      <w:r>
        <w:rPr>
          <w:b/>
          <w:bCs/>
        </w:rPr>
        <w:t xml:space="preserve">Stornogrund 02 „Storno für geschlossene Periode"</w:t>
      </w:r>
      <w:r>
        <w:t xml:space="preserve"> und Buchungsdatum in der </w:t>
      </w:r>
      <w:r>
        <w:rPr>
          <w:b/>
          <w:bCs/>
        </w:rPr>
        <w:t xml:space="preserve">nächsten Periode</w:t>
      </w:r>
      <w:r>
        <w:t xml:space="preserve">. Gegenbeispiel: </w:t>
      </w:r>
      <w:r>
        <w:rPr>
          <w:b/>
          <w:bCs/>
        </w:rPr>
        <w:t xml:space="preserve">S4F13</w:t>
      </w:r>
      <w:r>
        <w:t xml:space="preserve">, Übung 18 „Eine gegebene Bürgschaft erfassen", S. 265 (PDF 273) – Stornogrund 01 „Storno in laufender Periode" mit dem </w:t>
      </w:r>
      <w:r>
        <w:rPr>
          <w:b/>
          <w:bCs/>
        </w:rPr>
        <w:t xml:space="preserve">ursprünglichen</w:t>
      </w:r>
      <w:r>
        <w:t xml:space="preserve"> Buchungsdatum; S4F12 Ü21, S. 317: Grund 03 ebenfalls mit Originaldatum. Lernkontrolle S4F12 Frage 13, S. 378: „Der Stornogrund bestimmt, ob das Stornodatum vom ursprünglichen Buchungsdatum abweichen darf."</w:t>
      </w:r>
    </w:p>
    <w:p>
      <w:pPr>
        <w:pBdr>
          <w:left w:val="single" w:color="2E75B6" w:sz="24" w:space="6"/>
        </w:pBdr>
        <w:shd w:fill="E8F1FB" w:color="auto" w:val="clear"/>
        <w:spacing w:after="120" w:before="120"/>
        <w:ind w:left="120" w:right="120"/>
      </w:pPr>
      <w:r>
        <w:rPr>
          <w:b/>
          <w:bCs/>
          <w:color w:val="2E75B6"/>
        </w:rPr>
        <w:t xml:space="preserve">Hinweis: </w:t>
      </w:r>
      <w:r>
        <w:t xml:space="preserve">Empfehlung daher Grund </w:t>
      </w:r>
      <w:r>
        <w:rPr>
          <w:b/>
          <w:bCs/>
        </w:rPr>
        <w:t xml:space="preserve">02</w:t>
      </w:r>
      <w:r>
        <w:t xml:space="preserve"> – er funktioniert unabhängig davon, ob Original + 10 Tage in derselben oder der nächsten Periode liegt. Die Periode des Stornodatums muss offen sein.</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Seite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C_TS4FI – Klick-Lösung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00" w:hanging="400"/>
      </w:pPr>
    </w:lvl>
  </w:abstractNum>
  <w:abstractNum w:abstractNumId="3" w15:restartNumberingAfterBreak="0">
    <w:multiLevelType w:val="hybridMultilevel"/>
    <w:lvl w:ilvl="0" w15:tentative="1">
      <w:start w:val="1"/>
      <w:numFmt w:val="bullet"/>
      <w:lvlText w:val="–"/>
      <w:lvlJc w:val="left"/>
      <w:pPr>
        <w:ind w:left="1000" w:hanging="300"/>
      </w:pPr>
    </w:lvl>
  </w:abstractNum>
  <w:abstractNum w:abstractNumId="4" w15:restartNumberingAfterBreak="0">
    <w:multiLevelType w:val="hybridMultilevel"/>
    <w:lvl w:ilvl="0" w15:tentative="1">
      <w:start w:val="1"/>
      <w:numFmt w:val="bullet"/>
      <w:lvlText w:val="•"/>
      <w:lvlJc w:val="left"/>
      <w:pPr>
        <w:ind w:left="500" w:hanging="30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 w:numId="7">
    <w:abstractNumId w:val="2"/>
    <w:lvlOverride w:ilvl="0">
      <w:startOverride w:val="1"/>
    </w:lvlOverride>
  </w:num>
  <w:num w:numId="8">
    <w:abstractNumId w:val="2"/>
    <w:lvlOverride w:ilvl="0">
      <w:startOverride w:val="1"/>
    </w:lvlOverride>
  </w:num>
  <w:num w:numId="9">
    <w:abstractNumId w:val="2"/>
    <w:lvlOverride w:ilvl="0">
      <w:startOverride w:val="1"/>
    </w:lvlOverride>
  </w:num>
  <w:num w:numId="10">
    <w:abstractNumId w:val="2"/>
    <w:lvlOverride w:ilvl="0">
      <w:startOverride w:val="1"/>
    </w:lvlOverride>
  </w:num>
  <w:num w:numId="11">
    <w:abstractNumId w:val="2"/>
    <w:lvlOverride w:ilvl="0">
      <w:startOverride w:val="1"/>
    </w:lvlOverride>
  </w:num>
  <w:num w:numId="12">
    <w:abstractNumId w:val="2"/>
    <w:lvlOverride w:ilvl="0">
      <w:startOverride w:val="1"/>
    </w:lvlOverride>
  </w:num>
  <w:num w:numId="13">
    <w:abstractNumId w:val="2"/>
    <w:lvlOverride w:ilvl="0">
      <w:startOverride w:val="1"/>
    </w:lvlOverride>
  </w:num>
  <w:num w:numId="14">
    <w:abstractNumId w:val="3"/>
    <w:lvlOverride w:ilvl="0">
      <w:startOverride w:val="1"/>
    </w:lvlOverride>
  </w:num>
  <w:num w:numId="15">
    <w:abstractNumId w:val="2"/>
    <w:lvlOverride w:ilvl="0">
      <w:startOverride w:val="1"/>
    </w:lvlOverride>
  </w:num>
  <w:num w:numId="16">
    <w:abstractNumId w:val="2"/>
    <w:lvlOverride w:ilvl="0">
      <w:startOverride w:val="1"/>
    </w:lvlOverride>
  </w:num>
  <w:num w:numId="17">
    <w:abstractNumId w:val="2"/>
    <w:lvlOverride w:ilvl="0">
      <w:startOverride w:val="1"/>
    </w:lvlOverride>
  </w:num>
  <w:num w:numId="18">
    <w:abstractNumId w:val="2"/>
    <w:lvlOverride w:ilvl="0">
      <w:startOverride w:val="1"/>
    </w:lvlOverride>
  </w:num>
  <w:num w:numId="19">
    <w:abstractNumId w:val="2"/>
    <w:lvlOverride w:ilvl="0">
      <w:startOverride w:val="1"/>
    </w:lvlOverride>
  </w:num>
  <w:num w:numId="20">
    <w:abstractNumId w:val="2"/>
    <w:lvlOverride w:ilvl="0">
      <w:startOverride w:val="1"/>
    </w:lvlOverride>
  </w:num>
  <w:num w:numId="21">
    <w:abstractNumId w:val="2"/>
    <w:lvlOverride w:ilvl="0">
      <w:startOverride w:val="1"/>
    </w:lvlOverride>
  </w:num>
  <w:num w:numId="22">
    <w:abstractNumId w:val="2"/>
    <w:lvlOverride w:ilvl="0">
      <w:startOverride w:val="1"/>
    </w:lvlOverride>
  </w:num>
  <w:num w:numId="23">
    <w:abstractNumId w:val="2"/>
    <w:lvlOverride w:ilvl="0">
      <w:startOverride w:val="1"/>
    </w:lvlOverride>
  </w:num>
  <w:num w:numId="24">
    <w:abstractNumId w:val="2"/>
    <w:lvlOverride w:ilvl="0">
      <w:startOverride w:val="1"/>
    </w:lvlOverride>
  </w:num>
  <w:num w:numId="25">
    <w:abstractNumId w:val="2"/>
    <w:lvlOverride w:ilvl="0">
      <w:startOverride w:val="1"/>
    </w:lvlOverride>
  </w:num>
  <w:num w:numId="26">
    <w:abstractNumId w:val="2"/>
    <w:lvlOverride w:ilvl="0">
      <w:startOverride w:val="1"/>
    </w:lvlOverride>
  </w:num>
  <w:num w:numId="27">
    <w:abstractNumId w:val="2"/>
    <w:lvlOverride w:ilvl="0">
      <w:startOverride w:val="1"/>
    </w:lvlOverride>
  </w:num>
  <w:num w:numId="28">
    <w:abstractNumId w:val="2"/>
    <w:lvlOverride w:ilvl="0">
      <w:startOverride w:val="1"/>
    </w:lvlOverride>
  </w:num>
  <w:num w:numId="29">
    <w:abstractNumId w:val="2"/>
    <w:lvlOverride w:ilvl="0">
      <w:startOverride w:val="1"/>
    </w:lvlOverride>
  </w:num>
  <w:num w:numId="30">
    <w:abstractNumId w:val="2"/>
    <w:lvlOverride w:ilvl="0">
      <w:startOverride w:val="1"/>
    </w:lvlOverride>
  </w:num>
  <w:num w:numId="31">
    <w:abstractNumId w:val="2"/>
    <w:lvlOverride w:ilvl="0">
      <w:startOverride w:val="1"/>
    </w:lvlOverride>
  </w:num>
  <w:num w:numId="32">
    <w:abstractNumId w:val="2"/>
    <w:lvlOverride w:ilvl="0">
      <w:startOverride w:val="1"/>
    </w:lvlOverride>
  </w:num>
  <w:num w:numId="33">
    <w:abstractNumId w:val="2"/>
    <w:lvlOverride w:ilvl="0">
      <w:startOverride w:val="1"/>
    </w:lvlOverride>
  </w:num>
  <w:num w:numId="34">
    <w:abstractNumId w:val="2"/>
    <w:lvlOverride w:ilvl="0">
      <w:startOverride w:val="1"/>
    </w:lvlOverride>
  </w:num>
  <w:num w:numId="35">
    <w:abstractNumId w:val="2"/>
    <w:lvlOverride w:ilvl="0">
      <w:startOverride w:val="1"/>
    </w:lvlOverride>
  </w:num>
  <w:num w:numId="36">
    <w:abstractNumId w:val="2"/>
    <w:lvlOverride w:ilvl="0">
      <w:startOverride w:val="1"/>
    </w:lvlOverride>
  </w:num>
  <w:num w:numId="37">
    <w:abstractNumId w:val="2"/>
    <w:lvlOverride w:ilvl="0">
      <w:startOverride w:val="1"/>
    </w:lvlOverride>
  </w:num>
  <w:num w:numId="38">
    <w:abstractNumId w:val="2"/>
    <w:lvlOverride w:ilvl="0">
      <w:startOverride w:val="1"/>
    </w:lvlOverride>
  </w:num>
  <w:num w:numId="39">
    <w:abstractNumId w:val="2"/>
    <w:lvlOverride w:ilvl="0">
      <w:startOverride w:val="1"/>
    </w:lvlOverride>
  </w:num>
  <w:num w:numId="40">
    <w:abstractNumId w:val="2"/>
    <w:lvlOverride w:ilvl="0">
      <w:startOverride w:val="1"/>
    </w:lvlOverride>
  </w:num>
  <w:num w:numId="41">
    <w:abstractNumId w:val="2"/>
    <w:lvlOverride w:ilvl="0">
      <w:startOverride w:val="1"/>
    </w:lvlOverride>
  </w:num>
  <w:num w:numId="4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color w:val="F0AB00"/>
      <w:sz w:val="34"/>
      <w:szCs w:val="34"/>
    </w:rPr>
  </w:style>
  <w:style w:type="paragraph" w:styleId="Heading2">
    <w:name w:val="Heading 2"/>
    <w:basedOn w:val="Normal"/>
    <w:next w:val="Normal"/>
    <w:qFormat/>
    <w:pPr>
      <w:spacing w:after="120" w:before="280"/>
      <w:outlineLvl w:val="1"/>
    </w:pPr>
    <w:rPr>
      <w:rFonts w:ascii="Arial" w:cs="Arial" w:eastAsia="Arial" w:hAnsi="Arial"/>
      <w:b/>
      <w:bCs/>
      <w:color w:val="1F3864"/>
      <w:sz w:val="26"/>
      <w:szCs w:val="26"/>
    </w:rPr>
  </w:style>
  <w:style w:type="paragraph" w:styleId="Heading3">
    <w:name w:val="Heading 3"/>
    <w:basedOn w:val="Normal"/>
    <w:next w:val="Normal"/>
    <w:qFormat/>
    <w:pPr>
      <w:spacing w:after="80" w:before="20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C_TS4FI – Klick-Lösung</dc:title>
  <dc:creator>Klick-Lösung C_TS4FI</dc:creator>
  <cp:lastModifiedBy>Un-named</cp:lastModifiedBy>
  <cp:revision>1</cp:revision>
  <dcterms:created xsi:type="dcterms:W3CDTF">2026-10-10T13:44:50.541Z</dcterms:created>
  <dcterms:modified xsi:type="dcterms:W3CDTF">2026-10-10T13:44:50.549Z</dcterms:modified>
</cp:coreProperties>
</file>

<file path=docProps/custom.xml><?xml version="1.0" encoding="utf-8"?>
<Properties xmlns="http://schemas.openxmlformats.org/officeDocument/2006/custom-properties" xmlns:vt="http://schemas.openxmlformats.org/officeDocument/2006/docPropsVTypes"/>
</file>