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left"/>
      </w:pPr>
      <w:r>
        <w:rPr>
          <w:b/>
          <w:bCs/>
          <w:color w:val="F0AB00"/>
          <w:sz w:val="56"/>
          <w:szCs w:val="56"/>
        </w:rPr>
        <w:t xml:space="preserve">C_TS4FI – Praktische Prüfung</w:t>
      </w:r>
    </w:p>
    <w:p>
      <w:pPr>
        <w:spacing w:before="200"/>
      </w:pPr>
      <w:r>
        <w:rPr>
          <w:sz w:val="32"/>
          <w:szCs w:val="32"/>
        </w:rPr>
        <w:t xml:space="preserve">Klick-Lösung auf Basis der Schulungsunterlagen S4F10, S4F12, S4F13, S4F15, S4F17 – Task Instructions Kursversion 2601</w:t>
      </w:r>
    </w:p>
    <w:p>
      <w:pPr>
        <w:spacing w:before="200"/>
      </w:pPr>
      <w:r>
        <w:rPr>
          <w:color w:val="595959"/>
          <w:sz w:val="26"/>
          <w:szCs w:val="26"/>
        </w:rPr>
        <w:t xml:space="preserve">SAP S/4HANA Cloud Private Edition – Financial Accounting</w:t>
      </w:r>
    </w:p>
    <w:p>
      <w:pPr>
        <w:spacing w:before="1200"/>
      </w:pPr>
      <w:r>
        <w:rPr>
          <w:b/>
          <w:bCs/>
        </w:rPr>
        <w:t xml:space="preserve">Platzhalter:</w:t>
      </w:r>
      <w:r>
        <w:t xml:space="preserve"> </w:t>
      </w:r>
      <w:r>
        <w:rPr>
          <w:rFonts w:ascii="Consolas" w:cs="Consolas" w:eastAsia="Consolas" w:hAnsi="Consolas"/>
          <w:b/>
          <w:bCs/>
          <w:color w:val="1F4E79"/>
        </w:rPr>
        <w:t xml:space="preserve">##</w:t>
      </w:r>
      <w:r>
        <w:t xml:space="preserve"> = Ihre Gruppennummer (die letzten 2 Ziffern Ihres Benutzers TS4FI-##), z. B. 01 → Buchungskreis TA01, Belegart 01, Lieferant RTA01.</w:t>
      </w:r>
    </w:p>
    <w:p>
      <w:pPr>
        <w:spacing w:before="120"/>
      </w:pPr>
      <w:r>
        <w:rPr>
          <w:b/>
          <w:bCs/>
        </w:rPr>
        <w:t xml:space="preserve">Jahresangaben:</w:t>
      </w:r>
      <w:r>
        <w:t xml:space="preserve"> „aktuelles Jahr" = Jahr der Prüfungsdurchführung, „Vorjahr" = Jahr davor. Die Beispiele in diesem Dokument verwenden 2026 als aktuelles Jahr – passen Sie die Jahreszahlen an Ihr Prüfungsdatum an.</w:t>
      </w:r>
    </w:p>
    <w:p>
      <w:pPr>
        <w:spacing w:before="120"/>
      </w:pPr>
      <w:r>
        <w:rPr>
          <w:b/>
          <w:bCs/>
        </w:rPr>
        <w:t xml:space="preserve">Oberflächensprache:</w:t>
      </w:r>
      <w:r>
        <w:t xml:space="preserve"> Das Prüfungssystem ist englisch. Feld- und Buttonnamen werden deshalb im englischen Original (kursiv in der Aufgabe) genannt, ggf. mit deutscher Entsprechung in Klammern.</w:t>
      </w:r>
    </w:p>
    <w:p>
      <w:r>
        <w:br w:type="page"/>
      </w:r>
    </w:p>
    <w:p>
      <w:pPr>
        <w:pStyle w:val="Heading1"/>
      </w:pPr>
      <w: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Hinweise zu diesem Dokument</w:t>
      </w:r>
    </w:p>
    <w:p>
      <w:pPr>
        <w:spacing w:after="120"/>
      </w:pPr>
      <w:r>
        <w:t xml:space="preserve">Diese Klick-Lösung wurde auf Basis der Schulungsunterlagen im Ordner </w:t>
      </w:r>
      <w:r>
        <w:rPr>
          <w:b/>
          <w:bCs/>
        </w:rPr>
        <w:t xml:space="preserve">Material</w:t>
      </w:r>
      <w:r>
        <w:t xml:space="preserve"> erarbeitet. Für jeden Aufgabenschritt ist angegeben, welche vergleichbare Übung (Dokument, Übungsnummer, Seite) als Grundlage diente. Die Klickpfade, Feldnamen und Apps wurden – wo vorhanden – aus den Lösungen der Schulungsübungen übernommen und auf die Werte der Prüfungsaufgabe angepasst.</w:t>
      </w:r>
    </w:p>
    <w:p>
      <w:pPr>
        <w:pStyle w:val="ListParagraph"/>
        <w:numPr>
          <w:ilvl w:val="0"/>
          <w:numId w:val="2"/>
        </w:numPr>
        <w:spacing w:after="40"/>
      </w:pPr>
      <w:r>
        <w:rPr>
          <w:b/>
          <w:bCs/>
        </w:rPr>
        <w:t xml:space="preserve">Seitenangaben:</w:t>
      </w:r>
      <w:r>
        <w:t xml:space="preserve"> gedruckte Seitenzahl im Handbuch (Fußzeile), in Klammern die Seite im PDF-Viewer.</w:t>
      </w:r>
    </w:p>
    <w:p>
      <w:pPr>
        <w:pStyle w:val="ListParagraph"/>
        <w:numPr>
          <w:ilvl w:val="0"/>
          <w:numId w:val="2"/>
        </w:numPr>
        <w:spacing w:after="40"/>
      </w:pPr>
      <w:r>
        <w:rPr>
          <w:b/>
          <w:bCs/>
        </w:rPr>
        <w:t xml:space="preserve">Sprache:</w:t>
      </w:r>
      <w:r>
        <w:t xml:space="preserve"> Die Schulungsunterlagen sind deutsch, das Prüfungssystem ist englisch. Feldnamen werden deshalb in der Form „English (Deutsch laut Schulung)" angegeben.</w:t>
      </w:r>
    </w:p>
    <w:p>
      <w:pPr>
        <w:pStyle w:val="ListParagraph"/>
        <w:numPr>
          <w:ilvl w:val="0"/>
          <w:numId w:val="2"/>
        </w:numPr>
        <w:spacing w:after="40"/>
      </w:pPr>
      <w:r>
        <w:rPr>
          <w:b/>
          <w:bCs/>
        </w:rPr>
        <w:t xml:space="preserve">Lila Kästen</w:t>
      </w:r>
      <w:r>
        <w:t xml:space="preserve"> = Fundstelle in den Schulungsunterlagen. </w:t>
      </w:r>
      <w:r>
        <w:rPr>
          <w:b/>
          <w:bCs/>
        </w:rPr>
        <w:t xml:space="preserve">Gelbe Kästen</w:t>
      </w:r>
      <w:r>
        <w:t xml:space="preserve"> = Punkte, die in den Unterlagen nicht vorkommen und aus eigener SAP-Kenntnis ergänzt wurden – diese bitte im System besonders sorgfältig prüfen.</w:t>
      </w:r>
    </w:p>
    <w:p>
      <w:pPr>
        <w:pStyle w:val="ListParagraph"/>
        <w:numPr>
          <w:ilvl w:val="0"/>
          <w:numId w:val="2"/>
        </w:numPr>
        <w:spacing w:after="40"/>
      </w:pPr>
      <w:r>
        <w:rPr>
          <w:rFonts w:ascii="Consolas" w:cs="Consolas" w:eastAsia="Consolas" w:hAnsi="Consolas"/>
          <w:b/>
          <w:bCs/>
          <w:color w:val="1F4E79"/>
        </w:rPr>
        <w:t xml:space="preserve">##</w:t>
      </w:r>
      <w:r>
        <w:t xml:space="preserve"> = Ihre Gruppennummer; „aktuelles Jahr"/„Vorjahr" relativ zum Prüfungsdatum.</w:t>
      </w:r>
    </w:p>
    <w:p>
      <w:pPr>
        <w:pStyle w:val="Heading2"/>
      </w:pPr>
      <w:r>
        <w:t xml:space="preserve">Verwendete Schulungsunterlagen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Dokument</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Titel</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Datei</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S4F10</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Geschäftsprozesse in der Finanzbuchhaltung in SAP S/4HANA (Version 20)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S4F10_DE_Col20_Part_A4_(P2W).pdf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S4F12</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Grundlagen des Customizings für Finanzwesen: HB, AP, AR in SAP S/4HANA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S4F12_DE_Col26_Part_A4.pdf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S4F13</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Finanzbuchhaltung in SAP S/4HANA – erweiterte Konfiguration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S4F13_DE_Col26_Part_A4.pdf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S4F15</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Abschluss in SAP S/4HANA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S4F15_DE_Col26_Part_A4.pdf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S4F17</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Anlagenbuchhaltung in SAP S/4HANA (Version 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S4F17_DE_Col26_Part_A4.pdf</w:t>
            </w:r>
          </w:p>
        </w:tc>
      </w:tr>
    </w:tbl>
    <w:p>
      <w:pPr>
        <w:spacing w:after="60"/>
      </w:pPr>
    </w:p>
    <w:p>
      <w:pPr>
        <w:pStyle w:val="Heading2"/>
      </w:pPr>
      <w:r>
        <w:t xml:space="preserve">Zuordnung Prüfungsaufgabe → Schulungsübung (Übersicht)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Prüfung</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Vergleichbare Schulungsübung(en)</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Transaktion / App</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3.1 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Ü12 „Einen Nummernkreis und eine Belegart anlegen", S. 215–217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OBA7</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3.2 Nummernkreis, Belegaufteilung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Ü12, S. 216–217; S4F12 Ü13 „Die Belegart für die Belegaufteilung klassifizieren", S. 219–220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FBN1</w:t>
            </w:r>
            <w:r>
              <w:t xml:space="preserve">, IMG Belegaufteilung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3.3 Lieferant RTA##</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Ü9 Aufgabe 3 „Einen Geschäftspartner (Kreditor) anlegen", S. 177–179; S4F10 Ü13 „Kreditorenstammsatz anlegen", S. 117–120; S4F12 Ü10 (Sortierschlüssel), S. 183–184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BP</w:t>
            </w:r>
            <w:r>
              <w:t xml:space="preserve"> / „Geschäftspartner pflegen"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3.4 Testrechnung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Ü17 „FI-Belege buchen" Schritt 2, S. 258–260; S4F13 Ü4, S. 43–44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„Eingangsrechnungen anlegen" (</w:t>
            </w:r>
            <w:r>
              <w:rPr>
                <w:rFonts w:ascii="Consolas" w:cs="Consolas" w:eastAsia="Consolas" w:hAnsi="Consolas"/>
                <w:b/>
                <w:bCs/>
                <w:color w:val="1F4E79"/>
              </w:rPr>
              <w:t xml:space="preserve">FB60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4.1 Wertberichtigungsschlüssel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Lektion „Wertberichtigungen verwalten", S. 163 (nur konzeptionell)</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IMG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4.2 Debitor TS4FI##</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Ü8 Schritt 1, S. 167–168; S4F10 Ü43 Schritt 1, S. 335–336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„Manage Business Partner Master Data" / </w:t>
            </w:r>
            <w:r>
              <w:rPr>
                <w:rFonts w:ascii="Consolas" w:cs="Consolas" w:eastAsia="Consolas" w:hAnsi="Consolas"/>
                <w:b/>
                <w:bCs/>
                <w:color w:val="1F4E79"/>
              </w:rPr>
              <w:t xml:space="preserve">BP</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4.3 Kundenrechnungen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Ü8 Schritt 2, S. 168; S4F10 Ü43 Schritt 2, S. 336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„Ausgangsrechnungen anlegen" (</w:t>
            </w:r>
            <w:r>
              <w:rPr>
                <w:rFonts w:ascii="Consolas" w:cs="Consolas" w:eastAsia="Consolas" w:hAnsi="Consolas"/>
                <w:b/>
                <w:bCs/>
                <w:color w:val="1F4E79"/>
              </w:rPr>
              <w:t xml:space="preserve">FB70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4.4 Bewertungslauf</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S4F15 Ü8 Schritte 3–5, S. 168–170; S4F10 Ü44, S. 339–342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„Weitere Bewertungen durchführen" (</w:t>
            </w:r>
            <w:r>
              <w:rPr>
                <w:rFonts w:ascii="Consolas" w:cs="Consolas" w:eastAsia="Consolas" w:hAnsi="Consolas"/>
                <w:b/>
                <w:bCs/>
                <w:color w:val="1F4E79"/>
              </w:rPr>
              <w:t xml:space="preserve">F107</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5.1 Bank, Hausbank, Bankkonto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Ü1 „Eine Hausbank definieren", S. 13–15; S4F13 Ü2 „Ein Hausbankkonto definieren", S. 23–27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„Banken verwalten", „Bankkonten verwalten", „Sachkontenstammdaten verwalten"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5.2 Rechnung mit Zahlsperre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Ü4 „Belege für automatische Zahlungen eingeben", S. 43–46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„Eingangsrechnungen anlegen" (</w:t>
            </w:r>
            <w:r>
              <w:rPr>
                <w:rFonts w:ascii="Consolas" w:cs="Consolas" w:eastAsia="Consolas" w:hAnsi="Consolas"/>
                <w:b/>
                <w:bCs/>
                <w:color w:val="1F4E79"/>
              </w:rPr>
              <w:t xml:space="preserve">FB60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5.3 FBZP</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Ü6 „Zahlungsprogramm konfigurieren", S. 66–69; S4F13 Ü7 „Bankenauswahl konfigurieren", S. 79–81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FBZP</w:t>
            </w:r>
            <w:r>
              <w:t xml:space="preserve"> / IMG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5.4 Zahllauf</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S4F13 Ü8 „Zahlungsvorschlag ausführen", S. 93–98; S4F13 Ü9 „Zahllauf ausführen", S. 112–113; Lektion „Zahlungsvorschlagsbearbeitung", S. 88–90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„Automatische Zahlungen verwalten" (</w:t>
            </w:r>
            <w:r>
              <w:rPr>
                <w:rFonts w:ascii="Consolas" w:cs="Consolas" w:eastAsia="Consolas" w:hAnsi="Consolas"/>
                <w:b/>
                <w:bCs/>
                <w:color w:val="1F4E79"/>
              </w:rPr>
              <w:t xml:space="preserve">F110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6.1 FI-AA-Customizing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 Ü1 „Zuordnen eines Bewertungsplans zu einem Buchungskreis", S. 13–15; S4F17 Ü3 „Verwenden der Nummernzuordnung für FI-AA", S. 55; S4F17 Ü27, S. 298–300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IMG Anlagenbuchhaltung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6.2 Nicht integrierter Zugang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 Ü10 „Anlegen von Anlagenstammsätzen", S. 92–94; S4F17 Ü15 „Durchführen verschiedener nicht integrierter Anlagenzugangsbuchungen", S. 157–161; S4F10 Ü47, S. 374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AS01</w:t>
            </w:r>
            <w:r>
              <w:t xml:space="preserve">, </w:t>
            </w:r>
            <w:r>
              <w:rPr>
                <w:rFonts w:ascii="Consolas" w:cs="Consolas" w:eastAsia="Consolas" w:hAnsi="Consolas"/>
                <w:b/>
                <w:bCs/>
                <w:color w:val="1F4E79"/>
              </w:rPr>
              <w:t xml:space="preserve">ABZON</w:t>
            </w:r>
            <w:r>
              <w:t xml:space="preserve">/„Zugang buchen (nicht integriert)"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6.3 AfA-Lauf</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S4F17 Ü27 „Den Abschreibungslauf durchführen und auswerten", S. 300–303; S4F15 Ü3, S. 67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„Anlagenbuchhaltungs-Jobs einplanen" (AfA-Buchungslauf)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7.1 Buchungskreis GR##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Ü2 „Einen Buchungskreis anlegen", S. 33–36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EC01</w:t>
            </w:r>
            <w:r>
              <w:t xml:space="preserve"> / IMG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7.2 Kontengruppe, Sachkonto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Ü7 „Kontengruppen für Sachkonten anlegen und einige neue Sachkonten installieren", S. 117–124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OBD4</w:t>
            </w:r>
            <w:r>
              <w:t xml:space="preserve">, „Sachkontenstammdaten verwalten"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7.3 Testbuchung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Ü17 „FI-Belege buchen" Schritt 1, S. 257–258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„Hauptbuchbelege buchen" (</w:t>
            </w:r>
            <w:r>
              <w:rPr>
                <w:rFonts w:ascii="Consolas" w:cs="Consolas" w:eastAsia="Consolas" w:hAnsi="Consolas"/>
                <w:b/>
                <w:bCs/>
                <w:color w:val="1F4E79"/>
              </w:rPr>
              <w:t xml:space="preserve">FB50</w:t>
            </w:r>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7.4 Storno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S4F12 Lektion „Konfigurieren von Belegstornierungen", S. 312; S4F12 Ü21 „Belegstornierungen buchen", S. 316–318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„Buchungsbelege verwalten" → Stornieren (</w:t>
            </w:r>
            <w:r>
              <w:rPr>
                <w:rFonts w:ascii="Consolas" w:cs="Consolas" w:eastAsia="Consolas" w:hAnsi="Consolas"/>
                <w:b/>
                <w:bCs/>
                <w:color w:val="1F4E79"/>
              </w:rPr>
              <w:t xml:space="preserve">FB08</w:t>
            </w:r>
            <w:r>
              <w:t xml:space="preserve">)</w:t>
            </w:r>
          </w:p>
        </w:tc>
      </w:tr>
    </w:tbl>
    <w:p>
      <w:pPr>
        <w:spacing w:after="60"/>
      </w:pPr>
    </w:p>
    <w:p>
      <w:pPr>
        <w:pStyle w:val="Heading2"/>
      </w:pPr>
      <w:r>
        <w:t xml:space="preserve">Allgemeine Vorbereitung (Task 1 und Task 2)</w:t>
      </w:r>
    </w:p>
    <w:p>
      <w:pPr>
        <w:pStyle w:val="ListParagraph"/>
        <w:numPr>
          <w:ilvl w:val="0"/>
          <w:numId w:val="3"/>
        </w:numPr>
        <w:spacing w:after="60"/>
      </w:pPr>
      <w:r>
        <w:t xml:space="preserve">Browser-Cache und Cookies löschen, alle Browser-Sitzungen schließen.</w:t>
      </w:r>
    </w:p>
    <w:p>
      <w:pPr>
        <w:pStyle w:val="ListParagraph"/>
        <w:numPr>
          <w:ilvl w:val="0"/>
          <w:numId w:val="3"/>
        </w:numPr>
        <w:spacing w:after="60"/>
      </w:pPr>
      <w:r>
        <w:t xml:space="preserve">Gruppennummer ermitteln: Windows-Start → </w:t>
      </w:r>
      <w:r>
        <w:rPr>
          <w:b/>
          <w:bCs/>
        </w:rPr>
        <w:t xml:space="preserve">Expand</w:t>
      </w:r>
      <w:r>
        <w:t xml:space="preserve"> (☰) → Benutzer </w:t>
      </w:r>
      <w:r>
        <w:rPr>
          <w:b/>
          <w:bCs/>
        </w:rPr>
        <w:t xml:space="preserve">train-##</w:t>
      </w:r>
      <w:r>
        <w:t xml:space="preserve">; die beiden Ziffern = Gruppennummer (= letzte 2 Ziffern von </w:t>
      </w:r>
      <w:r>
        <w:rPr>
          <w:b/>
          <w:bCs/>
        </w:rPr>
        <w:t xml:space="preserve">TS4FI-##</w:t>
      </w:r>
      <w:r>
        <w:t xml:space="preserve">).</w:t>
      </w:r>
    </w:p>
    <w:p>
      <w:pPr>
        <w:pStyle w:val="ListParagraph"/>
        <w:numPr>
          <w:ilvl w:val="0"/>
          <w:numId w:val="3"/>
        </w:numPr>
        <w:spacing w:after="60"/>
      </w:pPr>
      <w:r>
        <w:t xml:space="preserve">SAP Fiori: Windows-Startmenü → „T41" suchen. SAP GUI: SAP Logon → T41 (bei Bedarf Workspaces → Local).</w:t>
      </w:r>
    </w:p>
    <w:p>
      <w:pPr>
        <w:pStyle w:val="ListParagraph"/>
        <w:numPr>
          <w:ilvl w:val="0"/>
          <w:numId w:val="3"/>
        </w:numPr>
        <w:spacing w:after="60"/>
      </w:pPr>
      <w:r>
        <w:t xml:space="preserve">Anmeldung mit </w:t>
      </w:r>
      <w:r>
        <w:rPr>
          <w:b/>
          <w:bCs/>
        </w:rPr>
        <w:t xml:space="preserve">TS4FI-##</w:t>
      </w:r>
      <w:r>
        <w:t xml:space="preserve"> / </w:t>
      </w:r>
      <w:r>
        <w:rPr>
          <w:b/>
          <w:bCs/>
        </w:rPr>
        <w:t xml:space="preserve">Welcome1</w:t>
      </w:r>
      <w:r>
        <w:t xml:space="preserve">.</w:t>
      </w:r>
    </w:p>
    <w:p>
      <w:pPr>
        <w:pStyle w:val="ListParagraph"/>
        <w:numPr>
          <w:ilvl w:val="0"/>
          <w:numId w:val="3"/>
        </w:numPr>
        <w:spacing w:after="60"/>
      </w:pPr>
      <w:r>
        <w:t xml:space="preserve">Apps im Launchpad über die Suche (Lupe) per Namen finden. Customizing im SAP GUI über </w:t>
      </w:r>
      <w:r>
        <w:rPr>
          <w:rFonts w:ascii="Consolas" w:cs="Consolas" w:eastAsia="Consolas" w:hAnsi="Consolas"/>
          <w:b/>
          <w:bCs/>
          <w:color w:val="1F4E79"/>
        </w:rPr>
        <w:t xml:space="preserve">SPRO</w:t>
      </w:r>
      <w:r>
        <w:t xml:space="preserve"> → </w:t>
      </w:r>
      <w:r>
        <w:rPr>
          <w:b/>
          <w:bCs/>
        </w:rPr>
        <w:t xml:space="preserve">SAP Reference IMG</w:t>
      </w:r>
      <w:r>
        <w:t xml:space="preserve">.</w:t>
      </w:r>
    </w:p>
    <w:p>
      <w:pPr>
        <w:pStyle w:val="ListParagraph"/>
        <w:numPr>
          <w:ilvl w:val="0"/>
          <w:numId w:val="3"/>
        </w:numPr>
        <w:spacing w:after="60"/>
      </w:pPr>
      <w:r>
        <w:t xml:space="preserve">Vor jedem Buchen </w:t>
      </w:r>
      <w:r>
        <w:rPr>
          <w:b/>
          <w:bCs/>
        </w:rPr>
        <w:t xml:space="preserve">Simulate</w:t>
      </w:r>
      <w:r>
        <w:t xml:space="preserve"> wählen und prüfen; auf den geforderten Buchungskreis (TA## bzw. GR##) achten.</w:t>
      </w:r>
    </w:p>
    <w:p>
      <w:pPr>
        <w:pStyle w:val="ListParagraph"/>
        <w:numPr>
          <w:ilvl w:val="0"/>
          <w:numId w:val="3"/>
        </w:numPr>
        <w:spacing w:after="60"/>
      </w:pPr>
      <w:r>
        <w:t xml:space="preserve">Am Ende im Prüfungs-Tab </w:t>
      </w:r>
      <w:r>
        <w:rPr>
          <w:b/>
          <w:bCs/>
        </w:rPr>
        <w:t xml:space="preserve">Confirm completion</w:t>
      </w:r>
      <w:r>
        <w:t xml:space="preserve"> wählen.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t xml:space="preserve">Anmeldung und Navigation: </w:t>
      </w:r>
      <w:r>
        <w:rPr>
          <w:b/>
          <w:bCs/>
        </w:rPr>
        <w:t xml:space="preserve">S4F12</w:t>
      </w:r>
      <w:r>
        <w:t xml:space="preserve">, Übung 1 „Auf dem SAP Fiori Launchpad navigieren", S. 19 (PDF 27); Anmeldung am SAP GUI: </w:t>
      </w:r>
      <w:r>
        <w:rPr>
          <w:b/>
          <w:bCs/>
        </w:rPr>
        <w:t xml:space="preserve">S4F12</w:t>
      </w:r>
      <w:r>
        <w:t xml:space="preserve">, Übung 2 „Einen Buchungskreis anlegen", S. 33 (PDF 41) – Schritt 1</w:t>
      </w:r>
    </w:p>
    <w:p>
      <w:r>
        <w:br w:type="page"/>
      </w:r>
    </w:p>
    <w:p>
      <w:pPr>
        <w:pStyle w:val="Heading1"/>
      </w:pPr>
      <w:r>
        <w:t xml:space="preserve">Task 3: Create a new Document Type</w:t>
      </w:r>
    </w:p>
    <w:p>
      <w:pPr>
        <w:pStyle w:val="Heading2"/>
      </w:pPr>
      <w:r>
        <w:t xml:space="preserve">Schritt 3.1 – Belegart ##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Neue Belegart für TA## exklusiv für Mautgebühren der RTA, Code ##, Bezeichnung „Toll Fees ##". Storno mit Belegart AB. Manuelle Eingabe vorübergehend erlaubt. Das Interface füllt künftig den Belegkopftext mit ##.</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12 „Einen Nummernkreis und eine Belegart anlegen", S. 215–217 (PDF 223–225) – Lösung Schritt 2, S. 217: neue Belegart ##, Stornobelegart AB, erlaubte Kontoarten Lieferant + Sachkonto, Mussfeld im Belegkopf</w:t>
      </w:r>
    </w:p>
    <w:p>
      <w:pPr>
        <w:pBdr>
          <w:left w:val="single" w:color="F0AB00" w:sz="24" w:space="6"/>
        </w:pBdr>
        <w:shd w:fill="FFF4D6" w:color="auto" w:val="clear"/>
        <w:spacing w:after="120" w:before="120"/>
        <w:ind w:left="120" w:right="120"/>
      </w:pPr>
      <w:r>
        <w:rPr>
          <w:b/>
          <w:bCs/>
          <w:color w:val="F0AB00"/>
        </w:rPr>
        <w:t xml:space="preserve">Transaktion / App: </w:t>
      </w:r>
      <w:r>
        <w:rPr>
          <w:rFonts w:ascii="Consolas" w:cs="Consolas" w:eastAsia="Consolas" w:hAnsi="Consolas"/>
          <w:b/>
          <w:bCs/>
          <w:color w:val="1F4E79"/>
        </w:rPr>
        <w:t xml:space="preserve">OBA7</w:t>
      </w:r>
      <w:r>
        <w:t xml:space="preserve"> – IMG: Financial Accounting → Financial Accounting Global Settings → Document → Document Types → Define Document Types for Entry View (Schulung: Finanzwesen → Grundeinstellungen Finanzwesen → Beleg → Belegarten → Belegarten definieren).</w:t>
      </w:r>
    </w:p>
    <w:p>
      <w:pPr>
        <w:pStyle w:val="ListParagraph"/>
        <w:numPr>
          <w:ilvl w:val="0"/>
          <w:numId w:val="4"/>
        </w:numPr>
        <w:spacing w:after="60"/>
      </w:pPr>
      <w:r>
        <w:rPr>
          <w:rFonts w:ascii="Consolas" w:cs="Consolas" w:eastAsia="Consolas" w:hAnsi="Consolas"/>
          <w:b/>
          <w:bCs/>
          <w:color w:val="1F4E79"/>
        </w:rPr>
        <w:t xml:space="preserve">SPRO</w:t>
      </w:r>
      <w:r>
        <w:t xml:space="preserve"> → SAP Reference IMG → obigen Pfad öffnen (oder Transaktion </w:t>
      </w:r>
      <w:r>
        <w:rPr>
          <w:rFonts w:ascii="Consolas" w:cs="Consolas" w:eastAsia="Consolas" w:hAnsi="Consolas"/>
          <w:b/>
          <w:bCs/>
          <w:color w:val="1F4E79"/>
        </w:rPr>
        <w:t xml:space="preserve">OBA7</w:t>
      </w:r>
      <w:r>
        <w:t xml:space="preserve">).</w:t>
      </w:r>
    </w:p>
    <w:p>
      <w:pPr>
        <w:pStyle w:val="ListParagraph"/>
        <w:numPr>
          <w:ilvl w:val="0"/>
          <w:numId w:val="4"/>
        </w:numPr>
        <w:spacing w:after="60"/>
      </w:pPr>
      <w:r>
        <w:rPr>
          <w:b/>
          <w:bCs/>
        </w:rPr>
        <w:t xml:space="preserve">New Entries</w:t>
      </w:r>
      <w:r>
        <w:t xml:space="preserve"> (Neue Einträge) wählen – wie in der Schulung S4F12 Ü12, Schritt 2 b).</w:t>
      </w:r>
    </w:p>
    <w:p>
      <w:pPr>
        <w:pStyle w:val="ListParagraph"/>
        <w:numPr>
          <w:ilvl w:val="0"/>
          <w:numId w:val="4"/>
        </w:numPr>
        <w:spacing w:after="60"/>
      </w:pPr>
      <w:r>
        <w:t xml:space="preserve">Folgende Daten erfassen (Struktur analog Tabelle S4F12 S. 217):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 laut Schulung)</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Document Type (Belegart)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Number range (Nummernkreis)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Nummer aus Schritt 3.2 (z. B. </w:t>
            </w:r>
            <w:r>
              <w:rPr>
                <w:rFonts w:ascii="Consolas" w:cs="Consolas" w:eastAsia="Consolas" w:hAnsi="Consolas"/>
                <w:b/>
                <w:bCs/>
                <w:color w:val="1F4E79"/>
              </w:rPr>
              <w:t xml:space="preserve">A1</w:t>
            </w:r>
            <w: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Reverse DocumentType (Stornobelegart)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AB</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AB (Buchhaltungsbeleg)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Account types allowed: Assets (Aktiva)</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Customer (Kunde)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Vendor (Lieferant)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auswählen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Material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(Sachkonto)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auswählen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Secondary costs (Sekundärkosten)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Required during document entry: Document header text (Belegkopftext)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(Schulung: Referenznummer)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Control data: Batch input only (Nur Batch-Input)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nicht</w:t>
            </w:r>
            <w:r>
              <w:t xml:space="preserve"> 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r>
    </w:tbl>
    <w:p>
      <w:pPr>
        <w:spacing w:after="60"/>
      </w:pPr>
    </w:p>
    <w:p>
      <w:pPr>
        <w:pStyle w:val="ListParagraph"/>
        <w:numPr>
          <w:ilvl w:val="0"/>
          <w:numId w:val="5"/>
        </w:numPr>
        <w:spacing w:after="60"/>
      </w:pPr>
      <w:r>
        <w:rPr>
          <w:b/>
          <w:bCs/>
        </w:rPr>
        <w:t xml:space="preserve">Save</w:t>
      </w:r>
      <w:r>
        <w:t xml:space="preserve">, mit </w:t>
      </w:r>
      <w:r>
        <w:rPr>
          <w:b/>
          <w:bCs/>
        </w:rPr>
        <w:t xml:space="preserve">Back</w:t>
      </w:r>
      <w:r>
        <w:t xml:space="preserve"> zur Übersicht zurück und in der Spalte </w:t>
      </w:r>
      <w:r>
        <w:rPr>
          <w:b/>
          <w:bCs/>
        </w:rPr>
        <w:t xml:space="preserve">Description</w:t>
      </w:r>
      <w:r>
        <w:t xml:space="preserve"> (Bezeichnung) neben Belegart ## den Text </w:t>
      </w:r>
      <w:r>
        <w:rPr>
          <w:rFonts w:ascii="Consolas" w:cs="Consolas" w:eastAsia="Consolas" w:hAnsi="Consolas"/>
          <w:b/>
          <w:bCs/>
          <w:color w:val="1F4E79"/>
        </w:rPr>
        <w:t xml:space="preserve">Toll Fees ##</w:t>
      </w:r>
      <w:r>
        <w:t xml:space="preserve"> eintragen (Schulung Schritt 2 f): „Autor.Aufwend.##"). </w:t>
      </w:r>
      <w:r>
        <w:rPr>
          <w:b/>
          <w:bCs/>
        </w:rPr>
        <w:t xml:space="preserve">Save</w:t>
      </w:r>
      <w:r>
        <w:t xml:space="preserve">.</w:t>
      </w:r>
    </w:p>
    <w:p>
      <w:pPr>
        <w:pBdr>
          <w:left w:val="single" w:color="2E75B6" w:sz="24" w:space="6"/>
        </w:pBdr>
        <w:shd w:fill="E8F1FB" w:color="auto" w:val="clear"/>
        <w:spacing w:after="120" w:before="120"/>
        <w:ind w:left="120" w:right="120"/>
      </w:pPr>
      <w:r>
        <w:rPr>
          <w:b/>
          <w:bCs/>
          <w:color w:val="2E75B6"/>
        </w:rPr>
        <w:t xml:space="preserve">Hinweis: </w:t>
      </w:r>
      <w:r>
        <w:t xml:space="preserve">Die Schulung setzt bei „Notwendig bei Belegerfassung" die </w:t>
      </w:r>
      <w:r>
        <w:rPr>
          <w:b/>
          <w:bCs/>
        </w:rPr>
        <w:t xml:space="preserve">Referenznummer</w:t>
      </w:r>
      <w:r>
        <w:t xml:space="preserve">; in der Prüfung soll das Interface den </w:t>
      </w:r>
      <w:r>
        <w:rPr>
          <w:b/>
          <w:bCs/>
        </w:rPr>
        <w:t xml:space="preserve">Belegkopftext</w:t>
      </w:r>
      <w:r>
        <w:t xml:space="preserve"> füllen – daher hier das Kennzeichen „Document header text". Laut S4F12, Lektion „Konfigurieren von Kopf und Positionen in Belegen des Finanzwesens (FI)", S. 212 (PDF 220): „Wenn Sie Referenznummer und Belegkopftext auswählen, werden diese Felder zu Mussfeldern im Belegkopf." Das erklärt auch den Hinweis in Aufgabe 3.4 („If you are prompted to enter the document header text …").</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Das Kennzeichen </w:t>
      </w:r>
      <w:r>
        <w:rPr>
          <w:b/>
          <w:bCs/>
        </w:rPr>
        <w:t xml:space="preserve">Batch input only</w:t>
      </w:r>
      <w:r>
        <w:t xml:space="preserve"> kommt in den Unterlagen nicht vor. Wird es gesetzt, kann die Belegart nur per Batch-Input (Interface) verwendet werden. Da die manuelle Eingabe „vorübergehend erlaubt" sein soll, bleibt es leer; nach Fertigstellung des Interface würde es gesetzt.</w:t>
      </w:r>
    </w:p>
    <w:p>
      <w:pPr>
        <w:pStyle w:val="Heading2"/>
      </w:pPr>
      <w:r>
        <w:t xml:space="preserve">Schritt 3.2 – Nummernkreis und Klassifizierung für die Belegaufteilung</w:t>
      </w:r>
    </w:p>
    <w:p>
      <w:pPr>
        <w:pBdr>
          <w:left w:val="single" w:color="7F7F7F" w:sz="24" w:space="6"/>
        </w:pBdr>
        <w:shd w:fill="EDEDED" w:color="auto" w:val="clear"/>
        <w:spacing w:after="120" w:before="120"/>
        <w:ind w:left="120" w:right="120"/>
      </w:pPr>
      <w:r>
        <w:rPr>
          <w:b/>
          <w:bCs/>
          <w:color w:val="7F7F7F"/>
        </w:rPr>
        <w:t xml:space="preserve">Aufgabe (Original): </w:t>
      </w:r>
      <w:r>
        <w:t xml:space="preserve">Nummernkreis für das laufende Jahr FEES##0000 – FEES##9999 (RTA-Nummer = SAP-Belegnummer). Nächste freie Position in der Folge A1 … A9, B1 … Z9. Danach Belegart ## für die Belegaufteilung wie KR klassifizieren.</w:t>
      </w:r>
    </w:p>
    <w:p>
      <w:pPr>
        <w:pStyle w:val="Heading3"/>
      </w:pPr>
      <w:r>
        <w:t xml:space="preserve">a) Nummernkreisintervall</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12 „Einen Nummernkreis und eine Belegart anlegen", S. 216–217 (PDF 224–225) – Lösung Schritt 1 a)–h): Intervall einfügen mit Nr., Jahr, Von/Bis, Kennzeichen „Extern."</w:t>
      </w:r>
    </w:p>
    <w:p>
      <w:pPr>
        <w:pBdr>
          <w:left w:val="single" w:color="F0AB00" w:sz="24" w:space="6"/>
        </w:pBdr>
        <w:shd w:fill="FFF4D6" w:color="auto" w:val="clear"/>
        <w:spacing w:after="120" w:before="120"/>
        <w:ind w:left="120" w:right="120"/>
      </w:pPr>
      <w:r>
        <w:rPr>
          <w:b/>
          <w:bCs/>
          <w:color w:val="F0AB00"/>
        </w:rPr>
        <w:t xml:space="preserve">Transaktion / App: </w:t>
      </w:r>
      <w:r>
        <w:rPr>
          <w:rFonts w:ascii="Consolas" w:cs="Consolas" w:eastAsia="Consolas" w:hAnsi="Consolas"/>
          <w:b/>
          <w:bCs/>
          <w:color w:val="1F4E79"/>
        </w:rPr>
        <w:t xml:space="preserve">FBN1</w:t>
      </w:r>
      <w:r>
        <w:t xml:space="preserve"> – IMG: Financial Accounting → Financial Accounting Global Settings → Document → Document Number Ranges → Document Number Ranges for Entry View → Define Document Number Ranges for Entry View (Schulung: … → Belegnummernkreise → Belegnummernkreise definieren).</w:t>
      </w:r>
    </w:p>
    <w:p>
      <w:pPr>
        <w:pStyle w:val="ListParagraph"/>
        <w:numPr>
          <w:ilvl w:val="0"/>
          <w:numId w:val="6"/>
        </w:numPr>
        <w:spacing w:after="60"/>
      </w:pPr>
      <w:r>
        <w:t xml:space="preserve">IMG-Aktivität öffnen, </w:t>
      </w:r>
      <w:r>
        <w:rPr>
          <w:b/>
          <w:bCs/>
        </w:rPr>
        <w:t xml:space="preserve">Company Code</w:t>
      </w:r>
      <w:r>
        <w:t xml:space="preserve"> </w:t>
      </w:r>
      <w:r>
        <w:rPr>
          <w:rFonts w:ascii="Consolas" w:cs="Consolas" w:eastAsia="Consolas" w:hAnsi="Consolas"/>
          <w:b/>
          <w:bCs/>
          <w:color w:val="1F4E79"/>
        </w:rPr>
        <w:t xml:space="preserve">TA##</w:t>
      </w:r>
      <w:r>
        <w:t xml:space="preserve"> eingeben (Schulung 1 b).</w:t>
      </w:r>
    </w:p>
    <w:p>
      <w:pPr>
        <w:pStyle w:val="ListParagraph"/>
        <w:numPr>
          <w:ilvl w:val="0"/>
          <w:numId w:val="6"/>
        </w:numPr>
        <w:spacing w:after="60"/>
      </w:pPr>
      <w:r>
        <w:t xml:space="preserve">Zuerst </w:t>
      </w:r>
      <w:r>
        <w:rPr>
          <w:b/>
          <w:bCs/>
        </w:rPr>
        <w:t xml:space="preserve">Intervals</w:t>
      </w:r>
      <w:r>
        <w:t xml:space="preserve"> (Anzeigen) wählen und die vorhandenen Nummern (Spalte </w:t>
      </w:r>
      <w:r>
        <w:rPr>
          <w:b/>
          <w:bCs/>
        </w:rPr>
        <w:t xml:space="preserve">No.</w:t>
      </w:r>
      <w:r>
        <w:t xml:space="preserve">) prüfen: erste freie Nummer der Folge A1, A2 … A9, B1 … Z9 ermitteln.</w:t>
      </w:r>
    </w:p>
    <w:p>
      <w:pPr>
        <w:pStyle w:val="ListParagraph"/>
        <w:numPr>
          <w:ilvl w:val="0"/>
          <w:numId w:val="6"/>
        </w:numPr>
        <w:spacing w:after="60"/>
      </w:pPr>
      <w:r>
        <w:rPr>
          <w:b/>
          <w:bCs/>
        </w:rPr>
        <w:t xml:space="preserve">Change Intervals</w:t>
      </w:r>
      <w:r>
        <w:t xml:space="preserve"> (Intervalle ändern) → </w:t>
      </w:r>
      <w:r>
        <w:rPr>
          <w:b/>
          <w:bCs/>
        </w:rPr>
        <w:t xml:space="preserve">Insert Line</w:t>
      </w:r>
      <w:r>
        <w:t xml:space="preserve"> (Einfügen Zeile) – Schulung 1 c)–d).</w:t>
      </w:r>
    </w:p>
    <w:p>
      <w:pPr>
        <w:pStyle w:val="ListParagraph"/>
        <w:numPr>
          <w:ilvl w:val="0"/>
          <w:numId w:val="6"/>
        </w:numPr>
        <w:spacing w:after="60"/>
      </w:pPr>
      <w:r>
        <w:t xml:space="preserve">Daten erfassen (Schulung 1 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No. (Nummernkreisnummer)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nächste freie, z. B. </w:t>
            </w:r>
            <w:r>
              <w:rPr>
                <w:rFonts w:ascii="Consolas" w:cs="Consolas" w:eastAsia="Consolas" w:hAnsi="Consolas"/>
                <w:b/>
                <w:bCs/>
                <w:color w:val="1F4E79"/>
              </w:rPr>
              <w:t xml:space="preserve">A1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Year (Jahr)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Jahr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From No. (von Nummer)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FEES##0000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8600000000</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To Number (Bis Nummer)</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FEES##9999</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8699999999</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Ext. (Extern.)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nicht markieren</w:t>
            </w:r>
          </w:p>
        </w:tc>
      </w:tr>
    </w:tbl>
    <w:p>
      <w:pPr>
        <w:spacing w:after="60"/>
      </w:pPr>
    </w:p>
    <w:p>
      <w:pPr>
        <w:pStyle w:val="ListParagraph"/>
        <w:numPr>
          <w:ilvl w:val="0"/>
          <w:numId w:val="7"/>
        </w:numPr>
        <w:spacing w:after="60"/>
      </w:pPr>
      <w:r>
        <w:t xml:space="preserve">Enter → </w:t>
      </w:r>
      <w:r>
        <w:rPr>
          <w:b/>
          <w:bCs/>
        </w:rPr>
        <w:t xml:space="preserve">Save</w:t>
      </w:r>
      <w:r>
        <w:t xml:space="preserve"> → Dialog „Transport number range intervals" mit </w:t>
      </w:r>
      <w:r>
        <w:rPr>
          <w:b/>
          <w:bCs/>
        </w:rPr>
        <w:t xml:space="preserve">Continue</w:t>
      </w:r>
      <w:r>
        <w:t xml:space="preserve"> (Enter) bestätigen (Schulung 1 f)–h).</w:t>
      </w:r>
    </w:p>
    <w:p>
      <w:pPr>
        <w:pStyle w:val="ListParagraph"/>
        <w:numPr>
          <w:ilvl w:val="0"/>
          <w:numId w:val="7"/>
        </w:numPr>
        <w:spacing w:after="60"/>
      </w:pPr>
      <w:r>
        <w:t xml:space="preserve">In </w:t>
      </w:r>
      <w:r>
        <w:rPr>
          <w:rFonts w:ascii="Consolas" w:cs="Consolas" w:eastAsia="Consolas" w:hAnsi="Consolas"/>
          <w:b/>
          <w:bCs/>
          <w:color w:val="1F4E79"/>
        </w:rPr>
        <w:t xml:space="preserve">OBA7</w:t>
      </w:r>
      <w:r>
        <w:t xml:space="preserve"> bei Belegart ## im Feld </w:t>
      </w:r>
      <w:r>
        <w:rPr>
          <w:b/>
          <w:bCs/>
        </w:rPr>
        <w:t xml:space="preserve">Number range</w:t>
      </w:r>
      <w:r>
        <w:t xml:space="preserve"> diese Nummer eintragen und sichern.</w:t>
      </w:r>
    </w:p>
    <w:p>
      <w:pPr>
        <w:pBdr>
          <w:left w:val="single" w:color="2E75B6" w:sz="24" w:space="6"/>
        </w:pBdr>
        <w:shd w:fill="E8F1FB" w:color="auto" w:val="clear"/>
        <w:spacing w:after="120" w:before="120"/>
        <w:ind w:left="120" w:right="120"/>
      </w:pPr>
      <w:r>
        <w:rPr>
          <w:b/>
          <w:bCs/>
          <w:color w:val="2E75B6"/>
        </w:rPr>
        <w:t xml:space="preserve">Hinweis: </w:t>
      </w:r>
      <w:r>
        <w:t xml:space="preserve">Abweichung zur Schulung: Dort wird interne Nummernvergabe verwendet („Extern." nicht markiert). Weil die alphanumerischen RTA-Nummern übernommen werden, muss in der Prüfung </w:t>
      </w:r>
      <w:r>
        <w:rPr>
          <w:b/>
          <w:bCs/>
        </w:rPr>
        <w:t xml:space="preserve">Ext.</w:t>
      </w:r>
      <w:r>
        <w:t xml:space="preserve"> gesetzt sein; alphanumerische Intervalle sind nur extern zulässig.</w:t>
      </w:r>
    </w:p>
    <w:p>
      <w:pPr>
        <w:pStyle w:val="Heading3"/>
      </w:pPr>
      <w:r>
        <w:t xml:space="preserve">b) Belegart für die Belegaufteilung klassifizieren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13 „Die Belegart für die Belegaufteilung klassifizieren", S. 219–220 (PDF 227–228) – Lösung a)–d): Vorfall 0300 (Kreditorenrechnung), Variante 0001 – entspricht den KR-Einstellungen</w:t>
      </w:r>
    </w:p>
    <w:p>
      <w:pPr>
        <w:pBdr>
          <w:left w:val="single" w:color="F0AB00" w:sz="24" w:space="6"/>
        </w:pBdr>
        <w:shd w:fill="FFF4D6" w:color="auto" w:val="clear"/>
        <w:spacing w:after="120" w:before="120"/>
        <w:ind w:left="120" w:right="120"/>
      </w:pPr>
      <w:r>
        <w:rPr>
          <w:b/>
          <w:bCs/>
          <w:color w:val="F0AB00"/>
        </w:rPr>
        <w:t xml:space="preserve">Transaktion / App: </w:t>
      </w:r>
      <w:r>
        <w:t xml:space="preserve">IMG: Financial Accounting → General Ledger Accounting → Business Transactions → Document Splitting → Classify Document Types for Document Splitting (Schulung: Finanzwesen → Hauptbuchhaltung → Geschäftsvorfälle → Belegaufteilung → Belegarten für Belegaufteilung klassifizieren; Transaktion </w:t>
      </w:r>
      <w:r>
        <w:rPr>
          <w:rFonts w:ascii="Consolas" w:cs="Consolas" w:eastAsia="Consolas" w:hAnsi="Consolas"/>
          <w:b/>
          <w:bCs/>
          <w:color w:val="1F4E79"/>
        </w:rPr>
        <w:t xml:space="preserve">GSP_VZ3</w:t>
      </w:r>
      <w:r>
        <w:t xml:space="preserve">).</w:t>
      </w:r>
    </w:p>
    <w:p>
      <w:pPr>
        <w:pStyle w:val="ListParagraph"/>
        <w:numPr>
          <w:ilvl w:val="0"/>
          <w:numId w:val="8"/>
        </w:numPr>
        <w:spacing w:after="60"/>
      </w:pPr>
      <w:r>
        <w:t xml:space="preserve">IMG-Aktivität öffnen.</w:t>
      </w:r>
    </w:p>
    <w:p>
      <w:pPr>
        <w:pStyle w:val="ListParagraph"/>
        <w:numPr>
          <w:ilvl w:val="0"/>
          <w:numId w:val="8"/>
        </w:numPr>
        <w:spacing w:after="60"/>
      </w:pPr>
      <w:r>
        <w:t xml:space="preserve">Zur Kontrolle mit </w:t>
      </w:r>
      <w:r>
        <w:rPr>
          <w:b/>
          <w:bCs/>
        </w:rPr>
        <w:t xml:space="preserve">Position…</w:t>
      </w:r>
      <w:r>
        <w:t xml:space="preserve"> die Belegart </w:t>
      </w:r>
      <w:r>
        <w:rPr>
          <w:b/>
          <w:bCs/>
        </w:rPr>
        <w:t xml:space="preserve">KR</w:t>
      </w:r>
      <w:r>
        <w:t xml:space="preserve"> anzeigen: Transaction </w:t>
      </w:r>
      <w:r>
        <w:rPr>
          <w:rFonts w:ascii="Consolas" w:cs="Consolas" w:eastAsia="Consolas" w:hAnsi="Consolas"/>
          <w:b/>
          <w:bCs/>
          <w:color w:val="1F4E79"/>
        </w:rPr>
        <w:t xml:space="preserve">0300</w:t>
      </w:r>
      <w:r>
        <w:t xml:space="preserve">, Variant </w:t>
      </w:r>
      <w:r>
        <w:rPr>
          <w:rFonts w:ascii="Consolas" w:cs="Consolas" w:eastAsia="Consolas" w:hAnsi="Consolas"/>
          <w:b/>
          <w:bCs/>
          <w:color w:val="1F4E79"/>
        </w:rPr>
        <w:t xml:space="preserve">0001</w:t>
      </w:r>
      <w:r>
        <w:t xml:space="preserve">.</w:t>
      </w:r>
    </w:p>
    <w:p>
      <w:pPr>
        <w:pStyle w:val="ListParagraph"/>
        <w:numPr>
          <w:ilvl w:val="0"/>
          <w:numId w:val="8"/>
        </w:numPr>
        <w:spacing w:after="60"/>
      </w:pPr>
      <w:r>
        <w:t xml:space="preserve">Mit </w:t>
      </w:r>
      <w:r>
        <w:rPr>
          <w:b/>
          <w:bCs/>
        </w:rPr>
        <w:t xml:space="preserve">Position…</w:t>
      </w:r>
      <w:r>
        <w:t xml:space="preserve"> die Belegart </w:t>
      </w:r>
      <w:r>
        <w:rPr>
          <w:rFonts w:ascii="Consolas" w:cs="Consolas" w:eastAsia="Consolas" w:hAnsi="Consolas"/>
          <w:b/>
          <w:bCs/>
          <w:color w:val="1F4E79"/>
        </w:rPr>
        <w:t xml:space="preserve">##</w:t>
      </w:r>
      <w:r>
        <w:t xml:space="preserve"> auswählen (bzw. </w:t>
      </w:r>
      <w:r>
        <w:rPr>
          <w:b/>
          <w:bCs/>
        </w:rPr>
        <w:t xml:space="preserve">New Entries</w:t>
      </w:r>
      <w:r>
        <w:t xml:space="preserve">).</w:t>
      </w:r>
    </w:p>
    <w:p>
      <w:pPr>
        <w:pStyle w:val="ListParagraph"/>
        <w:numPr>
          <w:ilvl w:val="0"/>
          <w:numId w:val="8"/>
        </w:numPr>
        <w:spacing w:after="60"/>
      </w:pPr>
      <w:r>
        <w:rPr>
          <w:b/>
          <w:bCs/>
        </w:rPr>
        <w:t xml:space="preserve">Transaction</w:t>
      </w:r>
      <w:r>
        <w:t xml:space="preserve"> (Vorfall) </w:t>
      </w:r>
      <w:r>
        <w:rPr>
          <w:rFonts w:ascii="Consolas" w:cs="Consolas" w:eastAsia="Consolas" w:hAnsi="Consolas"/>
          <w:b/>
          <w:bCs/>
          <w:color w:val="1F4E79"/>
        </w:rPr>
        <w:t xml:space="preserve">0300</w:t>
      </w:r>
      <w:r>
        <w:t xml:space="preserve"> (Vendor invoice / Kreditorenrechnung), </w:t>
      </w:r>
      <w:r>
        <w:rPr>
          <w:b/>
          <w:bCs/>
        </w:rPr>
        <w:t xml:space="preserve">Variant</w:t>
      </w:r>
      <w:r>
        <w:t xml:space="preserve"> </w:t>
      </w:r>
      <w:r>
        <w:rPr>
          <w:rFonts w:ascii="Consolas" w:cs="Consolas" w:eastAsia="Consolas" w:hAnsi="Consolas"/>
          <w:b/>
          <w:bCs/>
          <w:color w:val="1F4E79"/>
        </w:rPr>
        <w:t xml:space="preserve">0001</w:t>
      </w:r>
      <w:r>
        <w:t xml:space="preserve"> (Standard) eintragen.</w:t>
      </w:r>
    </w:p>
    <w:p>
      <w:pPr>
        <w:pStyle w:val="ListParagraph"/>
        <w:numPr>
          <w:ilvl w:val="0"/>
          <w:numId w:val="8"/>
        </w:numPr>
        <w:spacing w:after="60"/>
      </w:pPr>
      <w:r>
        <w:rPr>
          <w:b/>
          <w:bCs/>
        </w:rPr>
        <w:t xml:space="preserve">Save</w:t>
      </w:r>
      <w:r>
        <w:t xml:space="preserve"> (Schulung d).</w:t>
      </w:r>
    </w:p>
    <w:p>
      <w:pPr>
        <w:pStyle w:val="Heading2"/>
      </w:pPr>
      <w:r>
        <w:t xml:space="preserve">Schritt 3.3 – Lieferant RTA##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Lieferant RTA##, Name „Road Transit Authority ##", SAP St. ##, 10117 Berlin, DE. Gruppierung BPAB (Ext. Alpha num), Rolle FLVN00 (FI Vendor), Abstimmkonto 21100000, Zahlungsbedingung 0003, Zuordnung automatisch „Pstng yr,month,curr."</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9 „Customizing-Einstellungen für GP-Gruppierungen … (Aufgabe 3: Einen Geschäftspartner (Kreditor) anlegen)", S. 177–179 (PDF 185–187) – Organisation, externe alphanumerische Gruppierung, Buchungskreisdaten, Abstimmkonto 21100000; </w:t>
      </w:r>
      <w:r>
        <w:rPr>
          <w:b/>
          <w:bCs/>
        </w:rPr>
        <w:t xml:space="preserve">S4F10</w:t>
      </w:r>
      <w:r>
        <w:t xml:space="preserve">, Übung 13 „Kreditorenstammsatz anlegen", S. 117–120 (PDF 127–130) – Registerkarten „Lieferant: Kontoführung" (Abstimmkonto, Sortierschlüssel) und „Lieferant: Zahlungsverkehr" (Zahlungsbedingung); Standardrolle FLVN00: S4F12 Lösung 9, Aufgabe 1 Schritt 2, S. 170 (PDF 178).</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Maintain Business Partner</w:t>
      </w:r>
      <w:r>
        <w:t xml:space="preserve"> (Geschäftspartner pflegen), Kachelgruppe Kreditoren – entspricht Transaktion </w:t>
      </w:r>
      <w:r>
        <w:rPr>
          <w:rFonts w:ascii="Consolas" w:cs="Consolas" w:eastAsia="Consolas" w:hAnsi="Consolas"/>
          <w:b/>
          <w:bCs/>
          <w:color w:val="1F4E79"/>
        </w:rPr>
        <w:t xml:space="preserve">BP</w:t>
      </w:r>
      <w:r>
        <w:t xml:space="preserve">.</w:t>
      </w:r>
    </w:p>
    <w:p>
      <w:pPr>
        <w:pStyle w:val="ListParagraph"/>
        <w:numPr>
          <w:ilvl w:val="0"/>
          <w:numId w:val="9"/>
        </w:numPr>
        <w:spacing w:after="60"/>
      </w:pPr>
      <w:r>
        <w:t xml:space="preserve">App </w:t>
      </w:r>
      <w:r>
        <w:rPr>
          <w:b/>
          <w:bCs/>
        </w:rPr>
        <w:t xml:space="preserve">Maintain Business Partner</w:t>
      </w:r>
      <w:r>
        <w:t xml:space="preserve"> (Geschäftspartner pflegen) öffnen → </w:t>
      </w:r>
      <w:r>
        <w:rPr>
          <w:b/>
          <w:bCs/>
        </w:rPr>
        <w:t xml:space="preserve">Organization</w:t>
      </w:r>
      <w:r>
        <w:t xml:space="preserve"> (Organisation) wählen (Schulung S4F12 S. 178 b).</w:t>
      </w:r>
    </w:p>
    <w:p>
      <w:pPr>
        <w:pStyle w:val="ListParagraph"/>
        <w:numPr>
          <w:ilvl w:val="0"/>
          <w:numId w:val="9"/>
        </w:numPr>
        <w:spacing w:after="60"/>
      </w:pPr>
      <w:r>
        <w:t xml:space="preserve">Erfassen: </w:t>
      </w:r>
      <w:r>
        <w:rPr>
          <w:b/>
          <w:bCs/>
        </w:rPr>
        <w:t xml:space="preserve">Business Partner</w:t>
      </w:r>
      <w:r>
        <w:t xml:space="preserve"> </w:t>
      </w:r>
      <w:r>
        <w:rPr>
          <w:rFonts w:ascii="Consolas" w:cs="Consolas" w:eastAsia="Consolas" w:hAnsi="Consolas"/>
          <w:b/>
          <w:bCs/>
          <w:color w:val="1F4E79"/>
        </w:rPr>
        <w:t xml:space="preserve">RTA##</w:t>
      </w:r>
      <w:r>
        <w:t xml:space="preserve">, </w:t>
      </w:r>
      <w:r>
        <w:rPr>
          <w:b/>
          <w:bCs/>
        </w:rPr>
        <w:t xml:space="preserve">Grouping</w:t>
      </w:r>
      <w:r>
        <w:t xml:space="preserve"> </w:t>
      </w:r>
      <w:r>
        <w:rPr>
          <w:rFonts w:ascii="Consolas" w:cs="Consolas" w:eastAsia="Consolas" w:hAnsi="Consolas"/>
          <w:b/>
          <w:bCs/>
          <w:color w:val="1F4E79"/>
        </w:rPr>
        <w:t xml:space="preserve">BPAB – Ext. Alpha num</w:t>
      </w:r>
      <w:r>
        <w:t xml:space="preserve"> (Schulung: „Ext.alphanum.Numm. (a-z; CUST/VEND)"), </w:t>
      </w:r>
      <w:r>
        <w:rPr>
          <w:b/>
          <w:bCs/>
        </w:rPr>
        <w:t xml:space="preserve">Create in BP role</w:t>
      </w:r>
      <w:r>
        <w:t xml:space="preserve"> </w:t>
      </w:r>
      <w:r>
        <w:rPr>
          <w:rFonts w:ascii="Consolas" w:cs="Consolas" w:eastAsia="Consolas" w:hAnsi="Consolas"/>
          <w:b/>
          <w:bCs/>
          <w:color w:val="1F4E79"/>
        </w:rPr>
        <w:t xml:space="preserve">FLVN00 – FI Vendor</w:t>
      </w:r>
      <w:r>
        <w:t xml:space="preserve"> (Schulung: Training FI Vendor S4F bzw. FI-Kreditor).</w:t>
      </w:r>
    </w:p>
    <w:p>
      <w:pPr>
        <w:pStyle w:val="ListParagraph"/>
        <w:numPr>
          <w:ilvl w:val="0"/>
          <w:numId w:val="9"/>
        </w:numPr>
        <w:spacing w:after="60"/>
      </w:pPr>
      <w:r>
        <w:t xml:space="preserve">Dialog zum Rollenwechsel mit </w:t>
      </w:r>
      <w:r>
        <w:rPr>
          <w:b/>
          <w:bCs/>
        </w:rPr>
        <w:t xml:space="preserve">Create</w:t>
      </w:r>
      <w:r>
        <w:t xml:space="preserve"> (Anlegen) bestätigen (Schulung d).</w:t>
      </w:r>
    </w:p>
    <w:p>
      <w:pPr>
        <w:pStyle w:val="ListParagraph"/>
        <w:numPr>
          <w:ilvl w:val="0"/>
          <w:numId w:val="9"/>
        </w:numPr>
        <w:spacing w:after="60"/>
      </w:pPr>
      <w:r>
        <w:t xml:space="preserve">Registerkarte </w:t>
      </w:r>
      <w:r>
        <w:rPr>
          <w:b/>
          <w:bCs/>
        </w:rPr>
        <w:t xml:space="preserve">Address</w:t>
      </w:r>
      <w:r>
        <w:t xml:space="preserve"> (Anschrift): </w:t>
      </w:r>
      <w:r>
        <w:rPr>
          <w:b/>
          <w:bCs/>
        </w:rPr>
        <w:t xml:space="preserve">Name</w:t>
      </w:r>
      <w:r>
        <w:t xml:space="preserve"> </w:t>
      </w:r>
      <w:r>
        <w:rPr>
          <w:rFonts w:ascii="Consolas" w:cs="Consolas" w:eastAsia="Consolas" w:hAnsi="Consolas"/>
          <w:b/>
          <w:bCs/>
          <w:color w:val="1F4E79"/>
        </w:rPr>
        <w:t xml:space="preserve">Road Transit Authority ##</w:t>
      </w:r>
      <w:r>
        <w:t xml:space="preserve">, </w:t>
      </w:r>
      <w:r>
        <w:rPr>
          <w:b/>
          <w:bCs/>
        </w:rPr>
        <w:t xml:space="preserve">Search Term 1</w:t>
      </w:r>
      <w:r>
        <w:t xml:space="preserve"> z. B. </w:t>
      </w:r>
      <w:r>
        <w:rPr>
          <w:rFonts w:ascii="Consolas" w:cs="Consolas" w:eastAsia="Consolas" w:hAnsi="Consolas"/>
          <w:b/>
          <w:bCs/>
          <w:color w:val="1F4E79"/>
        </w:rPr>
        <w:t xml:space="preserve">RTA##</w:t>
      </w:r>
      <w:r>
        <w:t xml:space="preserve">, </w:t>
      </w:r>
      <w:r>
        <w:rPr>
          <w:b/>
          <w:bCs/>
        </w:rPr>
        <w:t xml:space="preserve">Street / House Number</w:t>
      </w:r>
      <w:r>
        <w:t xml:space="preserve"> </w:t>
      </w:r>
      <w:r>
        <w:rPr>
          <w:rFonts w:ascii="Consolas" w:cs="Consolas" w:eastAsia="Consolas" w:hAnsi="Consolas"/>
          <w:b/>
          <w:bCs/>
          <w:color w:val="1F4E79"/>
        </w:rPr>
        <w:t xml:space="preserve">SAP St.</w:t>
      </w:r>
      <w:r>
        <w:t xml:space="preserve"> / </w:t>
      </w:r>
      <w:r>
        <w:rPr>
          <w:rFonts w:ascii="Consolas" w:cs="Consolas" w:eastAsia="Consolas" w:hAnsi="Consolas"/>
          <w:b/>
          <w:bCs/>
          <w:color w:val="1F4E79"/>
        </w:rPr>
        <w:t xml:space="preserve">##</w:t>
      </w:r>
      <w:r>
        <w:t xml:space="preserve">, </w:t>
      </w:r>
      <w:r>
        <w:rPr>
          <w:b/>
          <w:bCs/>
        </w:rPr>
        <w:t xml:space="preserve">Postal Code</w:t>
      </w:r>
      <w:r>
        <w:t xml:space="preserve"> </w:t>
      </w:r>
      <w:r>
        <w:rPr>
          <w:rFonts w:ascii="Consolas" w:cs="Consolas" w:eastAsia="Consolas" w:hAnsi="Consolas"/>
          <w:b/>
          <w:bCs/>
          <w:color w:val="1F4E79"/>
        </w:rPr>
        <w:t xml:space="preserve">10117</w:t>
      </w:r>
      <w:r>
        <w:t xml:space="preserve">, </w:t>
      </w:r>
      <w:r>
        <w:rPr>
          <w:b/>
          <w:bCs/>
        </w:rPr>
        <w:t xml:space="preserve">City</w:t>
      </w:r>
      <w:r>
        <w:t xml:space="preserve"> </w:t>
      </w:r>
      <w:r>
        <w:rPr>
          <w:rFonts w:ascii="Consolas" w:cs="Consolas" w:eastAsia="Consolas" w:hAnsi="Consolas"/>
          <w:b/>
          <w:bCs/>
          <w:color w:val="1F4E79"/>
        </w:rPr>
        <w:t xml:space="preserve">Berlin</w:t>
      </w:r>
      <w:r>
        <w:t xml:space="preserve">, </w:t>
      </w:r>
      <w:r>
        <w:rPr>
          <w:b/>
          <w:bCs/>
        </w:rPr>
        <w:t xml:space="preserve">Country</w:t>
      </w:r>
      <w:r>
        <w:t xml:space="preserve"> </w:t>
      </w:r>
      <w:r>
        <w:rPr>
          <w:rFonts w:ascii="Consolas" w:cs="Consolas" w:eastAsia="Consolas" w:hAnsi="Consolas"/>
          <w:b/>
          <w:bCs/>
          <w:color w:val="1F4E79"/>
        </w:rPr>
        <w:t xml:space="preserve">DE</w:t>
      </w:r>
      <w:r>
        <w:t xml:space="preserve">, </w:t>
      </w:r>
      <w:r>
        <w:rPr>
          <w:b/>
          <w:bCs/>
        </w:rPr>
        <w:t xml:space="preserve">Language</w:t>
      </w:r>
      <w:r>
        <w:t xml:space="preserve"> z. B. EN (Schulung e).</w:t>
      </w:r>
    </w:p>
    <w:p>
      <w:pPr>
        <w:pStyle w:val="ListParagraph"/>
        <w:numPr>
          <w:ilvl w:val="0"/>
          <w:numId w:val="9"/>
        </w:numPr>
        <w:spacing w:after="60"/>
      </w:pPr>
      <w:r>
        <w:t xml:space="preserve">Oben </w:t>
      </w:r>
      <w:r>
        <w:rPr>
          <w:b/>
          <w:bCs/>
        </w:rPr>
        <w:t xml:space="preserve">Company Code</w:t>
      </w:r>
      <w:r>
        <w:t xml:space="preserve"> (Buchungskreis) wählen, </w:t>
      </w:r>
      <w:r>
        <w:rPr>
          <w:rFonts w:ascii="Consolas" w:cs="Consolas" w:eastAsia="Consolas" w:hAnsi="Consolas"/>
          <w:b/>
          <w:bCs/>
          <w:color w:val="1F4E79"/>
        </w:rPr>
        <w:t xml:space="preserve">TA##</w:t>
      </w:r>
      <w:r>
        <w:t xml:space="preserve"> eingeben, Enter (Schulung f–g).</w:t>
      </w:r>
    </w:p>
    <w:p>
      <w:pPr>
        <w:pStyle w:val="ListParagraph"/>
        <w:numPr>
          <w:ilvl w:val="0"/>
          <w:numId w:val="9"/>
        </w:numPr>
        <w:spacing w:after="60"/>
      </w:pPr>
      <w:r>
        <w:t xml:space="preserve">Registerkarte </w:t>
      </w:r>
      <w:r>
        <w:rPr>
          <w:b/>
          <w:bCs/>
        </w:rPr>
        <w:t xml:space="preserve">Vendor: Account Management</w:t>
      </w:r>
      <w:r>
        <w:t xml:space="preserve"> (Lieferant: Kontoführung): </w:t>
      </w:r>
      <w:r>
        <w:rPr>
          <w:b/>
          <w:bCs/>
        </w:rPr>
        <w:t xml:space="preserve">Reconciliation acct</w:t>
      </w:r>
      <w:r>
        <w:t xml:space="preserve"> </w:t>
      </w:r>
      <w:r>
        <w:rPr>
          <w:rFonts w:ascii="Consolas" w:cs="Consolas" w:eastAsia="Consolas" w:hAnsi="Consolas"/>
          <w:b/>
          <w:bCs/>
          <w:color w:val="1F4E79"/>
        </w:rPr>
        <w:t xml:space="preserve">21100000</w:t>
      </w:r>
      <w:r>
        <w:t xml:space="preserve"> (Trade Payables domestic); </w:t>
      </w:r>
      <w:r>
        <w:rPr>
          <w:b/>
          <w:bCs/>
        </w:rPr>
        <w:t xml:space="preserve">Sort Key</w:t>
      </w:r>
      <w:r>
        <w:t xml:space="preserve"> (SortierSchlüssel): per F4 den Schlüssel mit der Bezeichnung </w:t>
      </w:r>
      <w:r>
        <w:rPr>
          <w:b/>
          <w:bCs/>
        </w:rPr>
        <w:t xml:space="preserve">„Pstng yr,month,curr."</w:t>
      </w:r>
      <w:r>
        <w:t xml:space="preserve"> wählen (Schulung S4F10 S. 118: Feld SortierSchlüssel auf dieser Registerkarte, dort Wert 001).</w:t>
      </w:r>
    </w:p>
    <w:p>
      <w:pPr>
        <w:pStyle w:val="ListParagraph"/>
        <w:numPr>
          <w:ilvl w:val="0"/>
          <w:numId w:val="9"/>
        </w:numPr>
        <w:spacing w:after="60"/>
      </w:pPr>
      <w:r>
        <w:t xml:space="preserve">Registerkarte </w:t>
      </w:r>
      <w:r>
        <w:rPr>
          <w:b/>
          <w:bCs/>
        </w:rPr>
        <w:t xml:space="preserve">Vendor: Payment Transactions</w:t>
      </w:r>
      <w:r>
        <w:t xml:space="preserve"> (Lieferant: Zahlungsverkehr): </w:t>
      </w:r>
      <w:r>
        <w:rPr>
          <w:b/>
          <w:bCs/>
        </w:rPr>
        <w:t xml:space="preserve">Payment Terms</w:t>
      </w:r>
      <w:r>
        <w:t xml:space="preserve"> </w:t>
      </w:r>
      <w:r>
        <w:rPr>
          <w:rFonts w:ascii="Consolas" w:cs="Consolas" w:eastAsia="Consolas" w:hAnsi="Consolas"/>
          <w:b/>
          <w:bCs/>
          <w:color w:val="1F4E79"/>
        </w:rPr>
        <w:t xml:space="preserve">0003</w:t>
      </w:r>
      <w:r>
        <w:t xml:space="preserve"> (Schulung S4F10 S. 118: Zahlungsbedingung 0001).</w:t>
      </w:r>
    </w:p>
    <w:p>
      <w:pPr>
        <w:pStyle w:val="ListParagraph"/>
        <w:numPr>
          <w:ilvl w:val="0"/>
          <w:numId w:val="9"/>
        </w:numPr>
        <w:spacing w:after="60"/>
      </w:pPr>
      <w:r>
        <w:rPr>
          <w:b/>
          <w:bCs/>
        </w:rPr>
        <w:t xml:space="preserve">Save</w:t>
      </w:r>
      <w:r>
        <w:t xml:space="preserve"> → Meldung „Business partner RTA## created" (Schulung S4F12 S. 179 i).</w:t>
      </w:r>
    </w:p>
    <w:p>
      <w:pPr>
        <w:pBdr>
          <w:left w:val="single" w:color="2E75B6" w:sz="24" w:space="6"/>
        </w:pBdr>
        <w:shd w:fill="E8F1FB" w:color="auto" w:val="clear"/>
        <w:spacing w:after="120" w:before="120"/>
        <w:ind w:left="120" w:right="120"/>
      </w:pPr>
      <w:r>
        <w:rPr>
          <w:b/>
          <w:bCs/>
          <w:color w:val="2E75B6"/>
        </w:rPr>
        <w:t xml:space="preserve">Hinweis: </w:t>
      </w:r>
      <w:r>
        <w:t xml:space="preserve">Das Feld </w:t>
      </w:r>
      <w:r>
        <w:rPr>
          <w:b/>
          <w:bCs/>
        </w:rPr>
        <w:t xml:space="preserve">Assignment</w:t>
      </w:r>
      <w:r>
        <w:t xml:space="preserve"> (Zuordnung) wird über den </w:t>
      </w:r>
      <w:r>
        <w:rPr>
          <w:b/>
          <w:bCs/>
        </w:rPr>
        <w:t xml:space="preserve">Sortierschlüssel</w:t>
      </w:r>
      <w:r>
        <w:t xml:space="preserve"> im Stammsatz automatisch gefüllt. Die Schulung zeigt Sortierschlüssel-Werte 001/003/008 (S4F10 S. 118, S4F12 S. 120/123); der Schlüssel „Pstng yr,month,curr." kommt nicht vor – daher per F4-Hilfe nach dem Text suchen. Ist das Feld nicht eingabebereit, liegt das am Feldstatus (siehe S4F12 Ü10, S. 183–184).</w:t>
      </w:r>
    </w:p>
    <w:p>
      <w:pPr>
        <w:pStyle w:val="Heading2"/>
      </w:pPr>
      <w:r>
        <w:t xml:space="preserve">Schritt 3.4 – Test: Eingangsrechnung mit Belegart ##</w:t>
      </w:r>
    </w:p>
    <w:p>
      <w:pPr>
        <w:pBdr>
          <w:left w:val="single" w:color="7F7F7F" w:sz="24" w:space="6"/>
        </w:pBdr>
        <w:shd w:fill="EDEDED" w:color="auto" w:val="clear"/>
        <w:spacing w:after="120" w:before="120"/>
        <w:ind w:left="120" w:right="120"/>
      </w:pPr>
      <w:r>
        <w:rPr>
          <w:b/>
          <w:bCs/>
          <w:color w:val="7F7F7F"/>
        </w:rPr>
        <w:t xml:space="preserve">Aufgabe (Original): </w:t>
      </w:r>
      <w:r>
        <w:t xml:space="preserve">App „Create Incoming Invoices", Belegart ##, Rechnung FEES##7788, 500 EUR + 10 % USt, Datum heute, Sachkonto 61005000, Kostenstelle TA##1100, Belegkopftext ##.</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17 „FI-Belege buchen", S. 258–260 (PDF 266–268) – Schritt 2: Eingangsrechnung mit eigener Belegart ##, Steuer rechnen, Steuerkennzeichen 1I, Hinweis zu den Bearbeitungsoptionen für das Feld Belegart; </w:t>
      </w:r>
      <w:r>
        <w:rPr>
          <w:b/>
          <w:bCs/>
        </w:rPr>
        <w:t xml:space="preserve">S4F13</w:t>
      </w:r>
      <w:r>
        <w:t xml:space="preserve">, Übung 4 „Belege für automatische Zahlungen eingeben", S. 43–44 (PDF 51–52)</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Create Incoming Invoices</w:t>
      </w:r>
      <w:r>
        <w:t xml:space="preserve"> (Eingangsrechnungen anlegen), Kachelgruppe Kreditoren – entspricht </w:t>
      </w:r>
      <w:r>
        <w:rPr>
          <w:rFonts w:ascii="Consolas" w:cs="Consolas" w:eastAsia="Consolas" w:hAnsi="Consolas"/>
          <w:b/>
          <w:bCs/>
          <w:color w:val="1F4E79"/>
        </w:rPr>
        <w:t xml:space="preserve">FB60</w:t>
      </w:r>
      <w:r>
        <w:t xml:space="preserve">.</w:t>
      </w:r>
    </w:p>
    <w:p>
      <w:pPr>
        <w:pStyle w:val="ListParagraph"/>
        <w:numPr>
          <w:ilvl w:val="0"/>
          <w:numId w:val="10"/>
        </w:numPr>
        <w:spacing w:after="60"/>
      </w:pPr>
      <w:r>
        <w:t xml:space="preserve">App öffnen; bei Aufforderung </w:t>
      </w:r>
      <w:r>
        <w:rPr>
          <w:b/>
          <w:bCs/>
        </w:rPr>
        <w:t xml:space="preserve">Company Code</w:t>
      </w:r>
      <w:r>
        <w:t xml:space="preserve"> </w:t>
      </w:r>
      <w:r>
        <w:rPr>
          <w:rFonts w:ascii="Consolas" w:cs="Consolas" w:eastAsia="Consolas" w:hAnsi="Consolas"/>
          <w:b/>
          <w:bCs/>
          <w:color w:val="1F4E79"/>
        </w:rPr>
        <w:t xml:space="preserve">TA##</w:t>
      </w:r>
      <w:r>
        <w:t xml:space="preserve"> (sonst Drucktaste </w:t>
      </w:r>
      <w:r>
        <w:rPr>
          <w:b/>
          <w:bCs/>
        </w:rPr>
        <w:t xml:space="preserve">Change Company Code</w:t>
      </w:r>
      <w:r>
        <w:t xml:space="preserve">, F7 – Schulung S4F12 S. 259 b).</w:t>
      </w:r>
    </w:p>
    <w:p>
      <w:pPr>
        <w:pStyle w:val="ListParagraph"/>
        <w:numPr>
          <w:ilvl w:val="0"/>
          <w:numId w:val="10"/>
        </w:numPr>
        <w:spacing w:after="60"/>
      </w:pPr>
      <w:r>
        <w:t xml:space="preserve">Wird das Feld </w:t>
      </w:r>
      <w:r>
        <w:rPr>
          <w:b/>
          <w:bCs/>
        </w:rPr>
        <w:t xml:space="preserve">Document Type</w:t>
      </w:r>
      <w:r>
        <w:t xml:space="preserve"> nicht angezeigt: </w:t>
      </w:r>
      <w:r>
        <w:rPr>
          <w:b/>
          <w:bCs/>
        </w:rPr>
        <w:t xml:space="preserve">Editing Options</w:t>
      </w:r>
      <w:r>
        <w:t xml:space="preserve"> (Bearbeitungsoptionen) → </w:t>
      </w:r>
      <w:r>
        <w:rPr>
          <w:b/>
          <w:bCs/>
        </w:rPr>
        <w:t xml:space="preserve">Doc. Type Option</w:t>
      </w:r>
      <w:r>
        <w:t xml:space="preserve"> „Document type ready for input" bzw. „4 Eingabe mit Kurzbezeichnung" → </w:t>
      </w:r>
      <w:r>
        <w:rPr>
          <w:b/>
          <w:bCs/>
        </w:rPr>
        <w:t xml:space="preserve">Change user master</w:t>
      </w:r>
      <w:r>
        <w:t xml:space="preserve"> → Back (Hinweis S4F12 S. 259 / S4F13 S. 44 c).</w:t>
      </w:r>
    </w:p>
    <w:p>
      <w:pPr>
        <w:pStyle w:val="ListParagraph"/>
        <w:numPr>
          <w:ilvl w:val="0"/>
          <w:numId w:val="10"/>
        </w:numPr>
        <w:spacing w:after="60"/>
      </w:pPr>
      <w:r>
        <w:t xml:space="preserve">Registerkarte </w:t>
      </w:r>
      <w:r>
        <w:rPr>
          <w:b/>
          <w:bCs/>
        </w:rPr>
        <w:t xml:space="preserve">Basic Data</w:t>
      </w:r>
      <w:r>
        <w:t xml:space="preserve"> (Grunddaten):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58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Supplier (Lieferant)</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RTA##</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Invoice Date (Rechnungsdatum)</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Reference (Referenz)</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FEES##7788</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Document Type (Belegart)</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w:t>
            </w:r>
            <w:r>
              <w:t xml:space="preserve"> (Toll Fees ##)</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Amount (Betrag) / Currency</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550,00</w:t>
            </w:r>
            <w:r>
              <w:t xml:space="preserve"> EUR (500 netto + 10 %)</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Calculate Tax (Steuer rechnen)</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r>
      <w:tr>
        <w:trPr>
          <w:tblHeader w:val="false"/>
        </w:trPr>
        <w:tc>
          <w:tcPr>
            <w:tcW w:type="dxa" w:w="38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Tax Code (Steuerkennzeichen)</w:t>
            </w:r>
          </w:p>
        </w:tc>
        <w:tc>
          <w:tcPr>
            <w:tcW w:type="dxa" w:w="58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1I</w:t>
            </w:r>
            <w:r>
              <w:t xml:space="preserve"> (10 % Input Tax (Training))</w:t>
            </w:r>
          </w:p>
        </w:tc>
      </w:tr>
    </w:tbl>
    <w:p>
      <w:pPr>
        <w:spacing w:after="60"/>
      </w:pPr>
    </w:p>
    <w:p>
      <w:pPr>
        <w:pStyle w:val="ListParagraph"/>
        <w:numPr>
          <w:ilvl w:val="0"/>
          <w:numId w:val="11"/>
        </w:numPr>
        <w:spacing w:after="60"/>
      </w:pPr>
      <w:r>
        <w:t xml:space="preserve">Positionszeile: </w:t>
      </w:r>
      <w:r>
        <w:rPr>
          <w:b/>
          <w:bCs/>
        </w:rPr>
        <w:t xml:space="preserve">G/L Account</w:t>
      </w:r>
      <w:r>
        <w:t xml:space="preserve"> </w:t>
      </w:r>
      <w:r>
        <w:rPr>
          <w:rFonts w:ascii="Consolas" w:cs="Consolas" w:eastAsia="Consolas" w:hAnsi="Consolas"/>
          <w:b/>
          <w:bCs/>
          <w:color w:val="1F4E79"/>
        </w:rPr>
        <w:t xml:space="preserve">61005000</w:t>
      </w:r>
      <w:r>
        <w:t xml:space="preserve">, </w:t>
      </w:r>
      <w:r>
        <w:rPr>
          <w:b/>
          <w:bCs/>
        </w:rPr>
        <w:t xml:space="preserve">D/C</w:t>
      </w:r>
      <w:r>
        <w:t xml:space="preserve"> Debit (Soll), </w:t>
      </w:r>
      <w:r>
        <w:rPr>
          <w:b/>
          <w:bCs/>
        </w:rPr>
        <w:t xml:space="preserve">Amount in Doc. Curr.</w:t>
      </w:r>
      <w:r>
        <w:t xml:space="preserve"> </w:t>
      </w:r>
      <w:r>
        <w:rPr>
          <w:rFonts w:ascii="Consolas" w:cs="Consolas" w:eastAsia="Consolas" w:hAnsi="Consolas"/>
          <w:b/>
          <w:bCs/>
          <w:color w:val="1F4E79"/>
        </w:rPr>
        <w:t xml:space="preserve">*</w:t>
      </w:r>
      <w:r>
        <w:t xml:space="preserve"> (Schulung S4F13 S. 44 g), </w:t>
      </w:r>
      <w:r>
        <w:rPr>
          <w:b/>
          <w:bCs/>
        </w:rPr>
        <w:t xml:space="preserve">Cost Center</w:t>
      </w:r>
      <w:r>
        <w:t xml:space="preserve"> </w:t>
      </w:r>
      <w:r>
        <w:rPr>
          <w:rFonts w:ascii="Consolas" w:cs="Consolas" w:eastAsia="Consolas" w:hAnsi="Consolas"/>
          <w:b/>
          <w:bCs/>
          <w:color w:val="1F4E79"/>
        </w:rPr>
        <w:t xml:space="preserve">TA##1100</w:t>
      </w:r>
      <w:r>
        <w:t xml:space="preserve">.</w:t>
      </w:r>
    </w:p>
    <w:p>
      <w:pPr>
        <w:pStyle w:val="ListParagraph"/>
        <w:numPr>
          <w:ilvl w:val="0"/>
          <w:numId w:val="11"/>
        </w:numPr>
        <w:spacing w:after="60"/>
      </w:pPr>
      <w:r>
        <w:t xml:space="preserve">Externe Nummernvergabe: Das System fordert die </w:t>
      </w:r>
      <w:r>
        <w:rPr>
          <w:b/>
          <w:bCs/>
        </w:rPr>
        <w:t xml:space="preserve">Document Number</w:t>
      </w:r>
      <w:r>
        <w:t xml:space="preserve"> an → </w:t>
      </w:r>
      <w:r>
        <w:rPr>
          <w:rFonts w:ascii="Consolas" w:cs="Consolas" w:eastAsia="Consolas" w:hAnsi="Consolas"/>
          <w:b/>
          <w:bCs/>
          <w:color w:val="1F4E79"/>
        </w:rPr>
        <w:t xml:space="preserve">FEES##7788</w:t>
      </w:r>
      <w:r>
        <w:t xml:space="preserve"> eingeben. Wird nach dem </w:t>
      </w:r>
      <w:r>
        <w:rPr>
          <w:b/>
          <w:bCs/>
        </w:rPr>
        <w:t xml:space="preserve">Doc. Header Text</w:t>
      </w:r>
      <w:r>
        <w:t xml:space="preserve"> gefragt (Mussfeld aus 3.1) → </w:t>
      </w:r>
      <w:r>
        <w:rPr>
          <w:rFonts w:ascii="Consolas" w:cs="Consolas" w:eastAsia="Consolas" w:hAnsi="Consolas"/>
          <w:b/>
          <w:bCs/>
          <w:color w:val="1F4E79"/>
        </w:rPr>
        <w:t xml:space="preserve">##</w:t>
      </w:r>
      <w:r>
        <w:t xml:space="preserve">.</w:t>
      </w:r>
    </w:p>
    <w:p>
      <w:pPr>
        <w:pStyle w:val="ListParagraph"/>
        <w:numPr>
          <w:ilvl w:val="0"/>
          <w:numId w:val="11"/>
        </w:numPr>
        <w:spacing w:after="60"/>
      </w:pPr>
      <w:r>
        <w:rPr>
          <w:b/>
          <w:bCs/>
        </w:rPr>
        <w:t xml:space="preserve">Simulate</w:t>
      </w:r>
      <w:r>
        <w:t xml:space="preserve"> → prüfen: Kreditor 550 Haben, 61005000 500 Soll mit TA##1100, Vorsteuer 50 Soll, Zuordnung beim Kreditor gefüllt, Zahlungsbedingung 0003 → </w:t>
      </w:r>
      <w:r>
        <w:rPr>
          <w:b/>
          <w:bCs/>
        </w:rPr>
        <w:t xml:space="preserve">Post</w:t>
      </w:r>
      <w:r>
        <w:t xml:space="preserve">.</w:t>
      </w:r>
    </w:p>
    <w:p>
      <w:pPr>
        <w:pBdr>
          <w:left w:val="single" w:color="548235" w:sz="24" w:space="6"/>
        </w:pBdr>
        <w:shd w:fill="E9F5E9" w:color="auto" w:val="clear"/>
        <w:spacing w:after="120" w:before="120"/>
        <w:ind w:left="120" w:right="120"/>
      </w:pPr>
      <w:r>
        <w:rPr>
          <w:b/>
          <w:bCs/>
          <w:color w:val="548235"/>
        </w:rPr>
        <w:t xml:space="preserve">Ergebnis / Kontrolle: </w:t>
      </w:r>
      <w:r>
        <w:t xml:space="preserve">Beleg FEES##7788 in TA## mit Belegart ##, Belegkopftext ##, Zuordnung (Jahr/Monat/Währung).</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Die Erfassung einer </w:t>
      </w:r>
      <w:r>
        <w:rPr>
          <w:b/>
          <w:bCs/>
        </w:rPr>
        <w:t xml:space="preserve">externen Belegnummer</w:t>
      </w:r>
      <w:r>
        <w:t xml:space="preserve"> in der Enjoy-Transaktion ist in den Unterlagen nicht beschrieben (Schulung verwendet interne Nummern). Je nach Release erscheint das Feld „Document Number" im Kopf oder als Abfrage beim Buchen.</w:t>
      </w:r>
    </w:p>
    <w:p>
      <w:r>
        <w:br w:type="page"/>
      </w:r>
    </w:p>
    <w:p>
      <w:pPr>
        <w:pStyle w:val="Heading1"/>
      </w:pPr>
      <w:r>
        <w:t xml:space="preserve">Task 4: Closing Operations – Perform Value Adjustments for Overdue Receivables</w:t>
      </w:r>
    </w:p>
    <w:p>
      <w:pPr>
        <w:pStyle w:val="Heading2"/>
      </w:pPr>
      <w:r>
        <w:t xml:space="preserve">Schritt 4.1 – Neuen Wertberichtigungsschlüssel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Wertberichtigungsschlüssel ##: ab 30 Tagen 10 %, ab 60 Tagen 20 %; für den Bewertungsbereich zu Ledger 0L in TA##; Basis gebuchte Nettobeträge.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Lektion „Wertberichtigungen verwalten", S. 163 (PDF 171): Schritt 1 „Definieren Sie im Customizing der Debitorenbuchhaltung für einen Wertberichtigungsschlüssel den Sollzinssatz (prozentualer Aufwand) und die Überfälligkeit in Tagen"; Schritt 3 „Ordnen Sie den Wertberichtigungsschlüssel dem Stammsatz jedes Debitorenkontos zu". Bewertungsbereich der Schulung: </w:t>
      </w:r>
      <w:r>
        <w:rPr>
          <w:b/>
          <w:bCs/>
        </w:rPr>
        <w:t xml:space="preserve">IF</w:t>
      </w:r>
      <w:r>
        <w:t xml:space="preserve"> (S4F15 Ü8, S. 166/169; S4F10 Ü44, S. 340). Eine Customizing-Übung zum Schlüssel gibt es in den Unterlagen </w:t>
      </w:r>
      <w:r>
        <w:rPr>
          <w:b/>
          <w:bCs/>
        </w:rPr>
        <w:t xml:space="preserve">nicht</w:t>
      </w:r>
      <w:r>
        <w:t xml:space="preserve"> (die Schulung nutzt den vorkonfigurierten Schlüssel AB).</w:t>
      </w:r>
    </w:p>
    <w:p>
      <w:pPr>
        <w:pStyle w:val="Heading3"/>
      </w:pPr>
      <w:r>
        <w:t xml:space="preserve">a) Bewertungsbereich zu Ledger 0L ermitteln</w:t>
      </w:r>
    </w:p>
    <w:p>
      <w:pPr>
        <w:pStyle w:val="ListParagraph"/>
        <w:numPr>
          <w:ilvl w:val="0"/>
          <w:numId w:val="12"/>
        </w:numPr>
        <w:spacing w:after="60"/>
      </w:pPr>
      <w:r>
        <w:rPr>
          <w:rFonts w:ascii="Consolas" w:cs="Consolas" w:eastAsia="Consolas" w:hAnsi="Consolas"/>
          <w:b/>
          <w:bCs/>
          <w:color w:val="1F4E79"/>
        </w:rPr>
        <w:t xml:space="preserve">SPRO</w:t>
      </w:r>
      <w:r>
        <w:t xml:space="preserve"> → Financial Accounting → General Ledger Accounting → Periodic Processing → Valuate → </w:t>
      </w:r>
      <w:r>
        <w:rPr>
          <w:b/>
          <w:bCs/>
        </w:rPr>
        <w:t xml:space="preserve">Assign Valuation Areas and Accounting Principles</w:t>
      </w:r>
      <w:r>
        <w:t xml:space="preserve">: den Bewertungsbereich ablesen, dem das Accounting Principle des Ledgers 0L zugeordnet ist (in den Schulungsübungen: </w:t>
      </w:r>
      <w:r>
        <w:rPr>
          <w:b/>
          <w:bCs/>
        </w:rPr>
        <w:t xml:space="preserve">IF</w:t>
      </w:r>
      <w:r>
        <w:t xml:space="preserve">).</w:t>
      </w:r>
    </w:p>
    <w:p>
      <w:pPr>
        <w:pStyle w:val="ListParagraph"/>
        <w:numPr>
          <w:ilvl w:val="0"/>
          <w:numId w:val="12"/>
        </w:numPr>
        <w:spacing w:after="60"/>
      </w:pPr>
      <w:r>
        <w:t xml:space="preserve">Ggf. gegenprüfen unter Financial Accounting Global Settings → Ledgers → Parallel Accounting → Assign Accounting Principle to Ledger Groups (Ledger-Gruppe 0L).</w:t>
      </w:r>
    </w:p>
    <w:p>
      <w:pPr>
        <w:pStyle w:val="ListParagraph"/>
        <w:numPr>
          <w:ilvl w:val="0"/>
          <w:numId w:val="12"/>
        </w:numPr>
        <w:spacing w:after="60"/>
      </w:pPr>
      <w:r>
        <w:t xml:space="preserve">Bewertungsbereich notieren (wird in 4.4 benötigt).</w:t>
      </w:r>
    </w:p>
    <w:p>
      <w:pPr>
        <w:pStyle w:val="Heading3"/>
      </w:pPr>
      <w:r>
        <w:t xml:space="preserve">b) Schlüssel ## mit Prozentsätzen anlegen</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IMG-Pfad (nicht in den Unterlagen): Financial Accounting → Accounts Receivable and Accounts Payable → Business Transactions → Closing → Valuate → Valuations → </w:t>
      </w:r>
      <w:r>
        <w:rPr>
          <w:b/>
          <w:bCs/>
        </w:rPr>
        <w:t xml:space="preserve">Define Value Adjustment Key</w:t>
      </w:r>
      <w:r>
        <w:t xml:space="preserve">. Die genaue Feldbezeichnung kann je Release leicht abweichen.</w:t>
      </w:r>
    </w:p>
    <w:p>
      <w:pPr>
        <w:pStyle w:val="ListParagraph"/>
        <w:numPr>
          <w:ilvl w:val="0"/>
          <w:numId w:val="13"/>
        </w:numPr>
        <w:spacing w:after="60"/>
      </w:pPr>
      <w:r>
        <w:t xml:space="preserve">IMG-Aktivität </w:t>
      </w:r>
      <w:r>
        <w:rPr>
          <w:b/>
          <w:bCs/>
        </w:rPr>
        <w:t xml:space="preserve">Define Value Adjustment Key</w:t>
      </w:r>
      <w:r>
        <w:t xml:space="preserve"> öffnen → </w:t>
      </w:r>
      <w:r>
        <w:rPr>
          <w:b/>
          <w:bCs/>
        </w:rPr>
        <w:t xml:space="preserve">New Entries</w:t>
      </w:r>
      <w:r>
        <w:t xml:space="preserve">: </w:t>
      </w:r>
      <w:r>
        <w:rPr>
          <w:b/>
          <w:bCs/>
        </w:rPr>
        <w:t xml:space="preserve">Value Adjustment Key</w:t>
      </w:r>
      <w:r>
        <w:t xml:space="preserve"> </w:t>
      </w:r>
      <w:r>
        <w:rPr>
          <w:rFonts w:ascii="Consolas" w:cs="Consolas" w:eastAsia="Consolas" w:hAnsi="Consolas"/>
          <w:b/>
          <w:bCs/>
          <w:color w:val="1F4E79"/>
        </w:rPr>
        <w:t xml:space="preserve">##</w:t>
      </w:r>
      <w:r>
        <w:t xml:space="preserve">, Bezeichnung z. B. „Bike Retailer ##" → </w:t>
      </w:r>
      <w:r>
        <w:rPr>
          <w:b/>
          <w:bCs/>
        </w:rPr>
        <w:t xml:space="preserve">Save</w:t>
      </w:r>
      <w:r>
        <w:t xml:space="preserve">.</w:t>
      </w:r>
    </w:p>
    <w:p>
      <w:pPr>
        <w:pStyle w:val="ListParagraph"/>
        <w:numPr>
          <w:ilvl w:val="0"/>
          <w:numId w:val="13"/>
        </w:numPr>
        <w:spacing w:after="60"/>
      </w:pPr>
      <w:r>
        <w:t xml:space="preserve">Schlüssel ## markieren → in der Dialogstruktur die Prozentsätze (Percentage Rates) öffnen → </w:t>
      </w:r>
      <w:r>
        <w:rPr>
          <w:b/>
          <w:bCs/>
        </w:rPr>
        <w:t xml:space="preserve">New Entries</w:t>
      </w:r>
      <w:r>
        <w:t xml:space="preserve">:</w:t>
      </w:r>
    </w:p>
    <w:p>
      <w:pPr>
        <w:pStyle w:val="ListParagraph"/>
        <w:numPr>
          <w:ilvl w:val="0"/>
          <w:numId w:val="14"/>
        </w:numPr>
        <w:spacing w:after="40"/>
      </w:pPr>
      <w:r>
        <w:t xml:space="preserve">Zeile 1: </w:t>
      </w:r>
      <w:r>
        <w:rPr>
          <w:b/>
          <w:bCs/>
        </w:rPr>
        <w:t xml:space="preserve">Valuation Area</w:t>
      </w:r>
      <w:r>
        <w:t xml:space="preserve"> = Bereich aus a) (z. B. </w:t>
      </w:r>
      <w:r>
        <w:rPr>
          <w:rFonts w:ascii="Consolas" w:cs="Consolas" w:eastAsia="Consolas" w:hAnsi="Consolas"/>
          <w:b/>
          <w:bCs/>
          <w:color w:val="1F4E79"/>
        </w:rPr>
        <w:t xml:space="preserve">IF</w:t>
      </w:r>
      <w:r>
        <w:t xml:space="preserve">), </w:t>
      </w:r>
      <w:r>
        <w:rPr>
          <w:b/>
          <w:bCs/>
        </w:rPr>
        <w:t xml:space="preserve">Days overdue</w:t>
      </w:r>
      <w:r>
        <w:t xml:space="preserve"> </w:t>
      </w:r>
      <w:r>
        <w:rPr>
          <w:rFonts w:ascii="Consolas" w:cs="Consolas" w:eastAsia="Consolas" w:hAnsi="Consolas"/>
          <w:b/>
          <w:bCs/>
          <w:color w:val="1F4E79"/>
        </w:rPr>
        <w:t xml:space="preserve">30</w:t>
      </w:r>
      <w:r>
        <w:t xml:space="preserve">, </w:t>
      </w:r>
      <w:r>
        <w:rPr>
          <w:b/>
          <w:bCs/>
        </w:rPr>
        <w:t xml:space="preserve">Percentage</w:t>
      </w:r>
      <w:r>
        <w:t xml:space="preserve"> </w:t>
      </w:r>
      <w:r>
        <w:rPr>
          <w:rFonts w:ascii="Consolas" w:cs="Consolas" w:eastAsia="Consolas" w:hAnsi="Consolas"/>
          <w:b/>
          <w:bCs/>
          <w:color w:val="1F4E79"/>
        </w:rPr>
        <w:t xml:space="preserve">10</w:t>
      </w:r>
      <w:r>
        <w:t xml:space="preserve">, </w:t>
      </w:r>
      <w:r>
        <w:rPr>
          <w:b/>
          <w:bCs/>
        </w:rPr>
        <w:t xml:space="preserve">Posting Type / Base</w:t>
      </w:r>
      <w:r>
        <w:t xml:space="preserve"> </w:t>
      </w:r>
      <w:r>
        <w:rPr>
          <w:rFonts w:ascii="Consolas" w:cs="Consolas" w:eastAsia="Consolas" w:hAnsi="Consolas"/>
          <w:b/>
          <w:bCs/>
          <w:color w:val="1F4E79"/>
        </w:rPr>
        <w:t xml:space="preserve">Net amount</w:t>
      </w:r>
    </w:p>
    <w:p>
      <w:pPr>
        <w:pStyle w:val="ListParagraph"/>
        <w:numPr>
          <w:ilvl w:val="0"/>
          <w:numId w:val="14"/>
        </w:numPr>
        <w:spacing w:after="40"/>
      </w:pPr>
      <w:r>
        <w:t xml:space="preserve">Zeile 2: </w:t>
      </w:r>
      <w:r>
        <w:rPr>
          <w:b/>
          <w:bCs/>
        </w:rPr>
        <w:t xml:space="preserve">Valuation Area</w:t>
      </w:r>
      <w:r>
        <w:t xml:space="preserve"> wie oben, </w:t>
      </w:r>
      <w:r>
        <w:rPr>
          <w:b/>
          <w:bCs/>
        </w:rPr>
        <w:t xml:space="preserve">Days overdue</w:t>
      </w:r>
      <w:r>
        <w:t xml:space="preserve"> </w:t>
      </w:r>
      <w:r>
        <w:rPr>
          <w:rFonts w:ascii="Consolas" w:cs="Consolas" w:eastAsia="Consolas" w:hAnsi="Consolas"/>
          <w:b/>
          <w:bCs/>
          <w:color w:val="1F4E79"/>
        </w:rPr>
        <w:t xml:space="preserve">60</w:t>
      </w:r>
      <w:r>
        <w:t xml:space="preserve">, </w:t>
      </w:r>
      <w:r>
        <w:rPr>
          <w:b/>
          <w:bCs/>
        </w:rPr>
        <w:t xml:space="preserve">Percentage</w:t>
      </w:r>
      <w:r>
        <w:t xml:space="preserve"> </w:t>
      </w:r>
      <w:r>
        <w:rPr>
          <w:rFonts w:ascii="Consolas" w:cs="Consolas" w:eastAsia="Consolas" w:hAnsi="Consolas"/>
          <w:b/>
          <w:bCs/>
          <w:color w:val="1F4E79"/>
        </w:rPr>
        <w:t xml:space="preserve">20</w:t>
      </w:r>
      <w:r>
        <w:t xml:space="preserve">, </w:t>
      </w:r>
      <w:r>
        <w:rPr>
          <w:b/>
          <w:bCs/>
        </w:rPr>
        <w:t xml:space="preserve">Posting Type / Base</w:t>
      </w:r>
      <w:r>
        <w:t xml:space="preserve"> </w:t>
      </w:r>
      <w:r>
        <w:rPr>
          <w:rFonts w:ascii="Consolas" w:cs="Consolas" w:eastAsia="Consolas" w:hAnsi="Consolas"/>
          <w:b/>
          <w:bCs/>
          <w:color w:val="1F4E79"/>
        </w:rPr>
        <w:t xml:space="preserve">Net amount</w:t>
      </w:r>
    </w:p>
    <w:p>
      <w:pPr>
        <w:pStyle w:val="ListParagraph"/>
        <w:numPr>
          <w:ilvl w:val="0"/>
          <w:numId w:val="13"/>
        </w:numPr>
        <w:spacing w:after="60"/>
      </w:pPr>
      <w:r>
        <w:t xml:space="preserve">„Valuate manually" nicht setzen. </w:t>
      </w:r>
      <w:r>
        <w:rPr>
          <w:b/>
          <w:bCs/>
        </w:rPr>
        <w:t xml:space="preserve">Save</w:t>
      </w:r>
      <w:r>
        <w:t xml:space="preserve">.</w:t>
      </w:r>
    </w:p>
    <w:p>
      <w:pPr>
        <w:pStyle w:val="Heading2"/>
      </w:pPr>
      <w:r>
        <w:t xml:space="preserve">Schritt 4.2 – Geschäftspartner TS4FI## anlegen</w:t>
      </w:r>
    </w:p>
    <w:p>
      <w:pPr>
        <w:pBdr>
          <w:left w:val="single" w:color="7F7F7F" w:sz="24" w:space="6"/>
        </w:pBdr>
        <w:shd w:fill="EDEDED" w:color="auto" w:val="clear"/>
        <w:spacing w:after="120" w:before="120"/>
        <w:ind w:left="120" w:right="120"/>
      </w:pPr>
      <w:r>
        <w:rPr>
          <w:b/>
          <w:bCs/>
          <w:color w:val="7F7F7F"/>
        </w:rPr>
        <w:t xml:space="preserve">Aufgabe (Original): </w:t>
      </w:r>
      <w:r>
        <w:t xml:space="preserve">GP TS4FI## als Debitor in TA## durch Kopieren von T-AC## mit der App „Manage Business Partner Master Data"; Last Name „Bike Retailer ##"; übrige allgemeine Daten unverändert. Die neuen Regeln gelten nur für diesen Kunden.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Übung 8 „Eine pauschalierte Einzelwertberichtigung durchführen", S. 167–168 (PDF 175–176) – Schritt 1 h): Registerkarte „Debitor: Kontoführung", Feld </w:t>
      </w:r>
      <w:r>
        <w:rPr>
          <w:b/>
          <w:bCs/>
        </w:rPr>
        <w:t xml:space="preserve">Wertberichtigung</w:t>
      </w:r>
      <w:r>
        <w:t xml:space="preserve"> = Schlüssel; </w:t>
      </w:r>
      <w:r>
        <w:rPr>
          <w:b/>
          <w:bCs/>
        </w:rPr>
        <w:t xml:space="preserve">S4F10</w:t>
      </w:r>
      <w:r>
        <w:t xml:space="preserve">, Übung 43 „Eine pauschalierte Einzelwertberichtigung anwenden", S. 335–336 (PDF 345–346) – Schritt 1 g)</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Business Partner Master Data</w:t>
      </w:r>
      <w:r>
        <w:t xml:space="preserve"> (laut Aufgabe). Alternativ für die Pflege des Schlüssels: „Geschäftspartner pflegen" / </w:t>
      </w:r>
      <w:r>
        <w:rPr>
          <w:rFonts w:ascii="Consolas" w:cs="Consolas" w:eastAsia="Consolas" w:hAnsi="Consolas"/>
          <w:b/>
          <w:bCs/>
          <w:color w:val="1F4E79"/>
        </w:rPr>
        <w:t xml:space="preserve">BP</w:t>
      </w:r>
      <w:r>
        <w:t xml:space="preserve"> (Schulung).</w:t>
      </w:r>
    </w:p>
    <w:p>
      <w:pPr>
        <w:pStyle w:val="ListParagraph"/>
        <w:numPr>
          <w:ilvl w:val="0"/>
          <w:numId w:val="15"/>
        </w:numPr>
        <w:spacing w:after="60"/>
      </w:pPr>
      <w:r>
        <w:t xml:space="preserve">App </w:t>
      </w:r>
      <w:r>
        <w:rPr>
          <w:b/>
          <w:bCs/>
        </w:rPr>
        <w:t xml:space="preserve">Manage Business Partner Master Data</w:t>
      </w:r>
      <w:r>
        <w:t xml:space="preserve"> öffnen → </w:t>
      </w:r>
      <w:r>
        <w:rPr>
          <w:rFonts w:ascii="Consolas" w:cs="Consolas" w:eastAsia="Consolas" w:hAnsi="Consolas"/>
          <w:b/>
          <w:bCs/>
          <w:color w:val="1F4E79"/>
        </w:rPr>
        <w:t xml:space="preserve">T-AC##</w:t>
      </w:r>
      <w:r>
        <w:t xml:space="preserve"> suchen → </w:t>
      </w:r>
      <w:r>
        <w:rPr>
          <w:b/>
          <w:bCs/>
        </w:rPr>
        <w:t xml:space="preserve">Go</w:t>
      </w:r>
      <w:r>
        <w:t xml:space="preserve"> → Partner öffnen.</w:t>
      </w:r>
    </w:p>
    <w:p>
      <w:pPr>
        <w:pStyle w:val="ListParagraph"/>
        <w:numPr>
          <w:ilvl w:val="0"/>
          <w:numId w:val="15"/>
        </w:numPr>
        <w:spacing w:after="60"/>
      </w:pPr>
      <w:r>
        <w:t xml:space="preserve">Drucktaste </w:t>
      </w:r>
      <w:r>
        <w:rPr>
          <w:b/>
          <w:bCs/>
        </w:rPr>
        <w:t xml:space="preserve">Copy</w:t>
      </w:r>
      <w:r>
        <w:t xml:space="preserve"> wählen. Im Dialog: </w:t>
      </w:r>
      <w:r>
        <w:rPr>
          <w:b/>
          <w:bCs/>
        </w:rPr>
        <w:t xml:space="preserve">Business Partner</w:t>
      </w:r>
      <w:r>
        <w:t xml:space="preserve"> </w:t>
      </w:r>
      <w:r>
        <w:rPr>
          <w:rFonts w:ascii="Consolas" w:cs="Consolas" w:eastAsia="Consolas" w:hAnsi="Consolas"/>
          <w:b/>
          <w:bCs/>
          <w:color w:val="1F4E79"/>
        </w:rPr>
        <w:t xml:space="preserve">TS4FI##</w:t>
      </w:r>
      <w:r>
        <w:t xml:space="preserve"> (ggf. Gruppierung mit externer Nummernvergabe), Kopie der </w:t>
      </w:r>
      <w:r>
        <w:rPr>
          <w:b/>
          <w:bCs/>
        </w:rPr>
        <w:t xml:space="preserve">Roles</w:t>
      </w:r>
      <w:r>
        <w:t xml:space="preserve"> und der </w:t>
      </w:r>
      <w:r>
        <w:rPr>
          <w:b/>
          <w:bCs/>
        </w:rPr>
        <w:t xml:space="preserve">Company Code</w:t>
      </w:r>
      <w:r>
        <w:t xml:space="preserve">-Daten (Customer, TA##) aktivieren → OK.</w:t>
      </w:r>
    </w:p>
    <w:p>
      <w:pPr>
        <w:pStyle w:val="ListParagraph"/>
        <w:numPr>
          <w:ilvl w:val="0"/>
          <w:numId w:val="15"/>
        </w:numPr>
        <w:spacing w:after="60"/>
      </w:pPr>
      <w:r>
        <w:t xml:space="preserve">Abschnitt </w:t>
      </w:r>
      <w:r>
        <w:rPr>
          <w:b/>
          <w:bCs/>
        </w:rPr>
        <w:t xml:space="preserve">General Information</w:t>
      </w:r>
      <w:r>
        <w:t xml:space="preserve"> → </w:t>
      </w:r>
      <w:r>
        <w:rPr>
          <w:b/>
          <w:bCs/>
        </w:rPr>
        <w:t xml:space="preserve">Last Name</w:t>
      </w:r>
      <w:r>
        <w:t xml:space="preserve"> </w:t>
      </w:r>
      <w:r>
        <w:rPr>
          <w:rFonts w:ascii="Consolas" w:cs="Consolas" w:eastAsia="Consolas" w:hAnsi="Consolas"/>
          <w:b/>
          <w:bCs/>
          <w:color w:val="1F4E79"/>
        </w:rPr>
        <w:t xml:space="preserve">Bike Retailer ##</w:t>
      </w:r>
      <w:r>
        <w:t xml:space="preserve">; alles andere unverändert.</w:t>
      </w:r>
    </w:p>
    <w:p>
      <w:pPr>
        <w:pStyle w:val="ListParagraph"/>
        <w:numPr>
          <w:ilvl w:val="0"/>
          <w:numId w:val="15"/>
        </w:numPr>
        <w:spacing w:after="60"/>
      </w:pPr>
      <w:r>
        <w:t xml:space="preserve">Bereich </w:t>
      </w:r>
      <w:r>
        <w:rPr>
          <w:b/>
          <w:bCs/>
        </w:rPr>
        <w:t xml:space="preserve">Customer → Company Codes → TA##</w:t>
      </w:r>
      <w:r>
        <w:t xml:space="preserve"> öffnen → </w:t>
      </w:r>
      <w:r>
        <w:rPr>
          <w:b/>
          <w:bCs/>
        </w:rPr>
        <w:t xml:space="preserve">Account Management</w:t>
      </w:r>
      <w:r>
        <w:t xml:space="preserve"> (Kontoführung) → Feld </w:t>
      </w:r>
      <w:r>
        <w:rPr>
          <w:b/>
          <w:bCs/>
        </w:rPr>
        <w:t xml:space="preserve">Value Adjustment</w:t>
      </w:r>
      <w:r>
        <w:t xml:space="preserve"> (Wertberichtigung) = </w:t>
      </w:r>
      <w:r>
        <w:rPr>
          <w:rFonts w:ascii="Consolas" w:cs="Consolas" w:eastAsia="Consolas" w:hAnsi="Consolas"/>
          <w:b/>
          <w:bCs/>
          <w:color w:val="1F4E79"/>
        </w:rPr>
        <w:t xml:space="preserve">##</w:t>
      </w:r>
      <w:r>
        <w:t xml:space="preserve"> (Schulung: AB).</w:t>
      </w:r>
    </w:p>
    <w:p>
      <w:pPr>
        <w:pStyle w:val="ListParagraph"/>
        <w:numPr>
          <w:ilvl w:val="0"/>
          <w:numId w:val="15"/>
        </w:numPr>
        <w:spacing w:after="60"/>
      </w:pPr>
      <w:r>
        <w:rPr>
          <w:b/>
          <w:bCs/>
        </w:rPr>
        <w:t xml:space="preserve">Save</w:t>
      </w:r>
      <w:r>
        <w:t xml:space="preserve">.</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Das Kopieren eines Geschäftspartners in der App „Manage Business Partner Master Data" ist in den Unterlagen nicht beschrieben (dort werden GP über „Geschäftspartner pflegen" bzw. „Kundenstammdaten verwalten" angelegt, z. B. S4F12 Lösung 9 Aufgabe 2, S. 173–177). Die Pflege des Feldes </w:t>
      </w:r>
      <w:r>
        <w:rPr>
          <w:b/>
          <w:bCs/>
        </w:rPr>
        <w:t xml:space="preserve">Wertberichtigung</w:t>
      </w:r>
      <w:r>
        <w:t xml:space="preserve"> entspricht exakt der Schulung.</w:t>
      </w:r>
    </w:p>
    <w:p>
      <w:pPr>
        <w:pStyle w:val="Heading2"/>
      </w:pPr>
      <w:r>
        <w:t xml:space="preserve">Schritt 4.3 – Zwei Kundenrechnungen buchen</w:t>
      </w:r>
    </w:p>
    <w:p>
      <w:pPr>
        <w:pBdr>
          <w:left w:val="single" w:color="7F7F7F" w:sz="24" w:space="6"/>
        </w:pBdr>
        <w:shd w:fill="EDEDED" w:color="auto" w:val="clear"/>
        <w:spacing w:after="120" w:before="120"/>
        <w:ind w:left="120" w:right="120"/>
      </w:pPr>
      <w:r>
        <w:rPr>
          <w:b/>
          <w:bCs/>
          <w:color w:val="7F7F7F"/>
        </w:rPr>
        <w:t xml:space="preserve">Aufgabe (Original): </w:t>
      </w:r>
      <w:r>
        <w:t xml:space="preserve">Für TS4FI## in TA##, Erlöskonto 41000500, je 11.000 EUR brutto, Steuerkennzeichen 1O. Rechnung 1: 15.11. Vorjahr; Rechnung 2: 15.09. Vorjahr. Belegnummern notieren.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Übung 8 „Eine pauschalierte Einzelwertberichtigung durchführen", S. 168 (PDF 176) – Schritt 2: identische Struktur – Betrag 11000, 1O, Steuer berechnen, Sachkonto 41000500, Betrag 11000, Rechnungs-/Buchungsdatum in der Vergangenheit; </w:t>
      </w:r>
      <w:r>
        <w:rPr>
          <w:b/>
          <w:bCs/>
        </w:rPr>
        <w:t xml:space="preserve">S4F10</w:t>
      </w:r>
      <w:r>
        <w:t xml:space="preserve">, Übung 43 „Eine pauschalierte Einzelwertberichtigung anwenden", S. 336 (PDF 346) – Schritt 2 a)–f)</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Create Outgoing Invoices</w:t>
      </w:r>
      <w:r>
        <w:t xml:space="preserve"> (Ausgangsrechnungen anlegen), Kachelgruppe Debitoren – entspricht </w:t>
      </w:r>
      <w:r>
        <w:rPr>
          <w:rFonts w:ascii="Consolas" w:cs="Consolas" w:eastAsia="Consolas" w:hAnsi="Consolas"/>
          <w:b/>
          <w:bCs/>
          <w:color w:val="1F4E79"/>
        </w:rPr>
        <w:t xml:space="preserve">FB70</w:t>
      </w:r>
      <w:r>
        <w:t xml:space="preserve">.</w:t>
      </w:r>
    </w:p>
    <w:p>
      <w:pPr>
        <w:pStyle w:val="ListParagraph"/>
        <w:numPr>
          <w:ilvl w:val="0"/>
          <w:numId w:val="16"/>
        </w:numPr>
        <w:spacing w:after="60"/>
      </w:pPr>
      <w:r>
        <w:t xml:space="preserve">App öffnen, </w:t>
      </w:r>
      <w:r>
        <w:rPr>
          <w:b/>
          <w:bCs/>
        </w:rPr>
        <w:t xml:space="preserve">Company Code</w:t>
      </w:r>
      <w:r>
        <w:t xml:space="preserve"> </w:t>
      </w:r>
      <w:r>
        <w:rPr>
          <w:rFonts w:ascii="Consolas" w:cs="Consolas" w:eastAsia="Consolas" w:hAnsi="Consolas"/>
          <w:b/>
          <w:bCs/>
          <w:color w:val="1F4E79"/>
        </w:rPr>
        <w:t xml:space="preserve">TA##</w:t>
      </w:r>
      <w:r>
        <w:t xml:space="preserve">.</w:t>
      </w:r>
    </w:p>
    <w:p>
      <w:pPr>
        <w:pStyle w:val="ListParagraph"/>
        <w:numPr>
          <w:ilvl w:val="0"/>
          <w:numId w:val="16"/>
        </w:numPr>
        <w:spacing w:after="60"/>
      </w:pPr>
      <w:r>
        <w:t xml:space="preserve">Rechnung 1 erfassen: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Rechnung 1</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Rechnung 2</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Customer (Kunde)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TS4FI##</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TS4FI##</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Invoice Date (Rechnungsdatum)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15.11.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15.09. Vorjahr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15.11.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15.09. Vorjahr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Amount (Betrag)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 EUR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 EUR</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Calculate Tax (Steuer berechnen)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Tax Code (Steuerkennzeichen)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1O</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1O</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(Sachkonto), D/C Credit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41000500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41000500</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Amount in Doc. Curr. (Betrag Belegwährung)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11.000</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Profit Center (falls gefordert)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gemäß Vorschlag</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gemäß Vorschlag</w:t>
            </w:r>
          </w:p>
        </w:tc>
      </w:tr>
    </w:tbl>
    <w:p>
      <w:pPr>
        <w:spacing w:after="60"/>
      </w:pPr>
    </w:p>
    <w:p>
      <w:pPr>
        <w:pStyle w:val="ListParagraph"/>
        <w:numPr>
          <w:ilvl w:val="0"/>
          <w:numId w:val="17"/>
        </w:numPr>
        <w:spacing w:after="60"/>
      </w:pPr>
      <w:r>
        <w:t xml:space="preserve">Informationsmeldungen (z. B. zum Nettofälligkeitsdatum) mit Enter bestätigen (Schulung S4F15 S. 168 b; S4F10 S. 336 c).</w:t>
      </w:r>
    </w:p>
    <w:p>
      <w:pPr>
        <w:pStyle w:val="ListParagraph"/>
        <w:numPr>
          <w:ilvl w:val="0"/>
          <w:numId w:val="17"/>
        </w:numPr>
        <w:spacing w:after="60"/>
      </w:pPr>
      <w:r>
        <w:rPr>
          <w:b/>
          <w:bCs/>
        </w:rPr>
        <w:t xml:space="preserve">Simulate</w:t>
      </w:r>
      <w:r>
        <w:t xml:space="preserve">: Debitor 11.000 Soll, Erlös 10.000 Haben, Steuer 1.000 Haben (Schulung S4F10 S. 336 e: 1.650/1.500/150) → </w:t>
      </w:r>
      <w:r>
        <w:rPr>
          <w:b/>
          <w:bCs/>
        </w:rPr>
        <w:t xml:space="preserve">Post</w:t>
      </w:r>
      <w:r>
        <w:t xml:space="preserve"> → </w:t>
      </w:r>
      <w:r>
        <w:rPr>
          <w:b/>
          <w:bCs/>
        </w:rPr>
        <w:t xml:space="preserve">Belegnummer notieren</w:t>
      </w:r>
      <w:r>
        <w:t xml:space="preserve">.</w:t>
      </w:r>
    </w:p>
    <w:p>
      <w:pPr>
        <w:pStyle w:val="ListParagraph"/>
        <w:numPr>
          <w:ilvl w:val="0"/>
          <w:numId w:val="17"/>
        </w:numPr>
        <w:spacing w:after="60"/>
      </w:pPr>
      <w:r>
        <w:t xml:space="preserve">Rechnung 2 analog erfassen, buchen und Belegnummer notieren.</w:t>
      </w:r>
    </w:p>
    <w:p>
      <w:pPr>
        <w:pBdr>
          <w:left w:val="single" w:color="C00000" w:sz="24" w:space="6"/>
        </w:pBdr>
        <w:shd w:fill="FDECEA" w:color="auto" w:val="clear"/>
        <w:spacing w:after="120" w:before="120"/>
        <w:ind w:left="120" w:right="120"/>
      </w:pPr>
      <w:r>
        <w:rPr>
          <w:b/>
          <w:bCs/>
          <w:color w:val="C00000"/>
        </w:rPr>
        <w:t xml:space="preserve">Achtung: </w:t>
      </w:r>
      <w:r>
        <w:t xml:space="preserve">Die Perioden 09 und 11 des Vorjahres müssen in TA## offen sein (sonst </w:t>
      </w:r>
      <w:r>
        <w:rPr>
          <w:rFonts w:ascii="Consolas" w:cs="Consolas" w:eastAsia="Consolas" w:hAnsi="Consolas"/>
          <w:b/>
          <w:bCs/>
          <w:color w:val="1F4E79"/>
        </w:rPr>
        <w:t xml:space="preserve">OB52</w:t>
      </w:r>
      <w:r>
        <w:t xml:space="preserve">). Vergleichbar: </w:t>
      </w:r>
      <w:r>
        <w:rPr>
          <w:b/>
          <w:bCs/>
        </w:rPr>
        <w:t xml:space="preserve">S4F12</w:t>
      </w:r>
      <w:r>
        <w:t xml:space="preserve">, Übung 15 „Buchungsperiodenvarianten anlegen und pflegen", S. 238 (PDF 246).</w:t>
      </w:r>
    </w:p>
    <w:p>
      <w:pPr>
        <w:pStyle w:val="Heading2"/>
      </w:pPr>
      <w:r>
        <w:t xml:space="preserve">Schritt 4.4 – Bewertungslauf durchführen</w:t>
      </w:r>
    </w:p>
    <w:p>
      <w:pPr>
        <w:pBdr>
          <w:left w:val="single" w:color="7F7F7F" w:sz="24" w:space="6"/>
        </w:pBdr>
        <w:shd w:fill="EDEDED" w:color="auto" w:val="clear"/>
        <w:spacing w:after="120" w:before="120"/>
        <w:ind w:left="120" w:right="120"/>
      </w:pPr>
      <w:r>
        <w:rPr>
          <w:b/>
          <w:bCs/>
          <w:color w:val="7F7F7F"/>
        </w:rPr>
        <w:t xml:space="preserve">Aufgabe (Original): </w:t>
      </w:r>
      <w:r>
        <w:t xml:space="preserve">App „Perform Further Valuations" mit den vorgegebenen Parametern; Lauf auf die zwei Rechnungen von TS4FI## beschränken; Ergebnisliste prüfen, dann buchen.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S4F15</w:t>
      </w:r>
      <w:r>
        <w:t xml:space="preserve">, Übung 8 „Eine pauschalierte Einzelwertberichtigung durchführen", S. 168–170 (PDF 176–178) – Schritte 3–5: Pflegen, Selektionsoptionen, Einplanen, Werteliste, Weiterleiten, Protokoll; </w:t>
      </w:r>
      <w:r>
        <w:rPr>
          <w:b/>
          <w:bCs/>
        </w:rPr>
        <w:t xml:space="preserve">S4F10</w:t>
      </w:r>
      <w:r>
        <w:t xml:space="preserve">, Übung 44 „Einen Bewertungslauf ausführen", S. 339–342 (PDF 349–352) – Transaktion F107, Bewertungsmethode 3, Bewertungsbereich IF, Konto-Trace, Überleiten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Perform Further Valuations</w:t>
      </w:r>
      <w:r>
        <w:t xml:space="preserve"> (Weitere Bewertungen durchführen), Kachelgruppe Debitoren – Transaktion </w:t>
      </w:r>
      <w:r>
        <w:rPr>
          <w:rFonts w:ascii="Consolas" w:cs="Consolas" w:eastAsia="Consolas" w:hAnsi="Consolas"/>
          <w:b/>
          <w:bCs/>
          <w:color w:val="1F4E79"/>
        </w:rPr>
        <w:t xml:space="preserve">F107</w:t>
      </w:r>
      <w:r>
        <w:t xml:space="preserve"> (S4F10 S. 340).</w:t>
      </w:r>
    </w:p>
    <w:p>
      <w:pPr>
        <w:pStyle w:val="ListParagraph"/>
        <w:numPr>
          <w:ilvl w:val="0"/>
          <w:numId w:val="18"/>
        </w:numPr>
        <w:spacing w:after="60"/>
      </w:pPr>
      <w:r>
        <w:t xml:space="preserve">App öffnen. </w:t>
      </w:r>
      <w:r>
        <w:rPr>
          <w:b/>
          <w:bCs/>
        </w:rPr>
        <w:t xml:space="preserve">Run On</w:t>
      </w:r>
      <w:r>
        <w:t xml:space="preserve"> (Tag der Ausführung) </w:t>
      </w:r>
      <w:r>
        <w:rPr>
          <w:rFonts w:ascii="Consolas" w:cs="Consolas" w:eastAsia="Consolas" w:hAnsi="Consolas"/>
          <w:b/>
          <w:bCs/>
          <w:color w:val="1F4E79"/>
        </w:rPr>
        <w:t xml:space="preserve">31.12.</w:t>
      </w:r>
      <w:r>
        <w:t xml:space="preserve"> Vorjahr, </w:t>
      </w:r>
      <w:r>
        <w:rPr>
          <w:b/>
          <w:bCs/>
        </w:rPr>
        <w:t xml:space="preserve">Identification</w:t>
      </w:r>
      <w:r>
        <w:t xml:space="preserve"> </w:t>
      </w:r>
      <w:r>
        <w:rPr>
          <w:rFonts w:ascii="Consolas" w:cs="Consolas" w:eastAsia="Consolas" w:hAnsi="Consolas"/>
          <w:b/>
          <w:bCs/>
          <w:color w:val="1F4E79"/>
        </w:rPr>
        <w:t xml:space="preserve">##</w:t>
      </w:r>
      <w:r>
        <w:t xml:space="preserve"> → Enter (Status „Parameter … existiert noch nicht") → </w:t>
      </w:r>
      <w:r>
        <w:rPr>
          <w:b/>
          <w:bCs/>
        </w:rPr>
        <w:t xml:space="preserve">Maintain</w:t>
      </w:r>
      <w:r>
        <w:t xml:space="preserve"> (Pflegen) – Schulung S4F15 S. 169 a)–c).</w:t>
      </w:r>
    </w:p>
    <w:p>
      <w:pPr>
        <w:pStyle w:val="ListParagraph"/>
        <w:numPr>
          <w:ilvl w:val="0"/>
          <w:numId w:val="18"/>
        </w:numPr>
        <w:spacing w:after="60"/>
      </w:pPr>
      <w:r>
        <w:t xml:space="preserve">Bewertungsparameter eingeben (Schulung S4F10 S. 340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Key Date (Stichtag)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31.12.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Ende des Vormonats</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Val. Method (Bewertungsmethode)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3</w:t>
            </w:r>
            <w:r>
              <w:t xml:space="preserve"> – flat-rate individual value adjustment</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Valuation Area (Bewertungsbereich)</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Bereich aus 4.1 a) (z. B. </w:t>
            </w:r>
            <w:r>
              <w:rPr>
                <w:rFonts w:ascii="Consolas" w:cs="Consolas" w:eastAsia="Consolas" w:hAnsi="Consolas"/>
                <w:b/>
                <w:bCs/>
                <w:color w:val="1F4E79"/>
              </w:rPr>
              <w:t xml:space="preserve">IF</w:t>
            </w:r>
            <w:r>
              <w:t xml:space="preserv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IF</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Postings (Buchungen)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markieren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auswählen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31.12. Vorjahr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Ende des Vormonats</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Reversal Posting Date (Storno-Budat)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01.01. aktuelles Jahr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Erster Tag des aktuellen Monats</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Document Type (Belegart)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SA</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SA (S4F15) / SB (S4F10)</w:t>
            </w:r>
          </w:p>
        </w:tc>
      </w:tr>
    </w:tbl>
    <w:p>
      <w:pPr>
        <w:spacing w:after="60"/>
      </w:pPr>
    </w:p>
    <w:p>
      <w:pPr>
        <w:pStyle w:val="ListParagraph"/>
        <w:numPr>
          <w:ilvl w:val="0"/>
          <w:numId w:val="19"/>
        </w:numPr>
        <w:spacing w:after="60"/>
      </w:pPr>
      <w:r>
        <w:rPr>
          <w:b/>
          <w:bCs/>
        </w:rPr>
        <w:t xml:space="preserve">Selection Options</w:t>
      </w:r>
      <w:r>
        <w:t xml:space="preserve"> (Selektionsoptionen):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Customers</w:t>
      </w:r>
      <w:r>
        <w:t xml:space="preserve"> (Debitoren) markieren, </w:t>
      </w:r>
      <w:r>
        <w:rPr>
          <w:b/>
          <w:bCs/>
        </w:rPr>
        <w:t xml:space="preserve">Customer</w:t>
      </w:r>
      <w:r>
        <w:t xml:space="preserve"> </w:t>
      </w:r>
      <w:r>
        <w:rPr>
          <w:rFonts w:ascii="Consolas" w:cs="Consolas" w:eastAsia="Consolas" w:hAnsi="Consolas"/>
          <w:b/>
          <w:bCs/>
          <w:color w:val="1F4E79"/>
        </w:rPr>
        <w:t xml:space="preserve">TS4FI##</w:t>
      </w:r>
      <w:r>
        <w:t xml:space="preserve">; optional </w:t>
      </w:r>
      <w:r>
        <w:rPr>
          <w:b/>
          <w:bCs/>
        </w:rPr>
        <w:t xml:space="preserve">Account Trace</w:t>
      </w:r>
      <w:r>
        <w:t xml:space="preserve"> </w:t>
      </w:r>
      <w:r>
        <w:rPr>
          <w:rFonts w:ascii="Consolas" w:cs="Consolas" w:eastAsia="Consolas" w:hAnsi="Consolas"/>
          <w:b/>
          <w:bCs/>
          <w:color w:val="1F4E79"/>
        </w:rPr>
        <w:t xml:space="preserve">TS4FI##</w:t>
      </w:r>
      <w:r>
        <w:t xml:space="preserve"> (Schulung S4F10 S. 341 b).</w:t>
      </w:r>
    </w:p>
    <w:p>
      <w:pPr>
        <w:pStyle w:val="ListParagraph"/>
        <w:numPr>
          <w:ilvl w:val="0"/>
          <w:numId w:val="19"/>
        </w:numPr>
        <w:spacing w:after="60"/>
      </w:pPr>
      <w:r>
        <w:t xml:space="preserve">Beschränkung auf die zwei Rechnungen: Da TS4FI## neu ist, hat er nur diese zwei offenen Posten – die Kundenselektion genügt (so auch die Schulung, die nur auf den Debitor selektiert). Zusätzlich können über die freien Abgrenzungen die </w:t>
      </w:r>
      <w:r>
        <w:rPr>
          <w:b/>
          <w:bCs/>
        </w:rPr>
        <w:t xml:space="preserve">Document Numbers</w:t>
      </w:r>
      <w:r>
        <w:t xml:space="preserve"> aus 4.3 eingetragen werden.</w:t>
      </w:r>
    </w:p>
    <w:p>
      <w:pPr>
        <w:pStyle w:val="ListParagraph"/>
        <w:numPr>
          <w:ilvl w:val="0"/>
          <w:numId w:val="19"/>
        </w:numPr>
        <w:spacing w:after="60"/>
      </w:pPr>
      <w:r>
        <w:rPr>
          <w:b/>
          <w:bCs/>
        </w:rPr>
        <w:t xml:space="preserve">Execute</w:t>
      </w:r>
      <w:r>
        <w:t xml:space="preserve"> (Ausführen) → </w:t>
      </w:r>
      <w:r>
        <w:rPr>
          <w:b/>
          <w:bCs/>
        </w:rPr>
        <w:t xml:space="preserve">Save</w:t>
      </w:r>
      <w:r>
        <w:t xml:space="preserve"> (Sichern) – Status „Parameters were entered".</w:t>
      </w:r>
    </w:p>
    <w:p>
      <w:pPr>
        <w:pStyle w:val="ListParagraph"/>
        <w:numPr>
          <w:ilvl w:val="0"/>
          <w:numId w:val="19"/>
        </w:numPr>
        <w:spacing w:after="60"/>
      </w:pPr>
      <w:r>
        <w:rPr>
          <w:b/>
          <w:bCs/>
        </w:rPr>
        <w:t xml:space="preserve">Schedule</w:t>
      </w:r>
      <w:r>
        <w:t xml:space="preserve"> (Einplanen) → </w:t>
      </w:r>
      <w:r>
        <w:rPr>
          <w:b/>
          <w:bCs/>
        </w:rPr>
        <w:t xml:space="preserve">Start immediately</w:t>
      </w:r>
      <w:r>
        <w:t xml:space="preserve"> → </w:t>
      </w:r>
      <w:r>
        <w:rPr>
          <w:b/>
          <w:bCs/>
        </w:rPr>
        <w:t xml:space="preserve">Schedule</w:t>
      </w:r>
      <w:r>
        <w:t xml:space="preserve">; mit Enter aktualisieren bis „Valuation run finished" (S4F15 S. 169 a)–c).</w:t>
      </w:r>
    </w:p>
    <w:p>
      <w:pPr>
        <w:pStyle w:val="ListParagraph"/>
        <w:numPr>
          <w:ilvl w:val="0"/>
          <w:numId w:val="19"/>
        </w:numPr>
        <w:spacing w:after="60"/>
      </w:pPr>
      <w:r>
        <w:t xml:space="preserve">Ergebnisliste prüfen: </w:t>
      </w:r>
      <w:r>
        <w:rPr>
          <w:b/>
          <w:bCs/>
        </w:rPr>
        <w:t xml:space="preserve">Display</w:t>
      </w:r>
      <w:r>
        <w:t xml:space="preserve"> (Anzeigen) bzw. </w:t>
      </w:r>
      <w:r>
        <w:rPr>
          <w:b/>
          <w:bCs/>
        </w:rPr>
        <w:t xml:space="preserve">More → Edit → Valuation Run → Value List</w:t>
      </w:r>
      <w:r>
        <w:t xml:space="preserve"> (Werteliste) (S4F15 S. 169 d)–g).</w:t>
      </w:r>
    </w:p>
    <w:p>
      <w:pPr>
        <w:pStyle w:val="ListParagraph"/>
        <w:numPr>
          <w:ilvl w:val="0"/>
          <w:numId w:val="14"/>
        </w:numPr>
        <w:spacing w:after="40"/>
      </w:pPr>
      <w:r>
        <w:t xml:space="preserve">Rechnung 2 (15.09., &gt; 60 Tage überfällig): 20 % × 10.000 = </w:t>
      </w:r>
      <w:r>
        <w:rPr>
          <w:b/>
          <w:bCs/>
        </w:rPr>
        <w:t xml:space="preserve">2.000 EUR</w:t>
      </w:r>
    </w:p>
    <w:p>
      <w:pPr>
        <w:pStyle w:val="ListParagraph"/>
        <w:numPr>
          <w:ilvl w:val="0"/>
          <w:numId w:val="14"/>
        </w:numPr>
        <w:spacing w:after="40"/>
      </w:pPr>
      <w:r>
        <w:t xml:space="preserve">Rechnung 1 (15.11., &gt; 30 Tage überfällig): 10 % × 10.000 = </w:t>
      </w:r>
      <w:r>
        <w:rPr>
          <w:b/>
          <w:bCs/>
        </w:rPr>
        <w:t xml:space="preserve">1.000 EUR</w:t>
      </w:r>
    </w:p>
    <w:p>
      <w:pPr>
        <w:pStyle w:val="ListParagraph"/>
        <w:numPr>
          <w:ilvl w:val="0"/>
          <w:numId w:val="14"/>
        </w:numPr>
        <w:spacing w:after="40"/>
      </w:pPr>
      <w:r>
        <w:t xml:space="preserve">Basis = Nettobetrag ohne Steuer, Schlüssel ##</w:t>
      </w:r>
    </w:p>
    <w:p>
      <w:pPr>
        <w:pStyle w:val="ListParagraph"/>
        <w:numPr>
          <w:ilvl w:val="0"/>
          <w:numId w:val="19"/>
        </w:numPr>
        <w:spacing w:after="60"/>
      </w:pPr>
      <w:r>
        <w:t xml:space="preserve">Bei korrekten Werten: </w:t>
      </w:r>
      <w:r>
        <w:rPr>
          <w:b/>
          <w:bCs/>
        </w:rPr>
        <w:t xml:space="preserve">Transfer/Forward</w:t>
      </w:r>
      <w:r>
        <w:t xml:space="preserve"> (Weiterleiten/Überleiten) → </w:t>
      </w:r>
      <w:r>
        <w:rPr>
          <w:b/>
          <w:bCs/>
        </w:rPr>
        <w:t xml:space="preserve">Start immediately</w:t>
      </w:r>
      <w:r>
        <w:t xml:space="preserve"> → </w:t>
      </w:r>
      <w:r>
        <w:rPr>
          <w:b/>
          <w:bCs/>
        </w:rPr>
        <w:t xml:space="preserve">Schedule</w:t>
      </w:r>
      <w:r>
        <w:t xml:space="preserve"> (S4F15 S. 170 a)–c); S4F10 S. 341–342).</w:t>
      </w:r>
    </w:p>
    <w:p>
      <w:pPr>
        <w:pStyle w:val="ListParagraph"/>
        <w:numPr>
          <w:ilvl w:val="0"/>
          <w:numId w:val="19"/>
        </w:numPr>
        <w:spacing w:after="60"/>
      </w:pPr>
      <w:r>
        <w:t xml:space="preserve">Belege im Protokoll prüfen: </w:t>
      </w:r>
      <w:r>
        <w:rPr>
          <w:b/>
          <w:bCs/>
        </w:rPr>
        <w:t xml:space="preserve">More → Edit → Valuation Transfer → Display Log</w:t>
      </w:r>
      <w:r>
        <w:t xml:space="preserve"> (S4F15 S. 170 d); Buchung zum 31.12. Vorjahr, Storno zum 01.01. aktuelles Jahr.</w:t>
      </w:r>
    </w:p>
    <w:p>
      <w:pPr>
        <w:pBdr>
          <w:left w:val="single" w:color="2E75B6" w:sz="24" w:space="6"/>
        </w:pBdr>
        <w:shd w:fill="E8F1FB" w:color="auto" w:val="clear"/>
        <w:spacing w:after="120" w:before="120"/>
        <w:ind w:left="120" w:right="120"/>
      </w:pPr>
      <w:r>
        <w:rPr>
          <w:b/>
          <w:bCs/>
          <w:color w:val="2E75B6"/>
        </w:rPr>
        <w:t xml:space="preserve">Hinweis: </w:t>
      </w:r>
      <w:r>
        <w:t xml:space="preserve">Werden keine Bewertungen angezeigt: Vorschlagsprotokoll über </w:t>
      </w:r>
      <w:r>
        <w:rPr>
          <w:b/>
          <w:bCs/>
        </w:rPr>
        <w:t xml:space="preserve">More → Edit → Valuation Run → Display Log</w:t>
      </w:r>
      <w:r>
        <w:t xml:space="preserve"> prüfen, Fehler beheben, Lauf löschen und neu starten (Hinweis S4F10 S. 341).</w:t>
      </w:r>
    </w:p>
    <w:p>
      <w:r>
        <w:br w:type="page"/>
      </w:r>
    </w:p>
    <w:p>
      <w:pPr>
        <w:pStyle w:val="Heading1"/>
      </w:pPr>
      <w:r>
        <w:t xml:space="preserve">Task 5: Create a House Bank, Configure and Execute a Payment Run</w:t>
      </w:r>
    </w:p>
    <w:p>
      <w:pPr>
        <w:pStyle w:val="Heading2"/>
      </w:pPr>
      <w:r>
        <w:t xml:space="preserve">Schritt 5.1 – Bank, Hausbank, Bankkonto anlegen und zuordnen</w:t>
      </w:r>
    </w:p>
    <w:p>
      <w:pPr>
        <w:pBdr>
          <w:left w:val="single" w:color="7F7F7F" w:sz="24" w:space="6"/>
        </w:pBdr>
        <w:shd w:fill="EDEDED" w:color="auto" w:val="clear"/>
        <w:spacing w:after="120" w:before="120"/>
        <w:ind w:left="120" w:right="120"/>
      </w:pPr>
      <w:r>
        <w:rPr>
          <w:b/>
          <w:bCs/>
          <w:color w:val="7F7F7F"/>
        </w:rPr>
        <w:t xml:space="preserve">Aufgabe (Original): </w:t>
      </w:r>
      <w:r>
        <w:t xml:space="preserve">Bank DE / 333333## / YYYYDE## / „Bank DE ##", Hausbank D-B## für TA##. Bankkonto 44444## (Kontokorrent, SEPA-fähig), Hausbankkonto GIRO, Sachkonto 11001000; alle Zuordnungen korrekt integriert.</w:t>
      </w:r>
    </w:p>
    <w:p>
      <w:pPr>
        <w:pStyle w:val="Heading3"/>
      </w:pPr>
      <w:r>
        <w:t xml:space="preserve">a) Bank und Hausbank</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1 „Eine Hausbank definieren", S. 13–15 (PDF 21–23) – Bank in „Banken verwalten" anlegen, dann Registerkarte HAUSBANKEN → Anlegen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Banks</w:t>
      </w:r>
      <w:r>
        <w:t xml:space="preserve"> (Banken verwalten), Kachelgruppe Bank Relationship Management.</w:t>
      </w:r>
    </w:p>
    <w:p>
      <w:pPr>
        <w:pStyle w:val="ListParagraph"/>
        <w:numPr>
          <w:ilvl w:val="0"/>
          <w:numId w:val="20"/>
        </w:numPr>
        <w:spacing w:after="60"/>
      </w:pPr>
      <w:r>
        <w:t xml:space="preserve">App </w:t>
      </w:r>
      <w:r>
        <w:rPr>
          <w:b/>
          <w:bCs/>
        </w:rPr>
        <w:t xml:space="preserve">Manage Banks</w:t>
      </w:r>
      <w:r>
        <w:t xml:space="preserve"> → </w:t>
      </w:r>
      <w:r>
        <w:rPr>
          <w:b/>
          <w:bCs/>
        </w:rPr>
        <w:t xml:space="preserve">Create</w:t>
      </w:r>
      <w:r>
        <w:t xml:space="preserve"> (Anlegen).</w:t>
      </w:r>
    </w:p>
    <w:p>
      <w:pPr>
        <w:pStyle w:val="ListParagraph"/>
        <w:numPr>
          <w:ilvl w:val="0"/>
          <w:numId w:val="20"/>
        </w:numPr>
        <w:spacing w:after="60"/>
      </w:pPr>
      <w:r>
        <w:t xml:space="preserve">Registerkarte </w:t>
      </w:r>
      <w:r>
        <w:rPr>
          <w:b/>
          <w:bCs/>
        </w:rPr>
        <w:t xml:space="preserve">General Data</w:t>
      </w:r>
      <w:r>
        <w:t xml:space="preserve">, Feldgruppen Control Data/Address: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Bank Country/Region (Land/Region der Bank)</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DE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DE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Bank Key (Bankschlüssel)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333333##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123456##</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Name of Financial Institution (Name des Geldinstituts)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Bank DE ##</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TA## Bank</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SWIFT/BIC</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YYYYDE##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XXXXDE##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Region/Street/City</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nach Belieben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nach Belieben</w:t>
            </w:r>
          </w:p>
        </w:tc>
      </w:tr>
    </w:tbl>
    <w:p>
      <w:pPr>
        <w:spacing w:after="60"/>
      </w:pPr>
    </w:p>
    <w:p>
      <w:pPr>
        <w:pStyle w:val="ListParagraph"/>
        <w:numPr>
          <w:ilvl w:val="0"/>
          <w:numId w:val="21"/>
        </w:numPr>
        <w:spacing w:after="60"/>
      </w:pPr>
      <w:r>
        <w:rPr>
          <w:b/>
          <w:bCs/>
        </w:rPr>
        <w:t xml:space="preserve">Save</w:t>
      </w:r>
      <w:r>
        <w:t xml:space="preserve"> (Schulung d).</w:t>
      </w:r>
    </w:p>
    <w:p>
      <w:pPr>
        <w:pStyle w:val="ListParagraph"/>
        <w:numPr>
          <w:ilvl w:val="0"/>
          <w:numId w:val="21"/>
        </w:numPr>
        <w:spacing w:after="60"/>
      </w:pPr>
      <w:r>
        <w:rPr>
          <w:b/>
          <w:bCs/>
        </w:rPr>
        <w:t xml:space="preserve">Edit</w:t>
      </w:r>
      <w:r>
        <w:t xml:space="preserve"> (Bearbeiten) → Registerkarte </w:t>
      </w:r>
      <w:r>
        <w:rPr>
          <w:b/>
          <w:bCs/>
        </w:rPr>
        <w:t xml:space="preserve">House Banks</w:t>
      </w:r>
      <w:r>
        <w:t xml:space="preserve"> (HAUSBANKEN) → </w:t>
      </w:r>
      <w:r>
        <w:rPr>
          <w:b/>
          <w:bCs/>
        </w:rPr>
        <w:t xml:space="preserve">Create</w:t>
      </w:r>
      <w:r>
        <w:t xml:space="preserve"> (Schulung 2 a)–b).</w:t>
      </w:r>
    </w:p>
    <w:p>
      <w:pPr>
        <w:pStyle w:val="ListParagraph"/>
        <w:numPr>
          <w:ilvl w:val="0"/>
          <w:numId w:val="21"/>
        </w:numPr>
        <w:spacing w:after="60"/>
      </w:pP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House Bank</w:t>
      </w:r>
      <w:r>
        <w:t xml:space="preserve"> </w:t>
      </w:r>
      <w:r>
        <w:rPr>
          <w:rFonts w:ascii="Consolas" w:cs="Consolas" w:eastAsia="Consolas" w:hAnsi="Consolas"/>
          <w:b/>
          <w:bCs/>
          <w:color w:val="1F4E79"/>
        </w:rPr>
        <w:t xml:space="preserve">D-B##</w:t>
      </w:r>
      <w:r>
        <w:t xml:space="preserve"> (Schulung: T-B##) → </w:t>
      </w:r>
      <w:r>
        <w:rPr>
          <w:b/>
          <w:bCs/>
        </w:rPr>
        <w:t xml:space="preserve">Save</w:t>
      </w:r>
      <w:r>
        <w:t xml:space="preserve"> → Meldung „House bank created".</w:t>
      </w:r>
    </w:p>
    <w:p>
      <w:pPr>
        <w:pStyle w:val="ListParagraph"/>
        <w:numPr>
          <w:ilvl w:val="0"/>
          <w:numId w:val="21"/>
        </w:numPr>
        <w:spacing w:after="60"/>
      </w:pPr>
      <w:r>
        <w:t xml:space="preserve">Kontrolle: Selektion Land DE, Bankschlüssel 333333##, </w:t>
      </w:r>
      <w:r>
        <w:rPr>
          <w:b/>
          <w:bCs/>
        </w:rPr>
        <w:t xml:space="preserve">Linked House Banks</w:t>
      </w:r>
      <w:r>
        <w:t xml:space="preserve"> = Yes → </w:t>
      </w:r>
      <w:r>
        <w:rPr>
          <w:b/>
          <w:bCs/>
        </w:rPr>
        <w:t xml:space="preserve">Go</w:t>
      </w:r>
      <w:r>
        <w:t xml:space="preserve"> (Schulung 3).</w:t>
      </w:r>
    </w:p>
    <w:p>
      <w:pPr>
        <w:pStyle w:val="Heading3"/>
      </w:pPr>
      <w:r>
        <w:t xml:space="preserve">b) Bankkonto anlegen und Konnektivitätspfad</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2 „Ein Hausbankkonto definieren", S. 23–27 (PDF 31–35) – Kontoart 01, IBAN generieren, Inaktiv sichern, Aktivieren, Hausbankkontenkonnektivität GIRO → Sachkonto 11001000; danach Sachkonto 11001000 mit Hausbank/Konto-ID ergänzen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Bank Accounts</w:t>
      </w:r>
      <w:r>
        <w:t xml:space="preserve"> (Bankkonten verwalten).</w:t>
      </w:r>
    </w:p>
    <w:p>
      <w:pPr>
        <w:pStyle w:val="ListParagraph"/>
        <w:numPr>
          <w:ilvl w:val="0"/>
          <w:numId w:val="22"/>
        </w:numPr>
        <w:spacing w:after="60"/>
      </w:pPr>
      <w:r>
        <w:t xml:space="preserve">App öffnen → </w:t>
      </w:r>
      <w:r>
        <w:rPr>
          <w:b/>
          <w:bCs/>
        </w:rPr>
        <w:t xml:space="preserve">Create</w:t>
      </w:r>
      <w:r>
        <w:t xml:space="preserve"> → Dialog: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Account Type</w:t>
      </w:r>
      <w:r>
        <w:t xml:space="preserve"> </w:t>
      </w:r>
      <w:r>
        <w:rPr>
          <w:rFonts w:ascii="Consolas" w:cs="Consolas" w:eastAsia="Consolas" w:hAnsi="Consolas"/>
          <w:b/>
          <w:bCs/>
          <w:color w:val="1F4E79"/>
        </w:rPr>
        <w:t xml:space="preserve">01</w:t>
      </w:r>
      <w:r>
        <w:t xml:space="preserve"> (Schulung c).</w:t>
      </w:r>
    </w:p>
    <w:p>
      <w:pPr>
        <w:pStyle w:val="ListParagraph"/>
        <w:numPr>
          <w:ilvl w:val="0"/>
          <w:numId w:val="22"/>
        </w:numPr>
        <w:spacing w:after="60"/>
      </w:pPr>
      <w:r>
        <w:t xml:space="preserve">Registerkarte </w:t>
      </w:r>
      <w:r>
        <w:rPr>
          <w:b/>
          <w:bCs/>
        </w:rPr>
        <w:t xml:space="preserve">Header Data</w:t>
      </w:r>
      <w:r>
        <w:t xml:space="preserve"> (Kopfdaten): </w:t>
      </w:r>
      <w:r>
        <w:rPr>
          <w:b/>
          <w:bCs/>
        </w:rPr>
        <w:t xml:space="preserve">Account Description</w:t>
      </w:r>
      <w:r>
        <w:t xml:space="preserve"> </w:t>
      </w:r>
      <w:r>
        <w:rPr>
          <w:rFonts w:ascii="Consolas" w:cs="Consolas" w:eastAsia="Consolas" w:hAnsi="Consolas"/>
          <w:b/>
          <w:bCs/>
          <w:color w:val="1F4E79"/>
        </w:rPr>
        <w:t xml:space="preserve">Current German Account EUR</w:t>
      </w:r>
      <w:r>
        <w:t xml:space="preserve">, </w:t>
      </w:r>
      <w:r>
        <w:rPr>
          <w:b/>
          <w:bCs/>
        </w:rPr>
        <w:t xml:space="preserve">Account Number</w:t>
      </w:r>
      <w:r>
        <w:t xml:space="preserve"> </w:t>
      </w:r>
      <w:r>
        <w:rPr>
          <w:rFonts w:ascii="Consolas" w:cs="Consolas" w:eastAsia="Consolas" w:hAnsi="Consolas"/>
          <w:b/>
          <w:bCs/>
          <w:color w:val="1F4E79"/>
        </w:rPr>
        <w:t xml:space="preserve">44444##</w:t>
      </w:r>
      <w:r>
        <w:t xml:space="preserve">, </w:t>
      </w:r>
      <w:r>
        <w:rPr>
          <w:b/>
          <w:bCs/>
        </w:rPr>
        <w:t xml:space="preserve">Bank Country</w:t>
      </w:r>
      <w:r>
        <w:t xml:space="preserve"> </w:t>
      </w:r>
      <w:r>
        <w:rPr>
          <w:rFonts w:ascii="Consolas" w:cs="Consolas" w:eastAsia="Consolas" w:hAnsi="Consolas"/>
          <w:b/>
          <w:bCs/>
          <w:color w:val="1F4E79"/>
        </w:rPr>
        <w:t xml:space="preserve">DE</w:t>
      </w:r>
      <w:r>
        <w:t xml:space="preserve">, </w:t>
      </w:r>
      <w:r>
        <w:rPr>
          <w:b/>
          <w:bCs/>
        </w:rPr>
        <w:t xml:space="preserve">Bank Key</w:t>
      </w:r>
      <w:r>
        <w:t xml:space="preserve"> </w:t>
      </w:r>
      <w:r>
        <w:rPr>
          <w:rFonts w:ascii="Consolas" w:cs="Consolas" w:eastAsia="Consolas" w:hAnsi="Consolas"/>
          <w:b/>
          <w:bCs/>
          <w:color w:val="1F4E79"/>
        </w:rPr>
        <w:t xml:space="preserve">333333##</w:t>
      </w:r>
      <w:r>
        <w:t xml:space="preserve">, </w:t>
      </w:r>
      <w:r>
        <w:rPr>
          <w:b/>
          <w:bCs/>
        </w:rPr>
        <w:t xml:space="preserve">Currency</w:t>
      </w:r>
      <w:r>
        <w:t xml:space="preserve"> </w:t>
      </w:r>
      <w:r>
        <w:rPr>
          <w:rFonts w:ascii="Consolas" w:cs="Consolas" w:eastAsia="Consolas" w:hAnsi="Consolas"/>
          <w:b/>
          <w:bCs/>
          <w:color w:val="1F4E79"/>
        </w:rPr>
        <w:t xml:space="preserve">EUR</w:t>
      </w:r>
      <w:r>
        <w:t xml:space="preserve"> → Enter (Schulung d–e).</w:t>
      </w:r>
    </w:p>
    <w:p>
      <w:pPr>
        <w:pStyle w:val="ListParagraph"/>
        <w:numPr>
          <w:ilvl w:val="0"/>
          <w:numId w:val="22"/>
        </w:numPr>
        <w:spacing w:after="60"/>
      </w:pPr>
      <w:r>
        <w:rPr>
          <w:b/>
          <w:bCs/>
        </w:rPr>
        <w:t xml:space="preserve">Generate IBAN</w:t>
      </w:r>
      <w:r>
        <w:t xml:space="preserve"> (IBAN generieren) wählen – Voraussetzung für SEPA (Schulung f: „Achten Sie darauf, die IBAN zu generieren").</w:t>
      </w:r>
    </w:p>
    <w:p>
      <w:pPr>
        <w:pStyle w:val="ListParagraph"/>
        <w:numPr>
          <w:ilvl w:val="0"/>
          <w:numId w:val="22"/>
        </w:numPr>
        <w:spacing w:after="60"/>
      </w:pPr>
      <w:r>
        <w:t xml:space="preserve">Registerkarte </w:t>
      </w:r>
      <w:r>
        <w:rPr>
          <w:b/>
          <w:bCs/>
        </w:rPr>
        <w:t xml:space="preserve">General Data</w:t>
      </w:r>
      <w:r>
        <w:t xml:space="preserve">: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Account Holder</w:t>
      </w:r>
      <w:r>
        <w:t xml:space="preserve"> </w:t>
      </w:r>
      <w:r>
        <w:rPr>
          <w:rFonts w:ascii="Consolas" w:cs="Consolas" w:eastAsia="Consolas" w:hAnsi="Consolas"/>
          <w:b/>
          <w:bCs/>
          <w:color w:val="1F4E79"/>
        </w:rPr>
        <w:t xml:space="preserve">German AH ##</w:t>
      </w:r>
      <w:r>
        <w:t xml:space="preserve">, </w:t>
      </w:r>
      <w:r>
        <w:rPr>
          <w:b/>
          <w:bCs/>
        </w:rPr>
        <w:t xml:space="preserve">Account Type</w:t>
      </w:r>
      <w:r>
        <w:t xml:space="preserve"> </w:t>
      </w:r>
      <w:r>
        <w:rPr>
          <w:rFonts w:ascii="Consolas" w:cs="Consolas" w:eastAsia="Consolas" w:hAnsi="Consolas"/>
          <w:b/>
          <w:bCs/>
          <w:color w:val="1F4E79"/>
        </w:rPr>
        <w:t xml:space="preserve">01 (Current Account)</w:t>
      </w:r>
      <w:r>
        <w:t xml:space="preserve"> (Schulung g).</w:t>
      </w:r>
    </w:p>
    <w:p>
      <w:pPr>
        <w:pStyle w:val="ListParagraph"/>
        <w:numPr>
          <w:ilvl w:val="0"/>
          <w:numId w:val="22"/>
        </w:numPr>
        <w:spacing w:after="60"/>
      </w:pPr>
      <w:r>
        <w:rPr>
          <w:b/>
          <w:bCs/>
        </w:rPr>
        <w:t xml:space="preserve">Save as Inactive</w:t>
      </w:r>
      <w:r>
        <w:t xml:space="preserve"> (Inaktiv sichern) → Meldungen zur Bankhierarchie/Zahlungsgenehmiger mit </w:t>
      </w:r>
      <w:r>
        <w:rPr>
          <w:b/>
          <w:bCs/>
        </w:rPr>
        <w:t xml:space="preserve">Close</w:t>
      </w:r>
      <w:r>
        <w:t xml:space="preserve"> bestätigen → </w:t>
      </w:r>
      <w:r>
        <w:rPr>
          <w:b/>
          <w:bCs/>
        </w:rPr>
        <w:t xml:space="preserve">Activate</w:t>
      </w:r>
      <w:r>
        <w:t xml:space="preserve"> (Aktivieren) (Schulung h–j).</w:t>
      </w:r>
    </w:p>
    <w:p>
      <w:pPr>
        <w:pStyle w:val="ListParagraph"/>
        <w:numPr>
          <w:ilvl w:val="0"/>
          <w:numId w:val="22"/>
        </w:numPr>
        <w:spacing w:after="60"/>
      </w:pPr>
      <w:r>
        <w:t xml:space="preserve">Konto erneut öffnen → </w:t>
      </w:r>
      <w:r>
        <w:rPr>
          <w:b/>
          <w:bCs/>
        </w:rPr>
        <w:t xml:space="preserve">Edit</w:t>
      </w:r>
      <w:r>
        <w:t xml:space="preserve"> → Registerkarte </w:t>
      </w:r>
      <w:r>
        <w:rPr>
          <w:b/>
          <w:bCs/>
        </w:rPr>
        <w:t xml:space="preserve">House Bank Account Connectivity</w:t>
      </w:r>
      <w:r>
        <w:t xml:space="preserve"> (Hausbankkontenkonnektivität) → </w:t>
      </w:r>
      <w:r>
        <w:rPr>
          <w:b/>
          <w:bCs/>
        </w:rPr>
        <w:t xml:space="preserve">Create</w:t>
      </w:r>
      <w:r>
        <w:t xml:space="preserve"> (Schulung n–o):</w:t>
      </w:r>
    </w:p>
    <w:p>
      <w:pPr>
        <w:pStyle w:val="ListParagraph"/>
        <w:numPr>
          <w:ilvl w:val="0"/>
          <w:numId w:val="14"/>
        </w:numPr>
        <w:spacing w:after="40"/>
      </w:pPr>
      <w:r>
        <w:rPr>
          <w:b/>
          <w:bCs/>
        </w:rPr>
        <w:t xml:space="preserve">ID Type</w:t>
      </w:r>
      <w:r>
        <w:t xml:space="preserve"> </w:t>
      </w:r>
      <w:r>
        <w:rPr>
          <w:rFonts w:ascii="Consolas" w:cs="Consolas" w:eastAsia="Consolas" w:hAnsi="Consolas"/>
          <w:b/>
          <w:bCs/>
          <w:color w:val="1F4E79"/>
        </w:rPr>
        <w:t xml:space="preserve">Central System: House Bank Account</w:t>
      </w:r>
    </w:p>
    <w:p>
      <w:pPr>
        <w:pStyle w:val="ListParagraph"/>
        <w:numPr>
          <w:ilvl w:val="0"/>
          <w:numId w:val="14"/>
        </w:numPr>
        <w:spacing w:after="40"/>
      </w:pPr>
      <w:r>
        <w:rPr>
          <w:b/>
          <w:bCs/>
        </w:rPr>
        <w:t xml:space="preserve">Company Code</w:t>
      </w:r>
      <w:r>
        <w:t xml:space="preserve"> </w:t>
      </w:r>
      <w:r>
        <w:rPr>
          <w:rFonts w:ascii="Consolas" w:cs="Consolas" w:eastAsia="Consolas" w:hAnsi="Consolas"/>
          <w:b/>
          <w:bCs/>
          <w:color w:val="1F4E79"/>
        </w:rPr>
        <w:t xml:space="preserve">TA##</w:t>
      </w:r>
    </w:p>
    <w:p>
      <w:pPr>
        <w:pStyle w:val="ListParagraph"/>
        <w:numPr>
          <w:ilvl w:val="0"/>
          <w:numId w:val="14"/>
        </w:numPr>
        <w:spacing w:after="40"/>
      </w:pPr>
      <w:r>
        <w:rPr>
          <w:b/>
          <w:bCs/>
        </w:rPr>
        <w:t xml:space="preserve">House Bank</w:t>
      </w:r>
      <w:r>
        <w:t xml:space="preserve"> </w:t>
      </w:r>
      <w:r>
        <w:rPr>
          <w:rFonts w:ascii="Consolas" w:cs="Consolas" w:eastAsia="Consolas" w:hAnsi="Consolas"/>
          <w:b/>
          <w:bCs/>
          <w:color w:val="1F4E79"/>
        </w:rPr>
        <w:t xml:space="preserve">D-B##</w:t>
      </w:r>
    </w:p>
    <w:p>
      <w:pPr>
        <w:pStyle w:val="ListParagraph"/>
        <w:numPr>
          <w:ilvl w:val="0"/>
          <w:numId w:val="14"/>
        </w:numPr>
        <w:spacing w:after="40"/>
      </w:pPr>
      <w:r>
        <w:rPr>
          <w:b/>
          <w:bCs/>
        </w:rPr>
        <w:t xml:space="preserve">House Bank Account</w:t>
      </w:r>
      <w:r>
        <w:t xml:space="preserve"> </w:t>
      </w:r>
      <w:r>
        <w:rPr>
          <w:rFonts w:ascii="Consolas" w:cs="Consolas" w:eastAsia="Consolas" w:hAnsi="Consolas"/>
          <w:b/>
          <w:bCs/>
          <w:color w:val="1F4E79"/>
        </w:rPr>
        <w:t xml:space="preserve">GIRO</w:t>
      </w:r>
    </w:p>
    <w:p>
      <w:pPr>
        <w:pStyle w:val="ListParagraph"/>
        <w:numPr>
          <w:ilvl w:val="0"/>
          <w:numId w:val="14"/>
        </w:numPr>
        <w:spacing w:after="40"/>
      </w:pPr>
      <w:r>
        <w:rPr>
          <w:b/>
          <w:bCs/>
        </w:rPr>
        <w:t xml:space="preserve">G/L Account</w:t>
      </w:r>
      <w:r>
        <w:t xml:space="preserve"> </w:t>
      </w:r>
      <w:r>
        <w:rPr>
          <w:rFonts w:ascii="Consolas" w:cs="Consolas" w:eastAsia="Consolas" w:hAnsi="Consolas"/>
          <w:b/>
          <w:bCs/>
          <w:color w:val="1F4E79"/>
        </w:rPr>
        <w:t xml:space="preserve">11001000</w:t>
      </w:r>
    </w:p>
    <w:p>
      <w:pPr>
        <w:pStyle w:val="ListParagraph"/>
        <w:numPr>
          <w:ilvl w:val="0"/>
          <w:numId w:val="22"/>
        </w:numPr>
        <w:spacing w:after="60"/>
      </w:pPr>
      <w:r>
        <w:rPr>
          <w:b/>
          <w:bCs/>
        </w:rPr>
        <w:t xml:space="preserve">Apply</w:t>
      </w:r>
      <w:r>
        <w:t xml:space="preserve"> (Übernehmen) → </w:t>
      </w:r>
      <w:r>
        <w:rPr>
          <w:b/>
          <w:bCs/>
        </w:rPr>
        <w:t xml:space="preserve">Save</w:t>
      </w:r>
      <w:r>
        <w:t xml:space="preserve"> → </w:t>
      </w:r>
      <w:r>
        <w:rPr>
          <w:b/>
          <w:bCs/>
        </w:rPr>
        <w:t xml:space="preserve">Close</w:t>
      </w:r>
      <w:r>
        <w:t xml:space="preserve"> (Schulung q–s).</w:t>
      </w:r>
    </w:p>
    <w:p>
      <w:pPr>
        <w:pStyle w:val="Heading3"/>
      </w:pPr>
      <w:r>
        <w:t xml:space="preserve">c) Sachkonto 11001000 mit Hausbank verknüpfen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2 „Ein Hausbankkonto definieren", S. 25–27 (PDF 33–35) – Schritt 2: „Sachkontenstammdaten verwalten" → Buchungskreisdaten → Registerkarte ANLEGEN/BANK/ZINS → Hausbank, Hausbankkonto-ID</w:t>
      </w:r>
    </w:p>
    <w:p>
      <w:pPr>
        <w:pStyle w:val="ListParagraph"/>
        <w:numPr>
          <w:ilvl w:val="0"/>
          <w:numId w:val="23"/>
        </w:numPr>
        <w:spacing w:after="60"/>
      </w:pPr>
      <w:r>
        <w:t xml:space="preserve">App </w:t>
      </w:r>
      <w:r>
        <w:rPr>
          <w:b/>
          <w:bCs/>
        </w:rPr>
        <w:t xml:space="preserve">Manage G/L Account Master Data</w:t>
      </w:r>
      <w:r>
        <w:t xml:space="preserve"> (Sachkontenstammdaten verwalten) → Chart of Accounts </w:t>
      </w:r>
      <w:r>
        <w:rPr>
          <w:rFonts w:ascii="Consolas" w:cs="Consolas" w:eastAsia="Consolas" w:hAnsi="Consolas"/>
          <w:b/>
          <w:bCs/>
          <w:color w:val="1F4E79"/>
        </w:rPr>
        <w:t xml:space="preserve">YCOA</w:t>
      </w:r>
      <w:r>
        <w:t xml:space="preserve">, G/L Account </w:t>
      </w:r>
      <w:r>
        <w:rPr>
          <w:rFonts w:ascii="Consolas" w:cs="Consolas" w:eastAsia="Consolas" w:hAnsi="Consolas"/>
          <w:b/>
          <w:bCs/>
          <w:color w:val="1F4E79"/>
        </w:rPr>
        <w:t xml:space="preserve">11001000</w:t>
      </w:r>
      <w:r>
        <w:t xml:space="preserve"> → </w:t>
      </w:r>
      <w:r>
        <w:rPr>
          <w:b/>
          <w:bCs/>
        </w:rPr>
        <w:t xml:space="preserve">Go</w:t>
      </w:r>
      <w:r>
        <w:t xml:space="preserve"> → Details (&gt;).</w:t>
      </w:r>
    </w:p>
    <w:p>
      <w:pPr>
        <w:pStyle w:val="ListParagraph"/>
        <w:numPr>
          <w:ilvl w:val="0"/>
          <w:numId w:val="23"/>
        </w:numPr>
        <w:spacing w:after="60"/>
      </w:pPr>
      <w:r>
        <w:rPr>
          <w:b/>
          <w:bCs/>
        </w:rPr>
        <w:t xml:space="preserve">Edit</w:t>
      </w:r>
      <w:r>
        <w:t xml:space="preserve"> → Registerkarte </w:t>
      </w:r>
      <w:r>
        <w:rPr>
          <w:b/>
          <w:bCs/>
        </w:rPr>
        <w:t xml:space="preserve">Company Code Data</w:t>
      </w:r>
      <w:r>
        <w:t xml:space="preserve"> → Buchungskreis </w:t>
      </w:r>
      <w:r>
        <w:rPr>
          <w:b/>
          <w:bCs/>
        </w:rPr>
        <w:t xml:space="preserve">TA##</w:t>
      </w:r>
      <w:r>
        <w:t xml:space="preserve"> markieren → Details (&gt;).</w:t>
      </w:r>
    </w:p>
    <w:p>
      <w:pPr>
        <w:pStyle w:val="ListParagraph"/>
        <w:numPr>
          <w:ilvl w:val="0"/>
          <w:numId w:val="23"/>
        </w:numPr>
        <w:spacing w:after="60"/>
      </w:pPr>
      <w:r>
        <w:t xml:space="preserve">Registerkarte </w:t>
      </w:r>
      <w:r>
        <w:rPr>
          <w:b/>
          <w:bCs/>
        </w:rPr>
        <w:t xml:space="preserve">Create/Bank/Interest</w:t>
      </w:r>
      <w:r>
        <w:t xml:space="preserve"> (ANLEGEN/BANK/ZINS): </w:t>
      </w:r>
      <w:r>
        <w:rPr>
          <w:b/>
          <w:bCs/>
        </w:rPr>
        <w:t xml:space="preserve">House Bank</w:t>
      </w:r>
      <w:r>
        <w:t xml:space="preserve"> </w:t>
      </w:r>
      <w:r>
        <w:rPr>
          <w:rFonts w:ascii="Consolas" w:cs="Consolas" w:eastAsia="Consolas" w:hAnsi="Consolas"/>
          <w:b/>
          <w:bCs/>
          <w:color w:val="1F4E79"/>
        </w:rPr>
        <w:t xml:space="preserve">D-B##</w:t>
      </w:r>
      <w:r>
        <w:t xml:space="preserve">, </w:t>
      </w:r>
      <w:r>
        <w:rPr>
          <w:b/>
          <w:bCs/>
        </w:rPr>
        <w:t xml:space="preserve">House Bank Account ID</w:t>
      </w:r>
      <w:r>
        <w:t xml:space="preserve"> </w:t>
      </w:r>
      <w:r>
        <w:rPr>
          <w:rFonts w:ascii="Consolas" w:cs="Consolas" w:eastAsia="Consolas" w:hAnsi="Consolas"/>
          <w:b/>
          <w:bCs/>
          <w:color w:val="1F4E79"/>
        </w:rPr>
        <w:t xml:space="preserve">GIRO</w:t>
      </w:r>
      <w:r>
        <w:t xml:space="preserve"> → </w:t>
      </w:r>
      <w:r>
        <w:rPr>
          <w:b/>
          <w:bCs/>
        </w:rPr>
        <w:t xml:space="preserve">OK</w:t>
      </w:r>
      <w:r>
        <w:t xml:space="preserve"> → </w:t>
      </w:r>
      <w:r>
        <w:rPr>
          <w:b/>
          <w:bCs/>
        </w:rPr>
        <w:t xml:space="preserve">Save</w:t>
      </w:r>
      <w:r>
        <w:t xml:space="preserve"> (Schulung h–k).</w:t>
      </w:r>
    </w:p>
    <w:p>
      <w:pPr>
        <w:pBdr>
          <w:left w:val="single" w:color="2E75B6" w:sz="24" w:space="6"/>
        </w:pBdr>
        <w:shd w:fill="E8F1FB" w:color="auto" w:val="clear"/>
        <w:spacing w:after="120" w:before="120"/>
        <w:ind w:left="120" w:right="120"/>
      </w:pPr>
      <w:r>
        <w:rPr>
          <w:b/>
          <w:bCs/>
          <w:color w:val="2E75B6"/>
        </w:rPr>
        <w:t xml:space="preserve">Hinweis: </w:t>
      </w:r>
      <w:r>
        <w:t xml:space="preserve">Bestandskontenlösung: 1:1-Beziehung zwischen Hausbankkonto und Sachkonto (S4F13 S. 17 und Notiz S. 27).</w:t>
      </w:r>
    </w:p>
    <w:p>
      <w:pPr>
        <w:pStyle w:val="Heading2"/>
      </w:pPr>
      <w:r>
        <w:t xml:space="preserve">Schritt 5.2 – Lieferantenrechnung mit Zahlsperre</w:t>
      </w:r>
    </w:p>
    <w:p>
      <w:pPr>
        <w:pBdr>
          <w:left w:val="single" w:color="7F7F7F" w:sz="24" w:space="6"/>
        </w:pBdr>
        <w:shd w:fill="EDEDED" w:color="auto" w:val="clear"/>
        <w:spacing w:after="120" w:before="120"/>
        <w:ind w:left="120" w:right="120"/>
      </w:pPr>
      <w:r>
        <w:rPr>
          <w:b/>
          <w:bCs/>
          <w:color w:val="7F7F7F"/>
        </w:rPr>
        <w:t xml:space="preserve">Aufgabe (Original): </w:t>
      </w:r>
      <w:r>
        <w:t xml:space="preserve">T-AV##, TA##, 3.300 EUR, heute, 1I, Steuer rechnen, Zahlungsbedingung 0001, Zahlsperre A, Sachkonto 61003000, Kostenstelle TA##1100.</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4 „Belege für automatische Zahlungen eingeben", S. 43–44 (PDF 51–52) – identische Rechnung (T-AV##, 2200 EUR, 1I, 0001, 61003000, TA##1100) – nur Betrag und Zahlsperre abweichend; Zahlsperre bei Belegerfassung: </w:t>
      </w:r>
      <w:r>
        <w:rPr>
          <w:b/>
          <w:bCs/>
        </w:rPr>
        <w:t xml:space="preserve">S4F13</w:t>
      </w:r>
      <w:r>
        <w:t xml:space="preserve">, Lektion „Stammsätze und Finanzbuchhaltungsbelege ändern", Feld „Zahlsperre", S. 31 (PDF 39) und S. 39 (PDF 47).</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Create Incoming Invoices</w:t>
      </w:r>
      <w:r>
        <w:t xml:space="preserve"> (Eingangsrechnungen anlegen) – </w:t>
      </w:r>
      <w:r>
        <w:rPr>
          <w:rFonts w:ascii="Consolas" w:cs="Consolas" w:eastAsia="Consolas" w:hAnsi="Consolas"/>
          <w:b/>
          <w:bCs/>
          <w:color w:val="1F4E79"/>
        </w:rPr>
        <w:t xml:space="preserve">FB60</w:t>
      </w:r>
      <w:r>
        <w:t xml:space="preserve">.</w:t>
      </w:r>
    </w:p>
    <w:p>
      <w:pPr>
        <w:pStyle w:val="ListParagraph"/>
        <w:numPr>
          <w:ilvl w:val="0"/>
          <w:numId w:val="24"/>
        </w:numPr>
        <w:spacing w:after="60"/>
      </w:pPr>
      <w:r>
        <w:t xml:space="preserve">App öffnen, </w:t>
      </w:r>
      <w:r>
        <w:rPr>
          <w:b/>
          <w:bCs/>
        </w:rPr>
        <w:t xml:space="preserve">Company Code</w:t>
      </w:r>
      <w:r>
        <w:t xml:space="preserve"> </w:t>
      </w:r>
      <w:r>
        <w:rPr>
          <w:rFonts w:ascii="Consolas" w:cs="Consolas" w:eastAsia="Consolas" w:hAnsi="Consolas"/>
          <w:b/>
          <w:bCs/>
          <w:color w:val="1F4E79"/>
        </w:rPr>
        <w:t xml:space="preserve">TA##</w:t>
      </w:r>
      <w:r>
        <w:t xml:space="preserve"> (Schulung b).</w:t>
      </w:r>
    </w:p>
    <w:p>
      <w:pPr>
        <w:pStyle w:val="ListParagraph"/>
        <w:numPr>
          <w:ilvl w:val="0"/>
          <w:numId w:val="24"/>
        </w:numPr>
        <w:spacing w:after="60"/>
      </w:pPr>
      <w:r>
        <w:t xml:space="preserve">Registerkarte </w:t>
      </w:r>
      <w:r>
        <w:rPr>
          <w:b/>
          <w:bCs/>
        </w:rPr>
        <w:t xml:space="preserve">Basic Data</w:t>
      </w:r>
      <w:r>
        <w:t xml:space="preserve">: </w:t>
      </w:r>
      <w:r>
        <w:rPr>
          <w:b/>
          <w:bCs/>
        </w:rPr>
        <w:t xml:space="preserve">Supplier</w:t>
      </w:r>
      <w:r>
        <w:t xml:space="preserve"> </w:t>
      </w:r>
      <w:r>
        <w:rPr>
          <w:rFonts w:ascii="Consolas" w:cs="Consolas" w:eastAsia="Consolas" w:hAnsi="Consolas"/>
          <w:b/>
          <w:bCs/>
          <w:color w:val="1F4E79"/>
        </w:rPr>
        <w:t xml:space="preserve">T-AV##</w:t>
      </w:r>
      <w:r>
        <w:t xml:space="preserve">, </w:t>
      </w:r>
      <w:r>
        <w:rPr>
          <w:b/>
          <w:bCs/>
        </w:rPr>
        <w:t xml:space="preserve">Invoice Date</w:t>
      </w:r>
      <w:r>
        <w:t xml:space="preserve"> / </w:t>
      </w:r>
      <w:r>
        <w:rPr>
          <w:b/>
          <w:bCs/>
        </w:rPr>
        <w:t xml:space="preserve">Posting Date</w:t>
      </w:r>
      <w:r>
        <w:t xml:space="preserve"> heute, </w:t>
      </w:r>
      <w:r>
        <w:rPr>
          <w:b/>
          <w:bCs/>
        </w:rPr>
        <w:t xml:space="preserve">Amount</w:t>
      </w:r>
      <w:r>
        <w:t xml:space="preserve"> </w:t>
      </w:r>
      <w:r>
        <w:rPr>
          <w:rFonts w:ascii="Consolas" w:cs="Consolas" w:eastAsia="Consolas" w:hAnsi="Consolas"/>
          <w:b/>
          <w:bCs/>
          <w:color w:val="1F4E79"/>
        </w:rPr>
        <w:t xml:space="preserve">3.300</w:t>
      </w:r>
      <w:r>
        <w:t xml:space="preserve"> EUR, </w:t>
      </w:r>
      <w:r>
        <w:rPr>
          <w:b/>
          <w:bCs/>
        </w:rPr>
        <w:t xml:space="preserve">Calculate Tax</w:t>
      </w:r>
      <w:r>
        <w:t xml:space="preserve"> markieren, </w:t>
      </w:r>
      <w:r>
        <w:rPr>
          <w:b/>
          <w:bCs/>
        </w:rPr>
        <w:t xml:space="preserve">Tax Code</w:t>
      </w:r>
      <w:r>
        <w:t xml:space="preserve"> </w:t>
      </w:r>
      <w:r>
        <w:rPr>
          <w:rFonts w:ascii="Consolas" w:cs="Consolas" w:eastAsia="Consolas" w:hAnsi="Consolas"/>
          <w:b/>
          <w:bCs/>
          <w:color w:val="1F4E79"/>
        </w:rPr>
        <w:t xml:space="preserve">1I</w:t>
      </w:r>
      <w:r>
        <w:t xml:space="preserve"> (Schulung d–e).</w:t>
      </w:r>
    </w:p>
    <w:p>
      <w:pPr>
        <w:pStyle w:val="ListParagraph"/>
        <w:numPr>
          <w:ilvl w:val="0"/>
          <w:numId w:val="24"/>
        </w:numPr>
        <w:spacing w:after="60"/>
      </w:pPr>
      <w:r>
        <w:t xml:space="preserve">Registerkarte </w:t>
      </w:r>
      <w:r>
        <w:rPr>
          <w:b/>
          <w:bCs/>
        </w:rPr>
        <w:t xml:space="preserve">Payment</w:t>
      </w:r>
      <w:r>
        <w:t xml:space="preserve"> (Zahlung): </w:t>
      </w:r>
      <w:r>
        <w:rPr>
          <w:b/>
          <w:bCs/>
        </w:rPr>
        <w:t xml:space="preserve">Payt Terms</w:t>
      </w:r>
      <w:r>
        <w:t xml:space="preserve"> (ZahlBed) </w:t>
      </w:r>
      <w:r>
        <w:rPr>
          <w:rFonts w:ascii="Consolas" w:cs="Consolas" w:eastAsia="Consolas" w:hAnsi="Consolas"/>
          <w:b/>
          <w:bCs/>
          <w:color w:val="1F4E79"/>
        </w:rPr>
        <w:t xml:space="preserve">0001</w:t>
      </w:r>
      <w:r>
        <w:t xml:space="preserve"> prüfen/eingeben (Schulung f); zusätzlich </w:t>
      </w:r>
      <w:r>
        <w:rPr>
          <w:b/>
          <w:bCs/>
        </w:rPr>
        <w:t xml:space="preserve">Pmnt Block</w:t>
      </w:r>
      <w:r>
        <w:t xml:space="preserve"> (Zahlsperre) = </w:t>
      </w:r>
      <w:r>
        <w:rPr>
          <w:rFonts w:ascii="Consolas" w:cs="Consolas" w:eastAsia="Consolas" w:hAnsi="Consolas"/>
          <w:b/>
          <w:bCs/>
          <w:color w:val="1F4E79"/>
        </w:rPr>
        <w:t xml:space="preserve">A</w:t>
      </w:r>
      <w:r>
        <w:t xml:space="preserve">.</w:t>
      </w:r>
    </w:p>
    <w:p>
      <w:pPr>
        <w:pStyle w:val="ListParagraph"/>
        <w:numPr>
          <w:ilvl w:val="0"/>
          <w:numId w:val="24"/>
        </w:numPr>
        <w:spacing w:after="60"/>
      </w:pPr>
      <w:r>
        <w:t xml:space="preserve">Positionen: </w:t>
      </w:r>
      <w:r>
        <w:rPr>
          <w:b/>
          <w:bCs/>
        </w:rPr>
        <w:t xml:space="preserve">G/L Account</w:t>
      </w:r>
      <w:r>
        <w:t xml:space="preserve"> </w:t>
      </w:r>
      <w:r>
        <w:rPr>
          <w:rFonts w:ascii="Consolas" w:cs="Consolas" w:eastAsia="Consolas" w:hAnsi="Consolas"/>
          <w:b/>
          <w:bCs/>
          <w:color w:val="1F4E79"/>
        </w:rPr>
        <w:t xml:space="preserve">61003000</w:t>
      </w:r>
      <w:r>
        <w:t xml:space="preserve">, </w:t>
      </w:r>
      <w:r>
        <w:rPr>
          <w:b/>
          <w:bCs/>
        </w:rPr>
        <w:t xml:space="preserve">D/C</w:t>
      </w:r>
      <w:r>
        <w:t xml:space="preserve"> Debit, </w:t>
      </w:r>
      <w:r>
        <w:rPr>
          <w:b/>
          <w:bCs/>
        </w:rPr>
        <w:t xml:space="preserve">Amount</w:t>
      </w:r>
      <w:r>
        <w:t xml:space="preserve"> </w:t>
      </w:r>
      <w:r>
        <w:rPr>
          <w:rFonts w:ascii="Consolas" w:cs="Consolas" w:eastAsia="Consolas" w:hAnsi="Consolas"/>
          <w:b/>
          <w:bCs/>
          <w:color w:val="1F4E79"/>
        </w:rPr>
        <w:t xml:space="preserve">*</w:t>
      </w:r>
      <w:r>
        <w:t xml:space="preserve">, </w:t>
      </w:r>
      <w:r>
        <w:rPr>
          <w:b/>
          <w:bCs/>
        </w:rPr>
        <w:t xml:space="preserve">Cost Center</w:t>
      </w:r>
      <w:r>
        <w:t xml:space="preserve"> </w:t>
      </w:r>
      <w:r>
        <w:rPr>
          <w:rFonts w:ascii="Consolas" w:cs="Consolas" w:eastAsia="Consolas" w:hAnsi="Consolas"/>
          <w:b/>
          <w:bCs/>
          <w:color w:val="1F4E79"/>
        </w:rPr>
        <w:t xml:space="preserve">TA##1100</w:t>
      </w:r>
      <w:r>
        <w:t xml:space="preserve"> (Schulung g).</w:t>
      </w:r>
    </w:p>
    <w:p>
      <w:pPr>
        <w:pStyle w:val="ListParagraph"/>
        <w:numPr>
          <w:ilvl w:val="0"/>
          <w:numId w:val="24"/>
        </w:numPr>
        <w:spacing w:after="60"/>
      </w:pPr>
      <w:r>
        <w:rPr>
          <w:b/>
          <w:bCs/>
        </w:rPr>
        <w:t xml:space="preserve">Simulate</w:t>
      </w:r>
      <w:r>
        <w:t xml:space="preserve"> → prüfen (Kreditor 3.300 Haben, Aufwand 3.000, Vorsteuer 300) → </w:t>
      </w:r>
      <w:r>
        <w:rPr>
          <w:b/>
          <w:bCs/>
        </w:rPr>
        <w:t xml:space="preserve">Post</w:t>
      </w:r>
      <w:r>
        <w:t xml:space="preserve">, Belegnummer notieren (Schulung h–j).</w:t>
      </w:r>
    </w:p>
    <w:p>
      <w:pPr>
        <w:pStyle w:val="Heading2"/>
      </w:pPr>
      <w:r>
        <w:t xml:space="preserve">Schritt 5.3 – Zahlprogramm konfigurieren</w:t>
      </w:r>
    </w:p>
    <w:p>
      <w:pPr>
        <w:pBdr>
          <w:left w:val="single" w:color="7F7F7F" w:sz="24" w:space="6"/>
        </w:pBdr>
        <w:shd w:fill="EDEDED" w:color="auto" w:val="clear"/>
        <w:spacing w:after="120" w:before="120"/>
        <w:ind w:left="120" w:right="120"/>
      </w:pPr>
      <w:r>
        <w:rPr>
          <w:b/>
          <w:bCs/>
          <w:color w:val="7F7F7F"/>
        </w:rPr>
        <w:t xml:space="preserve">Aufgabe (Original): </w:t>
      </w:r>
      <w:r>
        <w:t xml:space="preserve">Sending/Paying Company Code = TA##. Bankenfindung für TA## und D-B##: Rangfolge (T/EUR/1/D-B##), Bankkonten (D-B##/T/EUR/GIRO/11001020), verfügbare Beträge (2.000.000 EUR, 999 Tage), Wertstellung (1.000.000 EUR, 2 Tage).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6 „Zahlungsprogramm konfigurieren", S. 66–69 (PDF 74–77) – Alle Buchungskreise (Absendender/Zahlender BuKr), Zahlende Buchungskreise, Zahlwege pro Land/Buchungskreis; </w:t>
      </w:r>
      <w:r>
        <w:rPr>
          <w:b/>
          <w:bCs/>
        </w:rPr>
        <w:t xml:space="preserve">S4F13</w:t>
      </w:r>
      <w:r>
        <w:t xml:space="preserve">, Übung 7 „Bankenauswahl konfigurieren", S. 79–81 (PDF 87–89) – Rangfolge, Bankkonten, Disponierte Beträge, Wertstellung – praktisch identische Struktur</w:t>
      </w:r>
    </w:p>
    <w:p>
      <w:pPr>
        <w:pBdr>
          <w:left w:val="single" w:color="F0AB00" w:sz="24" w:space="6"/>
        </w:pBdr>
        <w:shd w:fill="FFF4D6" w:color="auto" w:val="clear"/>
        <w:spacing w:after="120" w:before="120"/>
        <w:ind w:left="120" w:right="120"/>
      </w:pPr>
      <w:r>
        <w:rPr>
          <w:b/>
          <w:bCs/>
          <w:color w:val="F0AB00"/>
        </w:rPr>
        <w:t xml:space="preserve">Transaktion / App: </w:t>
      </w:r>
      <w:r>
        <w:t xml:space="preserve">IMG: Financial Accounting → Accounts Receivable and Accounts Payable → Business Transactions → Outgoing Payments → Automatic Outgoing Payments → Payment Method/Bank Selection for Payment Program (Transaktion </w:t>
      </w:r>
      <w:r>
        <w:rPr>
          <w:rFonts w:ascii="Consolas" w:cs="Consolas" w:eastAsia="Consolas" w:hAnsi="Consolas"/>
          <w:b/>
          <w:bCs/>
          <w:color w:val="1F4E79"/>
        </w:rPr>
        <w:t xml:space="preserve">FBZP</w:t>
      </w:r>
      <w:r>
        <w:t xml:space="preserve">).</w:t>
      </w:r>
    </w:p>
    <w:p>
      <w:pPr>
        <w:pStyle w:val="Heading3"/>
      </w:pPr>
      <w:r>
        <w:t xml:space="preserve">a) Alle Buchungskreise</w:t>
      </w:r>
    </w:p>
    <w:p>
      <w:pPr>
        <w:pStyle w:val="ListParagraph"/>
        <w:numPr>
          <w:ilvl w:val="0"/>
          <w:numId w:val="25"/>
        </w:numPr>
        <w:spacing w:after="60"/>
      </w:pPr>
      <w:r>
        <w:t xml:space="preserve">IMG-Aktivität </w:t>
      </w:r>
      <w:r>
        <w:rPr>
          <w:b/>
          <w:bCs/>
        </w:rPr>
        <w:t xml:space="preserve">Set Up All Company Codes for Payment Transactions</w:t>
      </w:r>
      <w:r>
        <w:t xml:space="preserve"> (Alle Buchungskreise für Zahlungsverkehr einrichten) → TA## doppelklicken (ggf. </w:t>
      </w:r>
      <w:r>
        <w:rPr>
          <w:b/>
          <w:bCs/>
        </w:rPr>
        <w:t xml:space="preserve">Position…</w:t>
      </w:r>
      <w:r>
        <w:t xml:space="preserve">) – Schulung S4F13 S. 66 c)–d).</w:t>
      </w:r>
    </w:p>
    <w:p>
      <w:pPr>
        <w:pStyle w:val="ListParagraph"/>
        <w:numPr>
          <w:ilvl w:val="0"/>
          <w:numId w:val="25"/>
        </w:numPr>
        <w:spacing w:after="60"/>
      </w:pPr>
      <w:r>
        <w:rPr>
          <w:b/>
          <w:bCs/>
        </w:rPr>
        <w:t xml:space="preserve">Sending Company Code</w:t>
      </w:r>
      <w:r>
        <w:t xml:space="preserve"> </w:t>
      </w:r>
      <w:r>
        <w:rPr>
          <w:rFonts w:ascii="Consolas" w:cs="Consolas" w:eastAsia="Consolas" w:hAnsi="Consolas"/>
          <w:b/>
          <w:bCs/>
          <w:color w:val="1F4E79"/>
        </w:rPr>
        <w:t xml:space="preserve">TA##</w:t>
      </w:r>
      <w:r>
        <w:t xml:space="preserve">, </w:t>
      </w:r>
      <w:r>
        <w:rPr>
          <w:b/>
          <w:bCs/>
        </w:rPr>
        <w:t xml:space="preserve">Paying Company Code</w:t>
      </w:r>
      <w:r>
        <w:t xml:space="preserve"> </w:t>
      </w:r>
      <w:r>
        <w:rPr>
          <w:rFonts w:ascii="Consolas" w:cs="Consolas" w:eastAsia="Consolas" w:hAnsi="Consolas"/>
          <w:b/>
          <w:bCs/>
          <w:color w:val="1F4E79"/>
        </w:rPr>
        <w:t xml:space="preserve">TA##</w:t>
      </w:r>
      <w:r>
        <w:t xml:space="preserve"> prüfen/setzen → </w:t>
      </w:r>
      <w:r>
        <w:rPr>
          <w:b/>
          <w:bCs/>
        </w:rPr>
        <w:t xml:space="preserve">Save</w:t>
      </w:r>
      <w:r>
        <w:t xml:space="preserve"> (Schulung e–f).</w:t>
      </w:r>
    </w:p>
    <w:p>
      <w:pPr>
        <w:pStyle w:val="ListParagraph"/>
        <w:numPr>
          <w:ilvl w:val="0"/>
          <w:numId w:val="25"/>
        </w:numPr>
        <w:spacing w:after="60"/>
      </w:pPr>
      <w:r>
        <w:t xml:space="preserve">Optional prüfen: </w:t>
      </w:r>
      <w:r>
        <w:rPr>
          <w:b/>
          <w:bCs/>
        </w:rPr>
        <w:t xml:space="preserve">Set Up Paying Company Codes</w:t>
      </w:r>
      <w:r>
        <w:t xml:space="preserve"> (Zahlende Buchungskreise) und </w:t>
      </w:r>
      <w:r>
        <w:rPr>
          <w:b/>
          <w:bCs/>
        </w:rPr>
        <w:t xml:space="preserve">Set Up Payment Methods per Company Code</w:t>
      </w:r>
      <w:r>
        <w:t xml:space="preserve"> – Zahlweg </w:t>
      </w:r>
      <w:r>
        <w:rPr>
          <w:b/>
          <w:bCs/>
        </w:rPr>
        <w:t xml:space="preserve">T</w:t>
      </w:r>
      <w:r>
        <w:t xml:space="preserve"> in TA## vorhanden (Schulung S. 67–69). Payment-Medium-Einstellungen sind laut Aufgabe nicht nötig.</w:t>
      </w:r>
    </w:p>
    <w:p>
      <w:pPr>
        <w:pStyle w:val="Heading3"/>
      </w:pPr>
      <w:r>
        <w:t xml:space="preserve">b) Bankenfindung</w:t>
      </w:r>
    </w:p>
    <w:p>
      <w:pPr>
        <w:pStyle w:val="ListParagraph"/>
        <w:numPr>
          <w:ilvl w:val="0"/>
          <w:numId w:val="26"/>
        </w:numPr>
        <w:spacing w:after="60"/>
      </w:pPr>
      <w:r>
        <w:t xml:space="preserve">IMG-Aktivität </w:t>
      </w:r>
      <w:r>
        <w:rPr>
          <w:b/>
          <w:bCs/>
        </w:rPr>
        <w:t xml:space="preserve">Set Up Bank Determination for Payment Transactions</w:t>
      </w:r>
      <w:r>
        <w:t xml:space="preserve"> (Bankenfindung für Zahlungsverkehr einrichten) → Zeile </w:t>
      </w:r>
      <w:r>
        <w:rPr>
          <w:b/>
          <w:bCs/>
        </w:rPr>
        <w:t xml:space="preserve">TA##</w:t>
      </w:r>
      <w:r>
        <w:t xml:space="preserve"> markieren (Schulung S4F13 S. 79 a)–b).</w:t>
      </w:r>
    </w:p>
    <w:p>
      <w:pPr>
        <w:pStyle w:val="ListParagraph"/>
        <w:numPr>
          <w:ilvl w:val="0"/>
          <w:numId w:val="26"/>
        </w:numPr>
        <w:spacing w:after="60"/>
      </w:pPr>
      <w:r>
        <w:t xml:space="preserve">Ordner </w:t>
      </w:r>
      <w:r>
        <w:rPr>
          <w:b/>
          <w:bCs/>
        </w:rPr>
        <w:t xml:space="preserve">Ranking Order</w:t>
      </w:r>
      <w:r>
        <w:t xml:space="preserve"> (Rangfolge): Zeile Zahlweg </w:t>
      </w:r>
      <w:r>
        <w:rPr>
          <w:rFonts w:ascii="Consolas" w:cs="Consolas" w:eastAsia="Consolas" w:hAnsi="Consolas"/>
          <w:b/>
          <w:bCs/>
          <w:color w:val="1F4E79"/>
        </w:rPr>
        <w:t xml:space="preserve">T</w:t>
      </w:r>
      <w:r>
        <w:t xml:space="preserve">, Währung </w:t>
      </w:r>
      <w:r>
        <w:rPr>
          <w:rFonts w:ascii="Consolas" w:cs="Consolas" w:eastAsia="Consolas" w:hAnsi="Consolas"/>
          <w:b/>
          <w:bCs/>
          <w:color w:val="1F4E79"/>
        </w:rPr>
        <w:t xml:space="preserve">EUR</w:t>
      </w:r>
      <w:r>
        <w:t xml:space="preserve">, Rangfolge </w:t>
      </w:r>
      <w:r>
        <w:rPr>
          <w:rFonts w:ascii="Consolas" w:cs="Consolas" w:eastAsia="Consolas" w:hAnsi="Consolas"/>
          <w:b/>
          <w:bCs/>
          <w:color w:val="1F4E79"/>
        </w:rPr>
        <w:t xml:space="preserve">1</w:t>
      </w:r>
      <w:r>
        <w:t xml:space="preserve"> → Feld </w:t>
      </w:r>
      <w:r>
        <w:rPr>
          <w:b/>
          <w:bCs/>
        </w:rPr>
        <w:t xml:space="preserve">House Bank</w:t>
      </w:r>
      <w:r>
        <w:t xml:space="preserve"> auf </w:t>
      </w:r>
      <w:r>
        <w:rPr>
          <w:rFonts w:ascii="Consolas" w:cs="Consolas" w:eastAsia="Consolas" w:hAnsi="Consolas"/>
          <w:b/>
          <w:bCs/>
          <w:color w:val="1F4E79"/>
        </w:rPr>
        <w:t xml:space="preserve">D-B##</w:t>
      </w:r>
      <w:r>
        <w:t xml:space="preserve"> </w:t>
      </w:r>
      <w:r>
        <w:rPr>
          <w:b/>
          <w:bCs/>
        </w:rPr>
        <w:t xml:space="preserve">ändern</w:t>
      </w:r>
      <w:r>
        <w:t xml:space="preserve"> → </w:t>
      </w:r>
      <w:r>
        <w:rPr>
          <w:b/>
          <w:bCs/>
        </w:rPr>
        <w:t xml:space="preserve">Save</w:t>
      </w:r>
      <w:r>
        <w:t xml:space="preserve"> (Schulung c)–e).</w:t>
      </w:r>
    </w:p>
    <w:p>
      <w:pPr>
        <w:pStyle w:val="ListParagraph"/>
        <w:numPr>
          <w:ilvl w:val="0"/>
          <w:numId w:val="26"/>
        </w:numPr>
        <w:spacing w:after="60"/>
      </w:pPr>
      <w:r>
        <w:t xml:space="preserve">Ordner </w:t>
      </w:r>
      <w:r>
        <w:rPr>
          <w:b/>
          <w:bCs/>
        </w:rPr>
        <w:t xml:space="preserve">Bank Accounts</w:t>
      </w:r>
      <w:r>
        <w:t xml:space="preserve"> (Bankkonten) → </w:t>
      </w:r>
      <w:r>
        <w:rPr>
          <w:b/>
          <w:bCs/>
        </w:rPr>
        <w:t xml:space="preserve">New Entries</w:t>
      </w:r>
      <w:r>
        <w:t xml:space="preserve">: House Bank </w:t>
      </w:r>
      <w:r>
        <w:rPr>
          <w:rFonts w:ascii="Consolas" w:cs="Consolas" w:eastAsia="Consolas" w:hAnsi="Consolas"/>
          <w:b/>
          <w:bCs/>
          <w:color w:val="1F4E79"/>
        </w:rPr>
        <w:t xml:space="preserve">D-B##</w:t>
      </w:r>
      <w:r>
        <w:t xml:space="preserve">, Payment Method </w:t>
      </w:r>
      <w:r>
        <w:rPr>
          <w:rFonts w:ascii="Consolas" w:cs="Consolas" w:eastAsia="Consolas" w:hAnsi="Consolas"/>
          <w:b/>
          <w:bCs/>
          <w:color w:val="1F4E79"/>
        </w:rPr>
        <w:t xml:space="preserve">T</w:t>
      </w:r>
      <w:r>
        <w:t xml:space="preserve">, Currency </w:t>
      </w:r>
      <w:r>
        <w:rPr>
          <w:rFonts w:ascii="Consolas" w:cs="Consolas" w:eastAsia="Consolas" w:hAnsi="Consolas"/>
          <w:b/>
          <w:bCs/>
          <w:color w:val="1F4E79"/>
        </w:rPr>
        <w:t xml:space="preserve">EUR</w:t>
      </w:r>
      <w:r>
        <w:t xml:space="preserve">, Account ID </w:t>
      </w:r>
      <w:r>
        <w:rPr>
          <w:rFonts w:ascii="Consolas" w:cs="Consolas" w:eastAsia="Consolas" w:hAnsi="Consolas"/>
          <w:b/>
          <w:bCs/>
          <w:color w:val="1F4E79"/>
        </w:rPr>
        <w:t xml:space="preserve">GIRO</w:t>
      </w:r>
      <w:r>
        <w:t xml:space="preserve">, Bank Subaccount </w:t>
      </w:r>
      <w:r>
        <w:rPr>
          <w:rFonts w:ascii="Consolas" w:cs="Consolas" w:eastAsia="Consolas" w:hAnsi="Consolas"/>
          <w:b/>
          <w:bCs/>
          <w:color w:val="1F4E79"/>
        </w:rPr>
        <w:t xml:space="preserve">11001020</w:t>
      </w:r>
      <w:r>
        <w:t xml:space="preserve"> → </w:t>
      </w:r>
      <w:r>
        <w:rPr>
          <w:b/>
          <w:bCs/>
        </w:rPr>
        <w:t xml:space="preserve">Save</w:t>
      </w:r>
      <w:r>
        <w:t xml:space="preserve"> (Schulung f)–i).</w:t>
      </w:r>
    </w:p>
    <w:p>
      <w:pPr>
        <w:pStyle w:val="ListParagraph"/>
        <w:numPr>
          <w:ilvl w:val="0"/>
          <w:numId w:val="26"/>
        </w:numPr>
        <w:spacing w:after="60"/>
      </w:pPr>
      <w:r>
        <w:t xml:space="preserve">Ordner </w:t>
      </w:r>
      <w:r>
        <w:rPr>
          <w:b/>
          <w:bCs/>
        </w:rPr>
        <w:t xml:space="preserve">Available Amounts</w:t>
      </w:r>
      <w:r>
        <w:t xml:space="preserve"> (Disponierte Beträge) → </w:t>
      </w:r>
      <w:r>
        <w:rPr>
          <w:b/>
          <w:bCs/>
        </w:rPr>
        <w:t xml:space="preserve">New Entries</w:t>
      </w:r>
      <w:r>
        <w:t xml:space="preserve">: House Bank </w:t>
      </w:r>
      <w:r>
        <w:rPr>
          <w:rFonts w:ascii="Consolas" w:cs="Consolas" w:eastAsia="Consolas" w:hAnsi="Consolas"/>
          <w:b/>
          <w:bCs/>
          <w:color w:val="1F4E79"/>
        </w:rPr>
        <w:t xml:space="preserve">D-B##</w:t>
      </w:r>
      <w:r>
        <w:t xml:space="preserve">, Account ID </w:t>
      </w:r>
      <w:r>
        <w:rPr>
          <w:rFonts w:ascii="Consolas" w:cs="Consolas" w:eastAsia="Consolas" w:hAnsi="Consolas"/>
          <w:b/>
          <w:bCs/>
          <w:color w:val="1F4E79"/>
        </w:rPr>
        <w:t xml:space="preserve">GIRO</w:t>
      </w:r>
      <w:r>
        <w:t xml:space="preserve">, Days </w:t>
      </w:r>
      <w:r>
        <w:rPr>
          <w:rFonts w:ascii="Consolas" w:cs="Consolas" w:eastAsia="Consolas" w:hAnsi="Consolas"/>
          <w:b/>
          <w:bCs/>
          <w:color w:val="1F4E79"/>
        </w:rPr>
        <w:t xml:space="preserve">999</w:t>
      </w:r>
      <w:r>
        <w:t xml:space="preserve">, Currency </w:t>
      </w:r>
      <w:r>
        <w:rPr>
          <w:rFonts w:ascii="Consolas" w:cs="Consolas" w:eastAsia="Consolas" w:hAnsi="Consolas"/>
          <w:b/>
          <w:bCs/>
          <w:color w:val="1F4E79"/>
        </w:rPr>
        <w:t xml:space="preserve">EUR</w:t>
      </w:r>
      <w:r>
        <w:t xml:space="preserve">, Available for Outgoing Payment </w:t>
      </w:r>
      <w:r>
        <w:rPr>
          <w:rFonts w:ascii="Consolas" w:cs="Consolas" w:eastAsia="Consolas" w:hAnsi="Consolas"/>
          <w:b/>
          <w:bCs/>
          <w:color w:val="1F4E79"/>
        </w:rPr>
        <w:t xml:space="preserve">2.000.000</w:t>
      </w:r>
      <w:r>
        <w:t xml:space="preserve">, Scheduled Incoming Payments </w:t>
      </w:r>
      <w:r>
        <w:rPr>
          <w:rFonts w:ascii="Consolas" w:cs="Consolas" w:eastAsia="Consolas" w:hAnsi="Consolas"/>
          <w:b/>
          <w:bCs/>
          <w:color w:val="1F4E79"/>
        </w:rPr>
        <w:t xml:space="preserve">2.000.000</w:t>
      </w:r>
      <w:r>
        <w:t xml:space="preserve"> → </w:t>
      </w:r>
      <w:r>
        <w:rPr>
          <w:b/>
          <w:bCs/>
        </w:rPr>
        <w:t xml:space="preserve">Save</w:t>
      </w:r>
      <w:r>
        <w:t xml:space="preserve"> (Schulung 2 a)–d), dort 5.000.000).</w:t>
      </w:r>
    </w:p>
    <w:p>
      <w:pPr>
        <w:pStyle w:val="ListParagraph"/>
        <w:numPr>
          <w:ilvl w:val="0"/>
          <w:numId w:val="26"/>
        </w:numPr>
        <w:spacing w:after="60"/>
      </w:pPr>
      <w:r>
        <w:t xml:space="preserve">Ordner </w:t>
      </w:r>
      <w:r>
        <w:rPr>
          <w:b/>
          <w:bCs/>
        </w:rPr>
        <w:t xml:space="preserve">Value Date</w:t>
      </w:r>
      <w:r>
        <w:t xml:space="preserve"> (Wertstellung) → </w:t>
      </w:r>
      <w:r>
        <w:rPr>
          <w:b/>
          <w:bCs/>
        </w:rPr>
        <w:t xml:space="preserve">New Entries</w:t>
      </w:r>
      <w:r>
        <w:t xml:space="preserve">: Payment Method </w:t>
      </w:r>
      <w:r>
        <w:rPr>
          <w:rFonts w:ascii="Consolas" w:cs="Consolas" w:eastAsia="Consolas" w:hAnsi="Consolas"/>
          <w:b/>
          <w:bCs/>
          <w:color w:val="1F4E79"/>
        </w:rPr>
        <w:t xml:space="preserve">T</w:t>
      </w:r>
      <w:r>
        <w:t xml:space="preserve">, House Bank </w:t>
      </w:r>
      <w:r>
        <w:rPr>
          <w:rFonts w:ascii="Consolas" w:cs="Consolas" w:eastAsia="Consolas" w:hAnsi="Consolas"/>
          <w:b/>
          <w:bCs/>
          <w:color w:val="1F4E79"/>
        </w:rPr>
        <w:t xml:space="preserve">D-B##</w:t>
      </w:r>
      <w:r>
        <w:t xml:space="preserve">, Account ID </w:t>
      </w:r>
      <w:r>
        <w:rPr>
          <w:rFonts w:ascii="Consolas" w:cs="Consolas" w:eastAsia="Consolas" w:hAnsi="Consolas"/>
          <w:b/>
          <w:bCs/>
          <w:color w:val="1F4E79"/>
        </w:rPr>
        <w:t xml:space="preserve">GIRO</w:t>
      </w:r>
      <w:r>
        <w:t xml:space="preserve">, Amount Limit </w:t>
      </w:r>
      <w:r>
        <w:rPr>
          <w:rFonts w:ascii="Consolas" w:cs="Consolas" w:eastAsia="Consolas" w:hAnsi="Consolas"/>
          <w:b/>
          <w:bCs/>
          <w:color w:val="1F4E79"/>
        </w:rPr>
        <w:t xml:space="preserve">1.000.000</w:t>
      </w:r>
      <w:r>
        <w:t xml:space="preserve">, Currency </w:t>
      </w:r>
      <w:r>
        <w:rPr>
          <w:rFonts w:ascii="Consolas" w:cs="Consolas" w:eastAsia="Consolas" w:hAnsi="Consolas"/>
          <w:b/>
          <w:bCs/>
          <w:color w:val="1F4E79"/>
        </w:rPr>
        <w:t xml:space="preserve">EUR</w:t>
      </w:r>
      <w:r>
        <w:t xml:space="preserve">, Days to Value Date </w:t>
      </w:r>
      <w:r>
        <w:rPr>
          <w:rFonts w:ascii="Consolas" w:cs="Consolas" w:eastAsia="Consolas" w:hAnsi="Consolas"/>
          <w:b/>
          <w:bCs/>
          <w:color w:val="1F4E79"/>
        </w:rPr>
        <w:t xml:space="preserve">2</w:t>
      </w:r>
      <w:r>
        <w:t xml:space="preserve"> → </w:t>
      </w:r>
      <w:r>
        <w:rPr>
          <w:b/>
          <w:bCs/>
        </w:rPr>
        <w:t xml:space="preserve">Save</w:t>
      </w:r>
      <w:r>
        <w:t xml:space="preserve"> (Schulung 3 a)–d), dort 3.000.000).</w:t>
      </w:r>
    </w:p>
    <w:p>
      <w:pPr>
        <w:pStyle w:val="Heading2"/>
      </w:pPr>
      <w:r>
        <w:t xml:space="preserve">Schritt 5.4 – Zahllauf mit Entsperrung nur im Vorschlag</w:t>
      </w:r>
    </w:p>
    <w:p>
      <w:pPr>
        <w:pBdr>
          <w:left w:val="single" w:color="7F7F7F" w:sz="24" w:space="6"/>
        </w:pBdr>
        <w:shd w:fill="EDEDED" w:color="auto" w:val="clear"/>
        <w:spacing w:after="120" w:before="120"/>
        <w:ind w:left="120" w:right="120"/>
      </w:pPr>
      <w:r>
        <w:rPr>
          <w:b/>
          <w:bCs/>
          <w:color w:val="7F7F7F"/>
        </w:rPr>
        <w:t xml:space="preserve">Aufgabe (Original): </w:t>
      </w:r>
      <w:r>
        <w:t xml:space="preserve">Manage Automatic Payments: Run Date heute, ID TA##, Posting Date/Docs Entered Up To heute, TA##, Next Payment Date heute+7, Zahlweg T, Lieferant T-AV##, Additional Log = Yes. Gesperrte Rechnung nur für diesen Lauf freigeben (nicht im Stamm).</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S4F13</w:t>
      </w:r>
      <w:r>
        <w:t xml:space="preserve">, Übung 8 „Zahlungsvorschlag ausführen", S. 93–98 (PDF 101–106) – Parameter anlegen (gleiche Felder, ID TA##, Zusätzliches Protokoll Ja, Zahlweg T, Lieferant T-AV##), Vorschlag einplanen, „Zahlungsvorschläge überarbeiten", Registerkarte AUSNAHMEN; </w:t>
      </w:r>
      <w:r>
        <w:rPr>
          <w:b/>
          <w:bCs/>
        </w:rPr>
        <w:t xml:space="preserve">S4F13</w:t>
      </w:r>
      <w:r>
        <w:t xml:space="preserve">, Lektion „Das Zahlungsprogramm ausführen", Abschnitte „Zahlungssperren" und „Zahlungsvorschlagsbearbeitung", S. 88–90 (PDF 96–98) („Ändern Sie die Zahlungssperre … für jeden Einzelposten"); </w:t>
      </w:r>
      <w:r>
        <w:rPr>
          <w:b/>
          <w:bCs/>
        </w:rPr>
        <w:t xml:space="preserve">S4F13</w:t>
      </w:r>
      <w:r>
        <w:t xml:space="preserve">, Übung 9 „Zahllauf ausführen", S. 112–113 (PDF 120–121) – Zahlung einplanen, Belege/Protokoll prüfen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Automatic Payments</w:t>
      </w:r>
      <w:r>
        <w:t xml:space="preserve"> (Automatische Zahlungen verwalten), Kachelgruppe Kreditoren – entspricht </w:t>
      </w:r>
      <w:r>
        <w:rPr>
          <w:rFonts w:ascii="Consolas" w:cs="Consolas" w:eastAsia="Consolas" w:hAnsi="Consolas"/>
          <w:b/>
          <w:bCs/>
          <w:color w:val="1F4E79"/>
        </w:rPr>
        <w:t xml:space="preserve">F110</w:t>
      </w:r>
      <w:r>
        <w:t xml:space="preserve">.</w:t>
      </w:r>
    </w:p>
    <w:p>
      <w:pPr>
        <w:pStyle w:val="ListParagraph"/>
        <w:numPr>
          <w:ilvl w:val="0"/>
          <w:numId w:val="27"/>
        </w:numPr>
        <w:spacing w:after="60"/>
      </w:pPr>
      <w:r>
        <w:t xml:space="preserve">App öffnen → </w:t>
      </w:r>
      <w:r>
        <w:rPr>
          <w:b/>
          <w:bCs/>
        </w:rPr>
        <w:t xml:space="preserve">Create Parameters</w:t>
      </w:r>
      <w:r>
        <w:t xml:space="preserve"> (Parameter anlegen) → </w:t>
      </w:r>
      <w:r>
        <w:rPr>
          <w:b/>
          <w:bCs/>
        </w:rPr>
        <w:t xml:space="preserve">Run Date</w:t>
      </w:r>
      <w:r>
        <w:t xml:space="preserve"> heute, </w:t>
      </w:r>
      <w:r>
        <w:rPr>
          <w:b/>
          <w:bCs/>
        </w:rPr>
        <w:t xml:space="preserve">Identification</w:t>
      </w:r>
      <w:r>
        <w:t xml:space="preserve"> </w:t>
      </w:r>
      <w:r>
        <w:rPr>
          <w:rFonts w:ascii="Consolas" w:cs="Consolas" w:eastAsia="Consolas" w:hAnsi="Consolas"/>
          <w:b/>
          <w:bCs/>
          <w:color w:val="1F4E79"/>
        </w:rPr>
        <w:t xml:space="preserve">TA##</w:t>
      </w:r>
      <w:r>
        <w:t xml:space="preserve"> → </w:t>
      </w:r>
      <w:r>
        <w:rPr>
          <w:b/>
          <w:bCs/>
        </w:rPr>
        <w:t xml:space="preserve">Create</w:t>
      </w:r>
      <w:r>
        <w:t xml:space="preserve"> (Schulung S. 94 b)–d).</w:t>
      </w:r>
    </w:p>
    <w:p>
      <w:pPr>
        <w:pStyle w:val="ListParagraph"/>
        <w:numPr>
          <w:ilvl w:val="0"/>
          <w:numId w:val="27"/>
        </w:numPr>
        <w:spacing w:after="60"/>
      </w:pPr>
      <w:r>
        <w:t xml:space="preserve">Parameter erfassen (Schulung S. 95 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Posting Date (Buchungsdatum)</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Datum</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Docs Entered Up To (Erfasste Belege bis)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Datum</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Additional Log (Zusätzliches Protokoll)</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Yes</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Company Code (Buchungskreis)</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TA##</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Next Payment Date (Nächster Zahltag)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heute + 7 Tage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Aktuelles Datum + ein Monat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Payment Methods (Zahlwege)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Supplier (Lieferant)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T-AV##</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T-AV##</w:t>
            </w:r>
          </w:p>
        </w:tc>
      </w:tr>
    </w:tbl>
    <w:p>
      <w:pPr>
        <w:spacing w:after="60"/>
      </w:pPr>
    </w:p>
    <w:p>
      <w:pPr>
        <w:pStyle w:val="ListParagraph"/>
        <w:numPr>
          <w:ilvl w:val="0"/>
          <w:numId w:val="28"/>
        </w:numPr>
        <w:spacing w:after="60"/>
      </w:pPr>
      <w:r>
        <w:rPr>
          <w:b/>
          <w:bCs/>
        </w:rPr>
        <w:t xml:space="preserve">Save</w:t>
      </w:r>
      <w:r>
        <w:t xml:space="preserve"> und Parameter kontrollieren (Schulung f–g).</w:t>
      </w:r>
    </w:p>
    <w:p>
      <w:pPr>
        <w:pStyle w:val="ListParagraph"/>
        <w:numPr>
          <w:ilvl w:val="0"/>
          <w:numId w:val="28"/>
        </w:numPr>
        <w:spacing w:after="60"/>
      </w:pPr>
      <w:r>
        <w:rPr>
          <w:b/>
          <w:bCs/>
        </w:rPr>
        <w:t xml:space="preserve">Schedule → Proposal</w:t>
      </w:r>
      <w:r>
        <w:t xml:space="preserve"> (Einplanen → Vorschlag) → </w:t>
      </w:r>
      <w:r>
        <w:rPr>
          <w:b/>
          <w:bCs/>
        </w:rPr>
        <w:t xml:space="preserve">Start Immediately</w:t>
      </w:r>
      <w:r>
        <w:t xml:space="preserve"> → </w:t>
      </w:r>
      <w:r>
        <w:rPr>
          <w:b/>
          <w:bCs/>
        </w:rPr>
        <w:t xml:space="preserve">Schedule</w:t>
      </w:r>
      <w:r>
        <w:t xml:space="preserve"> (Schulung 4 a)–b).</w:t>
      </w:r>
    </w:p>
    <w:p>
      <w:pPr>
        <w:pStyle w:val="ListParagraph"/>
        <w:numPr>
          <w:ilvl w:val="0"/>
          <w:numId w:val="28"/>
        </w:numPr>
        <w:spacing w:after="60"/>
      </w:pPr>
      <w:r>
        <w:t xml:space="preserve">Filter </w:t>
      </w:r>
      <w:r>
        <w:rPr>
          <w:b/>
          <w:bCs/>
        </w:rPr>
        <w:t xml:space="preserve">Created By</w:t>
      </w:r>
      <w:r>
        <w:t xml:space="preserve"> = eigener Benutzer → </w:t>
      </w:r>
      <w:r>
        <w:rPr>
          <w:b/>
          <w:bCs/>
        </w:rPr>
        <w:t xml:space="preserve">Go</w:t>
      </w:r>
      <w:r>
        <w:t xml:space="preserve"> → Registerkarte </w:t>
      </w:r>
      <w:r>
        <w:rPr>
          <w:b/>
          <w:bCs/>
        </w:rPr>
        <w:t xml:space="preserve">Processed Proposals</w:t>
      </w:r>
      <w:r>
        <w:t xml:space="preserve"> (Verarbeitete Vorschläge) → Pfeil (&gt;) am Vorschlag (Schulung c)–e).</w:t>
      </w:r>
    </w:p>
    <w:p>
      <w:pPr>
        <w:pStyle w:val="ListParagraph"/>
        <w:numPr>
          <w:ilvl w:val="0"/>
          <w:numId w:val="28"/>
        </w:numPr>
        <w:spacing w:after="60"/>
      </w:pPr>
      <w:r>
        <w:t xml:space="preserve">Im Bild </w:t>
      </w:r>
      <w:r>
        <w:rPr>
          <w:b/>
          <w:bCs/>
        </w:rPr>
        <w:t xml:space="preserve">Revise Payment Proposals</w:t>
      </w:r>
      <w:r>
        <w:t xml:space="preserve"> (Zahlungsvorschläge überarbeiten) Registerkarte </w:t>
      </w:r>
      <w:r>
        <w:rPr>
          <w:b/>
          <w:bCs/>
        </w:rPr>
        <w:t xml:space="preserve">Exceptions</w:t>
      </w:r>
      <w:r>
        <w:t xml:space="preserve"> (AUSNAHMEN): Die Rechnung über 3.300 EUR ist wegen Zahlsperre A als Ausnahme gelistet (Schulung f–g).</w:t>
      </w:r>
    </w:p>
    <w:p>
      <w:pPr>
        <w:pStyle w:val="ListParagraph"/>
        <w:numPr>
          <w:ilvl w:val="0"/>
          <w:numId w:val="28"/>
        </w:numPr>
        <w:spacing w:after="60"/>
      </w:pPr>
      <w:r>
        <w:t xml:space="preserve">Den Posten auswählen und die </w:t>
      </w:r>
      <w:r>
        <w:rPr>
          <w:b/>
          <w:bCs/>
        </w:rPr>
        <w:t xml:space="preserve">Payment Block</w:t>
      </w:r>
      <w:r>
        <w:t xml:space="preserve"> (Zahlsperre) des Einzelpostens </w:t>
      </w:r>
      <w:r>
        <w:rPr>
          <w:b/>
          <w:bCs/>
        </w:rPr>
        <w:t xml:space="preserve">entfernen</w:t>
      </w:r>
      <w:r>
        <w:t xml:space="preserve"> (Feld leeren) – bei Bedarf Zahlweg </w:t>
      </w:r>
      <w:r>
        <w:rPr>
          <w:rFonts w:ascii="Consolas" w:cs="Consolas" w:eastAsia="Consolas" w:hAnsi="Consolas"/>
          <w:b/>
          <w:bCs/>
          <w:color w:val="1F4E79"/>
        </w:rPr>
        <w:t xml:space="preserve">T</w:t>
      </w:r>
      <w:r>
        <w:t xml:space="preserve"> und Hausbank </w:t>
      </w:r>
      <w:r>
        <w:rPr>
          <w:rFonts w:ascii="Consolas" w:cs="Consolas" w:eastAsia="Consolas" w:hAnsi="Consolas"/>
          <w:b/>
          <w:bCs/>
          <w:color w:val="1F4E79"/>
        </w:rPr>
        <w:t xml:space="preserve">D-B##</w:t>
      </w:r>
      <w:r>
        <w:t xml:space="preserve">/</w:t>
      </w:r>
      <w:r>
        <w:rPr>
          <w:rFonts w:ascii="Consolas" w:cs="Consolas" w:eastAsia="Consolas" w:hAnsi="Consolas"/>
          <w:b/>
          <w:bCs/>
          <w:color w:val="1F4E79"/>
        </w:rPr>
        <w:t xml:space="preserve">GIRO</w:t>
      </w:r>
      <w:r>
        <w:t xml:space="preserve"> zuordnen – und übernehmen/sichern. Diese Änderung wirkt nur im Vorschlag, nicht im Beleg oder Stammsatz (S4F13 S. 88–90).</w:t>
      </w:r>
    </w:p>
    <w:p>
      <w:pPr>
        <w:pStyle w:val="ListParagraph"/>
        <w:numPr>
          <w:ilvl w:val="0"/>
          <w:numId w:val="28"/>
        </w:numPr>
        <w:spacing w:after="60"/>
      </w:pPr>
      <w:r>
        <w:t xml:space="preserve">Kontrolle: Posten erscheint auf der Registerkarte </w:t>
      </w:r>
      <w:r>
        <w:rPr>
          <w:b/>
          <w:bCs/>
        </w:rPr>
        <w:t xml:space="preserve">Payments</w:t>
      </w:r>
      <w:r>
        <w:t xml:space="preserve"> (Zahlungen) (Schulung S. 98 h).</w:t>
      </w:r>
    </w:p>
    <w:p>
      <w:pPr>
        <w:pStyle w:val="ListParagraph"/>
        <w:numPr>
          <w:ilvl w:val="0"/>
          <w:numId w:val="28"/>
        </w:numPr>
        <w:spacing w:after="60"/>
      </w:pPr>
      <w:r>
        <w:t xml:space="preserve">Zurück → Registerkarte </w:t>
      </w:r>
      <w:r>
        <w:rPr>
          <w:b/>
          <w:bCs/>
        </w:rPr>
        <w:t xml:space="preserve">Processed Proposals</w:t>
      </w:r>
      <w:r>
        <w:t xml:space="preserve"> → Vorschlag markieren → </w:t>
      </w:r>
      <w:r>
        <w:rPr>
          <w:b/>
          <w:bCs/>
        </w:rPr>
        <w:t xml:space="preserve">Schedule Payment</w:t>
      </w:r>
      <w:r>
        <w:t xml:space="preserve"> (Zahlung einplanen) → </w:t>
      </w:r>
      <w:r>
        <w:rPr>
          <w:b/>
          <w:bCs/>
        </w:rPr>
        <w:t xml:space="preserve">Start Immediately</w:t>
      </w:r>
      <w:r>
        <w:t xml:space="preserve"> → </w:t>
      </w:r>
      <w:r>
        <w:rPr>
          <w:b/>
          <w:bCs/>
        </w:rPr>
        <w:t xml:space="preserve">Schedule</w:t>
      </w:r>
      <w:r>
        <w:t xml:space="preserve"> (S4F13 Ü9 S. 112 d)–e).</w:t>
      </w:r>
    </w:p>
    <w:p>
      <w:pPr>
        <w:pStyle w:val="ListParagraph"/>
        <w:numPr>
          <w:ilvl w:val="0"/>
          <w:numId w:val="28"/>
        </w:numPr>
        <w:spacing w:after="60"/>
      </w:pPr>
      <w:r>
        <w:t xml:space="preserve">Registerkarte </w:t>
      </w:r>
      <w:r>
        <w:rPr>
          <w:b/>
          <w:bCs/>
        </w:rPr>
        <w:t xml:space="preserve">Processed Payments</w:t>
      </w:r>
      <w:r>
        <w:t xml:space="preserve"> → Details (&gt;) → Registerkarte </w:t>
      </w:r>
      <w:r>
        <w:rPr>
          <w:b/>
          <w:bCs/>
        </w:rPr>
        <w:t xml:space="preserve">Payments</w:t>
      </w:r>
      <w:r>
        <w:t xml:space="preserve">: Zahlungsbeleg prüfen; </w:t>
      </w:r>
      <w:r>
        <w:rPr>
          <w:b/>
          <w:bCs/>
        </w:rPr>
        <w:t xml:space="preserve">View Log</w:t>
      </w:r>
      <w:r>
        <w:t xml:space="preserve"> (Protokoll ansehen) (Ü9 S. 112–113).</w:t>
      </w:r>
    </w:p>
    <w:p>
      <w:pPr>
        <w:pBdr>
          <w:left w:val="single" w:color="C00000" w:sz="24" w:space="6"/>
        </w:pBdr>
        <w:shd w:fill="FDECEA" w:color="auto" w:val="clear"/>
        <w:spacing w:after="120" w:before="120"/>
        <w:ind w:left="120" w:right="120"/>
      </w:pPr>
      <w:r>
        <w:rPr>
          <w:b/>
          <w:bCs/>
          <w:color w:val="C00000"/>
        </w:rPr>
        <w:t xml:space="preserve">Achtung: </w:t>
      </w:r>
      <w:r>
        <w:t xml:space="preserve">Laut S4F13 S. 88 hängt es von der Art der Zahlungssperre ab, ob sie im Zahlungsvorschlag aufgehoben werden darf (Sperre A ist im Standard änderbar). Nach dem Zahllauf ist die Rechnung nicht mehr änderbar.</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Die konkreten Klicks zum Entfernen einer Zahlsperre im Fiori-Vorschlag sind in den Unterlagen nicht als Übung enthalten (nur als Funktion beschrieben, S. 89–90). Das Vorgehen entspricht analog der Bearbeitung des Mahnvorschlags, in dem Sperren auf Posten-Ebene gelöscht werden: </w:t>
      </w:r>
      <w:r>
        <w:rPr>
          <w:b/>
          <w:bCs/>
        </w:rPr>
        <w:t xml:space="preserve">S4F13</w:t>
      </w:r>
      <w:r>
        <w:t xml:space="preserve">, Übung 15 „Mahnvorschlagsliste bearbeiten", S. 196–197 (PDF 204–205).</w:t>
      </w:r>
    </w:p>
    <w:p>
      <w:r>
        <w:br w:type="page"/>
      </w:r>
    </w:p>
    <w:p>
      <w:pPr>
        <w:pStyle w:val="Heading1"/>
      </w:pPr>
      <w:r>
        <w:t xml:space="preserve">Task 6: Asset Accounting – Perform Customizing, Acquisition, and Depreciation Postings</w:t>
      </w:r>
    </w:p>
    <w:p>
      <w:pPr>
        <w:pStyle w:val="Heading2"/>
      </w:pPr>
      <w:r>
        <w:t xml:space="preserve">Schritt 6.1 – Buchungskreis TA## für FI-AA konfigurieren</w:t>
      </w:r>
    </w:p>
    <w:p>
      <w:pPr>
        <w:pBdr>
          <w:left w:val="single" w:color="7F7F7F" w:sz="24" w:space="6"/>
        </w:pBdr>
        <w:shd w:fill="EDEDED" w:color="auto" w:val="clear"/>
        <w:spacing w:after="120" w:before="120"/>
        <w:ind w:left="120" w:right="120"/>
      </w:pPr>
      <w:r>
        <w:rPr>
          <w:b/>
          <w:bCs/>
          <w:color w:val="7F7F7F"/>
        </w:rPr>
        <w:t xml:space="preserve">Aufgabe (Original): </w:t>
      </w:r>
      <w:r>
        <w:t xml:space="preserve">Z000 als Quelle für den Bewertungsplan von TA##; alle übrigen Einstellungen wie 1010; allgemeine Buchungskreiseinstellungen mit höchstem Geschäftsjahr = aktuelles Jahr; Kontierungsobjekte für die CO-Integration.</w:t>
      </w:r>
    </w:p>
    <w:p>
      <w:pPr>
        <w:pStyle w:val="Heading3"/>
      </w:pPr>
      <w:r>
        <w:t xml:space="preserve">a) Bewertungsplan aus Z000 und Zuordnung</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1 „Zuordnen eines Bewertungsplans zu einem Buchungskreis", S. 13–15 (PDF 23–25) – Aufgabe 1: Bewertungsplan TA## durch Kopieren von Z000 anlegen; Aufgabe 2: Zuordnung zum Buchungskreis TA## und „höchstes GJahr" = laufendes Jahr</w:t>
      </w:r>
    </w:p>
    <w:p>
      <w:pPr>
        <w:pBdr>
          <w:left w:val="single" w:color="F0AB00" w:sz="24" w:space="6"/>
        </w:pBdr>
        <w:shd w:fill="FFF4D6" w:color="auto" w:val="clear"/>
        <w:spacing w:after="120" w:before="120"/>
        <w:ind w:left="120" w:right="120"/>
      </w:pPr>
      <w:r>
        <w:rPr>
          <w:b/>
          <w:bCs/>
          <w:color w:val="F0AB00"/>
        </w:rPr>
        <w:t xml:space="preserve">Transaktion / App: </w:t>
      </w:r>
      <w:r>
        <w:t xml:space="preserve">IMG: Asset Accounting → Organizational Structures → Copy Reference Chart of Depreciation/Depreciation Areas (Referenzbewertungsplan/Bewertungsbereiche kopieren; Transaktion </w:t>
      </w:r>
      <w:r>
        <w:rPr>
          <w:rFonts w:ascii="Consolas" w:cs="Consolas" w:eastAsia="Consolas" w:hAnsi="Consolas"/>
          <w:b/>
          <w:bCs/>
          <w:color w:val="1F4E79"/>
        </w:rPr>
        <w:t xml:space="preserve">EC08</w:t>
      </w:r>
      <w:r>
        <w:t xml:space="preserve">) und → Assign Chart of Depreciation to Company Code (Zuordnung Buchungskreis/Bewertungsplan festlegen; Transaktion </w:t>
      </w:r>
      <w:r>
        <w:rPr>
          <w:rFonts w:ascii="Consolas" w:cs="Consolas" w:eastAsia="Consolas" w:hAnsi="Consolas"/>
          <w:b/>
          <w:bCs/>
          <w:color w:val="1F4E79"/>
        </w:rPr>
        <w:t xml:space="preserve">OAOB</w:t>
      </w:r>
      <w:r>
        <w:t xml:space="preserve">).</w:t>
      </w:r>
    </w:p>
    <w:p>
      <w:pPr>
        <w:pStyle w:val="ListParagraph"/>
        <w:numPr>
          <w:ilvl w:val="0"/>
          <w:numId w:val="29"/>
        </w:numPr>
        <w:spacing w:after="60"/>
      </w:pPr>
      <w:r>
        <w:t xml:space="preserve">IMG </w:t>
      </w:r>
      <w:r>
        <w:rPr>
          <w:b/>
          <w:bCs/>
        </w:rPr>
        <w:t xml:space="preserve">Copy Reference Chart of Depreciation/Depreciation Areas</w:t>
      </w:r>
      <w:r>
        <w:t xml:space="preserve"> → Aktivität </w:t>
      </w:r>
      <w:r>
        <w:rPr>
          <w:b/>
          <w:bCs/>
        </w:rPr>
        <w:t xml:space="preserve">Copy Reference Chart of Depreciation</w:t>
      </w:r>
      <w:r>
        <w:t xml:space="preserve"> doppelklicken → </w:t>
      </w:r>
      <w:r>
        <w:rPr>
          <w:b/>
          <w:bCs/>
        </w:rPr>
        <w:t xml:space="preserve">Organizational Object → Copy Org. Object</w:t>
      </w:r>
      <w:r>
        <w:t xml:space="preserve"> (Schulung 1 a)–c).</w:t>
      </w:r>
    </w:p>
    <w:p>
      <w:pPr>
        <w:pStyle w:val="ListParagraph"/>
        <w:numPr>
          <w:ilvl w:val="0"/>
          <w:numId w:val="29"/>
        </w:numPr>
        <w:spacing w:after="60"/>
      </w:pPr>
      <w:r>
        <w:t xml:space="preserve">Dialog: </w:t>
      </w:r>
      <w:r>
        <w:rPr>
          <w:b/>
          <w:bCs/>
        </w:rPr>
        <w:t xml:space="preserve">From Chart of Dep.</w:t>
      </w:r>
      <w:r>
        <w:t xml:space="preserve"> </w:t>
      </w:r>
      <w:r>
        <w:rPr>
          <w:rFonts w:ascii="Consolas" w:cs="Consolas" w:eastAsia="Consolas" w:hAnsi="Consolas"/>
          <w:b/>
          <w:bCs/>
          <w:color w:val="1F4E79"/>
        </w:rPr>
        <w:t xml:space="preserve">Z000</w:t>
      </w:r>
      <w:r>
        <w:t xml:space="preserve">, </w:t>
      </w:r>
      <w:r>
        <w:rPr>
          <w:b/>
          <w:bCs/>
        </w:rPr>
        <w:t xml:space="preserve">To Chart of Dep.</w:t>
      </w:r>
      <w:r>
        <w:t xml:space="preserve"> </w:t>
      </w:r>
      <w:r>
        <w:rPr>
          <w:rFonts w:ascii="Consolas" w:cs="Consolas" w:eastAsia="Consolas" w:hAnsi="Consolas"/>
          <w:b/>
          <w:bCs/>
          <w:color w:val="1F4E79"/>
        </w:rPr>
        <w:t xml:space="preserve">TA##</w:t>
      </w:r>
      <w:r>
        <w:t xml:space="preserve"> → </w:t>
      </w:r>
      <w:r>
        <w:rPr>
          <w:b/>
          <w:bCs/>
        </w:rPr>
        <w:t xml:space="preserve">Continue</w:t>
      </w:r>
      <w:r>
        <w:t xml:space="preserve"> → Erfolgsmeldung bestätigen (Schulung d)–f).</w:t>
      </w:r>
    </w:p>
    <w:p>
      <w:pPr>
        <w:pStyle w:val="ListParagraph"/>
        <w:numPr>
          <w:ilvl w:val="0"/>
          <w:numId w:val="29"/>
        </w:numPr>
        <w:spacing w:after="60"/>
      </w:pPr>
      <w:r>
        <w:t xml:space="preserve">Aktivität </w:t>
      </w:r>
      <w:r>
        <w:rPr>
          <w:b/>
          <w:bCs/>
        </w:rPr>
        <w:t xml:space="preserve">Specify Description of Chart of Depreciation</w:t>
      </w:r>
      <w:r>
        <w:t xml:space="preserve"> → Zeile TA## → Bezeichnung z. B. „Bewertungsplan Gruppe ##" → </w:t>
      </w:r>
      <w:r>
        <w:rPr>
          <w:b/>
          <w:bCs/>
        </w:rPr>
        <w:t xml:space="preserve">Save</w:t>
      </w:r>
      <w:r>
        <w:t xml:space="preserve"> (Schulung 2 a)–d).</w:t>
      </w:r>
    </w:p>
    <w:p>
      <w:pPr>
        <w:pStyle w:val="ListParagraph"/>
        <w:numPr>
          <w:ilvl w:val="0"/>
          <w:numId w:val="29"/>
        </w:numPr>
        <w:spacing w:after="60"/>
      </w:pPr>
      <w:r>
        <w:t xml:space="preserve">IMG </w:t>
      </w:r>
      <w:r>
        <w:rPr>
          <w:b/>
          <w:bCs/>
        </w:rPr>
        <w:t xml:space="preserve">Assign Chart of Depreciation to Company Code</w:t>
      </w:r>
      <w:r>
        <w:t xml:space="preserve"> → Buchungskreis </w:t>
      </w:r>
      <w:r>
        <w:rPr>
          <w:b/>
          <w:bCs/>
        </w:rPr>
        <w:t xml:space="preserve">TA##</w:t>
      </w:r>
      <w:r>
        <w:t xml:space="preserve"> → Spalte </w:t>
      </w:r>
      <w:r>
        <w:rPr>
          <w:b/>
          <w:bCs/>
        </w:rPr>
        <w:t xml:space="preserve">Chart of Dep.</w:t>
      </w:r>
      <w:r>
        <w:t xml:space="preserve"> = </w:t>
      </w:r>
      <w:r>
        <w:rPr>
          <w:rFonts w:ascii="Consolas" w:cs="Consolas" w:eastAsia="Consolas" w:hAnsi="Consolas"/>
          <w:b/>
          <w:bCs/>
          <w:color w:val="1F4E79"/>
        </w:rPr>
        <w:t xml:space="preserve">TA##</w:t>
      </w:r>
      <w:r>
        <w:t xml:space="preserve"> → </w:t>
      </w:r>
      <w:r>
        <w:rPr>
          <w:b/>
          <w:bCs/>
        </w:rPr>
        <w:t xml:space="preserve">Save</w:t>
      </w:r>
      <w:r>
        <w:t xml:space="preserve"> (Schulung Aufgabe 2, 1 a)–d).</w:t>
      </w:r>
    </w:p>
    <w:p>
      <w:pPr>
        <w:pBdr>
          <w:left w:val="single" w:color="C00000" w:sz="24" w:space="6"/>
        </w:pBdr>
        <w:shd w:fill="FDECEA" w:color="auto" w:val="clear"/>
        <w:spacing w:after="120" w:before="120"/>
        <w:ind w:left="120" w:right="120"/>
      </w:pPr>
      <w:r>
        <w:rPr>
          <w:b/>
          <w:bCs/>
          <w:color w:val="C00000"/>
        </w:rPr>
        <w:t xml:space="preserve">Achtung: </w:t>
      </w:r>
      <w:r>
        <w:t xml:space="preserve">Auslegung: „using Z000 as the source for the chart of depreciation" entspricht der Schulung (Kopie von Z000 in einen eigenen Plan TA##). Falls die Prüfung den Plan </w:t>
      </w:r>
      <w:r>
        <w:rPr>
          <w:b/>
          <w:bCs/>
        </w:rPr>
        <w:t xml:space="preserve">Z000 direkt</w:t>
      </w:r>
      <w:r>
        <w:t xml:space="preserve"> erwartet, im letzten Schritt stattdessen </w:t>
      </w:r>
      <w:r>
        <w:rPr>
          <w:rFonts w:ascii="Consolas" w:cs="Consolas" w:eastAsia="Consolas" w:hAnsi="Consolas"/>
          <w:b/>
          <w:bCs/>
          <w:color w:val="1F4E79"/>
        </w:rPr>
        <w:t xml:space="preserve">Z000</w:t>
      </w:r>
      <w:r>
        <w:t xml:space="preserve"> zuordnen. Bitte vor Ort anhand der Aufgabenformulierung entscheiden.</w:t>
      </w:r>
    </w:p>
    <w:p>
      <w:pPr>
        <w:pStyle w:val="Heading3"/>
      </w:pPr>
      <w:r>
        <w:t xml:space="preserve">b) Allgemeine Buchungskreiseinstellungen – höchstes Geschäftsjahr</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1 „Zuordnen eines Bewertungsplans zu einem Buchungskreis", S. 14–15 (PDF 24–25) – Aufgabe 2 Schritt 2 a)–g): Ledger 0L → Feld „höchstes GJahr" = laufendes Jahr; Ergebnis „Abgeschlossenes Geschäftsjahr" = Vorjahr; Anzeige über Transaktion </w:t>
      </w:r>
      <w:r>
        <w:rPr>
          <w:rFonts w:ascii="Consolas" w:cs="Consolas" w:eastAsia="Consolas" w:hAnsi="Consolas"/>
          <w:b/>
          <w:bCs/>
          <w:color w:val="1F4E79"/>
        </w:rPr>
        <w:t xml:space="preserve">FAA_CMP</w:t>
      </w:r>
      <w:r>
        <w:t xml:space="preserve">: </w:t>
      </w:r>
      <w:r>
        <w:rPr>
          <w:b/>
          <w:bCs/>
        </w:rPr>
        <w:t xml:space="preserve">S4F17</w:t>
      </w:r>
      <w:r>
        <w:t xml:space="preserve">, Übung 28 „Jahresabschluss in der Anlagenbuchhaltung", S. 314 (PDF 324)</w:t>
      </w:r>
    </w:p>
    <w:p>
      <w:pPr>
        <w:pBdr>
          <w:left w:val="single" w:color="F0AB00" w:sz="24" w:space="6"/>
        </w:pBdr>
        <w:shd w:fill="FFF4D6" w:color="auto" w:val="clear"/>
        <w:spacing w:after="120" w:before="120"/>
        <w:ind w:left="120" w:right="120"/>
      </w:pPr>
      <w:r>
        <w:rPr>
          <w:b/>
          <w:bCs/>
          <w:color w:val="F0AB00"/>
        </w:rPr>
        <w:t xml:space="preserve">Transaktion / App: </w:t>
      </w:r>
      <w:r>
        <w:t xml:space="preserve">IMG: Asset Accounting → Asset Data Transfer → Parameters for Data Transfer → Specify Transfer Date/Additional Parameters (Datenübernahme Anlagen → Parameter für die Übernahme → Übernahmedatum und weitere Parameter festlegen). Anzeige/Pflege der Buchungskreiseinstellungen auch über </w:t>
      </w:r>
      <w:r>
        <w:rPr>
          <w:rFonts w:ascii="Consolas" w:cs="Consolas" w:eastAsia="Consolas" w:hAnsi="Consolas"/>
          <w:b/>
          <w:bCs/>
          <w:color w:val="1F4E79"/>
        </w:rPr>
        <w:t xml:space="preserve">FAA_CMP</w:t>
      </w:r>
      <w:r>
        <w:t xml:space="preserve">.</w:t>
      </w:r>
    </w:p>
    <w:p>
      <w:pPr>
        <w:pStyle w:val="ListParagraph"/>
        <w:numPr>
          <w:ilvl w:val="0"/>
          <w:numId w:val="30"/>
        </w:numPr>
        <w:spacing w:after="60"/>
      </w:pPr>
      <w:r>
        <w:t xml:space="preserve">IMG-Aktivität öffnen → Buchungskreis </w:t>
      </w:r>
      <w:r>
        <w:rPr>
          <w:b/>
          <w:bCs/>
        </w:rPr>
        <w:t xml:space="preserve">TA##</w:t>
      </w:r>
      <w:r>
        <w:t xml:space="preserve"> doppelklicken (Schulung b).</w:t>
      </w:r>
    </w:p>
    <w:p>
      <w:pPr>
        <w:pStyle w:val="ListParagraph"/>
        <w:numPr>
          <w:ilvl w:val="0"/>
          <w:numId w:val="30"/>
        </w:numPr>
        <w:spacing w:after="60"/>
      </w:pPr>
      <w:r>
        <w:t xml:space="preserve">Unter dem Buchungskreis </w:t>
      </w:r>
      <w:r>
        <w:rPr>
          <w:b/>
          <w:bCs/>
        </w:rPr>
        <w:t xml:space="preserve">Ledger 0L</w:t>
      </w:r>
      <w:r>
        <w:t xml:space="preserve"> doppelklicken → </w:t>
      </w:r>
      <w:r>
        <w:rPr>
          <w:b/>
          <w:bCs/>
        </w:rPr>
        <w:t xml:space="preserve">Change/Display</w:t>
      </w:r>
      <w:r>
        <w:t xml:space="preserve"> (Schulung c–d).</w:t>
      </w:r>
    </w:p>
    <w:p>
      <w:pPr>
        <w:pStyle w:val="ListParagraph"/>
        <w:numPr>
          <w:ilvl w:val="0"/>
          <w:numId w:val="30"/>
        </w:numPr>
        <w:spacing w:after="60"/>
      </w:pPr>
      <w:r>
        <w:t xml:space="preserve">Feld </w:t>
      </w:r>
      <w:r>
        <w:rPr>
          <w:b/>
          <w:bCs/>
        </w:rPr>
        <w:t xml:space="preserve">Highest Fiscal Year</w:t>
      </w:r>
      <w:r>
        <w:t xml:space="preserve"> (höchstes GJahr) = </w:t>
      </w:r>
      <w:r>
        <w:rPr>
          <w:b/>
          <w:bCs/>
        </w:rPr>
        <w:t xml:space="preserve">aktuelles Jahr</w:t>
      </w:r>
      <w:r>
        <w:t xml:space="preserve"> → </w:t>
      </w:r>
      <w:r>
        <w:rPr>
          <w:b/>
          <w:bCs/>
        </w:rPr>
        <w:t xml:space="preserve">Save</w:t>
      </w:r>
      <w:r>
        <w:t xml:space="preserve"> → Meldungen mit </w:t>
      </w:r>
      <w:r>
        <w:rPr>
          <w:b/>
          <w:bCs/>
        </w:rPr>
        <w:t xml:space="preserve">Continue</w:t>
      </w:r>
      <w:r>
        <w:t xml:space="preserve"> bestätigen (Schulung e–g).</w:t>
      </w:r>
    </w:p>
    <w:p>
      <w:pPr>
        <w:pStyle w:val="ListParagraph"/>
        <w:numPr>
          <w:ilvl w:val="0"/>
          <w:numId w:val="30"/>
        </w:numPr>
        <w:spacing w:after="60"/>
      </w:pPr>
      <w:r>
        <w:t xml:space="preserve">Ergebnis prüfen: höchstes Geschäftsjahr = aktuelles Jahr, abgeschlossenes Geschäftsjahr = Vorjahr. Falls weitere Ledger (z. B. 2L) vorhanden sind, analog prüfen (Schulung Schritt 3).</w:t>
      </w:r>
    </w:p>
    <w:p>
      <w:pPr>
        <w:pStyle w:val="Heading3"/>
      </w:pPr>
      <w:r>
        <w:t xml:space="preserve">c) Übrige Einstellungen wie Buchungskreis 1010</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3 „Verwenden der Nummernzuordnung für FI-AA", S. 55 (PDF 65) – Nummernkreisintervalle von 1010 nach TA## kopieren („Intervalle → Unterobjekt kopieren"); </w:t>
      </w:r>
      <w:r>
        <w:rPr>
          <w:b/>
          <w:bCs/>
        </w:rPr>
        <w:t xml:space="preserve">S4F17</w:t>
      </w:r>
      <w:r>
        <w:t xml:space="preserve">, Übung 27 „Den Abschreibungslauf durchführen und auswerten", S. 298–300 (PDF 308–310) – Kontierungsobjekte aktivieren, Kontierungsarten, Belegart AF, Periodizität/Buchungsregeln; Übersicht der erforderlichen Einstellungen: </w:t>
      </w:r>
      <w:r>
        <w:rPr>
          <w:b/>
          <w:bCs/>
        </w:rPr>
        <w:t xml:space="preserve">S4F17</w:t>
      </w:r>
      <w:r>
        <w:t xml:space="preserve">, Lektion „Definieren von Bewertungsbereichen …", S. 293 (PDF 303).</w:t>
      </w:r>
    </w:p>
    <w:p>
      <w:pPr>
        <w:pStyle w:val="ListParagraph"/>
        <w:numPr>
          <w:ilvl w:val="0"/>
          <w:numId w:val="31"/>
        </w:numPr>
        <w:spacing w:after="60"/>
      </w:pPr>
      <w:r>
        <w:rPr>
          <w:b/>
          <w:bCs/>
        </w:rPr>
        <w:t xml:space="preserve">Nummernkreise:</w:t>
      </w:r>
      <w:r>
        <w:t xml:space="preserve"> IMG Asset Accounting → Organizational Structures → Asset Classes → </w:t>
      </w:r>
      <w:r>
        <w:rPr>
          <w:b/>
          <w:bCs/>
        </w:rPr>
        <w:t xml:space="preserve">Define Number Range Interval</w:t>
      </w:r>
      <w:r>
        <w:t xml:space="preserve"> (</w:t>
      </w:r>
      <w:r>
        <w:rPr>
          <w:rFonts w:ascii="Consolas" w:cs="Consolas" w:eastAsia="Consolas" w:hAnsi="Consolas"/>
          <w:b/>
          <w:bCs/>
          <w:color w:val="1F4E79"/>
        </w:rPr>
        <w:t xml:space="preserve">AS08</w:t>
      </w:r>
      <w:r>
        <w:t xml:space="preserve">) → Buchungskreis </w:t>
      </w:r>
      <w:r>
        <w:rPr>
          <w:rFonts w:ascii="Consolas" w:cs="Consolas" w:eastAsia="Consolas" w:hAnsi="Consolas"/>
          <w:b/>
          <w:bCs/>
          <w:color w:val="1F4E79"/>
        </w:rPr>
        <w:t xml:space="preserve">1010</w:t>
      </w:r>
      <w:r>
        <w:t xml:space="preserve"> → </w:t>
      </w:r>
      <w:r>
        <w:rPr>
          <w:b/>
          <w:bCs/>
        </w:rPr>
        <w:t xml:space="preserve">Interval → Copy Sub-Object</w:t>
      </w:r>
      <w:r>
        <w:t xml:space="preserve"> (Intervalle → Unterobjekt kopieren) → Von </w:t>
      </w:r>
      <w:r>
        <w:rPr>
          <w:rFonts w:ascii="Consolas" w:cs="Consolas" w:eastAsia="Consolas" w:hAnsi="Consolas"/>
          <w:b/>
          <w:bCs/>
          <w:color w:val="1F4E79"/>
        </w:rPr>
        <w:t xml:space="preserve">1010</w:t>
      </w:r>
      <w:r>
        <w:t xml:space="preserve"> Bis </w:t>
      </w:r>
      <w:r>
        <w:rPr>
          <w:rFonts w:ascii="Consolas" w:cs="Consolas" w:eastAsia="Consolas" w:hAnsi="Consolas"/>
          <w:b/>
          <w:bCs/>
          <w:color w:val="1F4E79"/>
        </w:rPr>
        <w:t xml:space="preserve">TA##</w:t>
      </w:r>
      <w:r>
        <w:t xml:space="preserve"> → </w:t>
      </w:r>
      <w:r>
        <w:rPr>
          <w:b/>
          <w:bCs/>
        </w:rPr>
        <w:t xml:space="preserve">Continue</w:t>
      </w:r>
      <w:r>
        <w:t xml:space="preserve"> → Meldung „Nr. Bukrs 1010 wurde in TA## kopiert" (Schulung S4F17 S. 55 a)–g).</w:t>
      </w:r>
    </w:p>
    <w:p>
      <w:pPr>
        <w:pStyle w:val="ListParagraph"/>
        <w:numPr>
          <w:ilvl w:val="0"/>
          <w:numId w:val="31"/>
        </w:numPr>
        <w:spacing w:after="60"/>
      </w:pPr>
      <w:r>
        <w:rPr>
          <w:b/>
          <w:bCs/>
        </w:rPr>
        <w:t xml:space="preserve">Belegart für Abschreibung:</w:t>
      </w:r>
      <w:r>
        <w:t xml:space="preserve"> IMG Asset Accounting → Integration with General Ledger → Post Depreciation to General Ledger → </w:t>
      </w:r>
      <w:r>
        <w:rPr>
          <w:b/>
          <w:bCs/>
        </w:rPr>
        <w:t xml:space="preserve">Specify Document Type for Posting of Depreciation</w:t>
      </w:r>
      <w:r>
        <w:t xml:space="preserve"> → TA## wie 1010 (Standard </w:t>
      </w:r>
      <w:r>
        <w:rPr>
          <w:b/>
          <w:bCs/>
        </w:rPr>
        <w:t xml:space="preserve">AF</w:t>
      </w:r>
      <w:r>
        <w:t xml:space="preserve">) (Schulung S. 299, Schritt 3).</w:t>
      </w:r>
    </w:p>
    <w:p>
      <w:pPr>
        <w:pStyle w:val="ListParagraph"/>
        <w:numPr>
          <w:ilvl w:val="0"/>
          <w:numId w:val="31"/>
        </w:numPr>
        <w:spacing w:after="60"/>
      </w:pPr>
      <w:r>
        <w:rPr>
          <w:b/>
          <w:bCs/>
        </w:rPr>
        <w:t xml:space="preserve">Periodizität/Buchungsregeln:</w:t>
      </w:r>
      <w:r>
        <w:t xml:space="preserve"> … → Post Depreciation to General Ledger → </w:t>
      </w:r>
      <w:r>
        <w:rPr>
          <w:b/>
          <w:bCs/>
        </w:rPr>
        <w:t xml:space="preserve">Specify Intervals and Posting Rules</w:t>
      </w:r>
      <w:r>
        <w:t xml:space="preserve"> → TA## markieren → </w:t>
      </w:r>
      <w:r>
        <w:rPr>
          <w:b/>
          <w:bCs/>
        </w:rPr>
        <w:t xml:space="preserve">Posting Rules</w:t>
      </w:r>
      <w:r>
        <w:t xml:space="preserve"> → buchende Bereiche (z. B. 01, 32, 20) </w:t>
      </w:r>
      <w:r>
        <w:rPr>
          <w:b/>
          <w:bCs/>
        </w:rPr>
        <w:t xml:space="preserve">monatlich</w:t>
      </w:r>
      <w:r>
        <w:t xml:space="preserve"> wie 1010 (Schulung S. 300, Schritt 4).</w:t>
      </w:r>
    </w:p>
    <w:p>
      <w:pPr>
        <w:pStyle w:val="Heading3"/>
      </w:pPr>
      <w:r>
        <w:t xml:space="preserve">d) Kontierungsobjekte für die CO-Integration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27 „Den Abschreibungslauf durchführen und auswerten", S. 298–299 (PDF 308–309) – Schritt 1: Kontierungsobjekte aktivieren (KOSTL, CAUFN); Schritt 2: Kontierungsarten für Kontierungsobjekte festlegen – Buchungskreis → Bewertungsbereich → Kontierungsobjekte → Neue Einträge KOSTL/PRCTR/SEGMENT, Bewegungsart *, Kontierungsart AfA-Lauf</w:t>
      </w:r>
    </w:p>
    <w:p>
      <w:pPr>
        <w:pBdr>
          <w:left w:val="single" w:color="F0AB00" w:sz="24" w:space="6"/>
        </w:pBdr>
        <w:shd w:fill="FFF4D6" w:color="auto" w:val="clear"/>
        <w:spacing w:after="120" w:before="120"/>
        <w:ind w:left="120" w:right="120"/>
      </w:pPr>
      <w:r>
        <w:rPr>
          <w:b/>
          <w:bCs/>
          <w:color w:val="F0AB00"/>
        </w:rPr>
        <w:t xml:space="preserve">Transaktion / App: </w:t>
      </w:r>
      <w:r>
        <w:t xml:space="preserve">IMG: Asset Accounting → Integration with General Ledger → Additional Account Assignment Objects → </w:t>
      </w:r>
      <w:r>
        <w:rPr>
          <w:b/>
          <w:bCs/>
        </w:rPr>
        <w:t xml:space="preserve">Activate Account Assignment Objects</w:t>
      </w:r>
      <w:r>
        <w:t xml:space="preserve"> (Kontierungsobjekte aktivieren) und </w:t>
      </w:r>
      <w:r>
        <w:rPr>
          <w:b/>
          <w:bCs/>
        </w:rPr>
        <w:t xml:space="preserve">Specify Account Assignment Types for Account Assignment Objects</w:t>
      </w:r>
      <w:r>
        <w:t xml:space="preserve"> (Kontierungsarten für Kontierungsobjekte festlegen; Transaktion </w:t>
      </w:r>
      <w:r>
        <w:rPr>
          <w:rFonts w:ascii="Consolas" w:cs="Consolas" w:eastAsia="Consolas" w:hAnsi="Consolas"/>
          <w:b/>
          <w:bCs/>
          <w:color w:val="1F4E79"/>
        </w:rPr>
        <w:t xml:space="preserve">ACSET</w:t>
      </w:r>
      <w:r>
        <w:t xml:space="preserve">).</w:t>
      </w:r>
    </w:p>
    <w:p>
      <w:pPr>
        <w:pStyle w:val="ListParagraph"/>
        <w:numPr>
          <w:ilvl w:val="0"/>
          <w:numId w:val="32"/>
        </w:numPr>
        <w:spacing w:after="60"/>
      </w:pPr>
      <w:r>
        <w:rPr>
          <w:b/>
          <w:bCs/>
        </w:rPr>
        <w:t xml:space="preserve">Activate Account Assignment Objects:</w:t>
      </w:r>
      <w:r>
        <w:t xml:space="preserve"> prüfen, dass </w:t>
      </w:r>
      <w:r>
        <w:rPr>
          <w:b/>
          <w:bCs/>
        </w:rPr>
        <w:t xml:space="preserve">KOSTL</w:t>
      </w:r>
      <w:r>
        <w:t xml:space="preserve"> (Kostenstelle) und </w:t>
      </w:r>
      <w:r>
        <w:rPr>
          <w:b/>
          <w:bCs/>
        </w:rPr>
        <w:t xml:space="preserve">CAUFN</w:t>
      </w:r>
      <w:r>
        <w:t xml:space="preserve"> (Innenauftrag) aktiv sind – nichts ändern (Schulung Schritt 1 a)–b).</w:t>
      </w:r>
    </w:p>
    <w:p>
      <w:pPr>
        <w:pStyle w:val="ListParagraph"/>
        <w:numPr>
          <w:ilvl w:val="0"/>
          <w:numId w:val="32"/>
        </w:numPr>
        <w:spacing w:after="60"/>
      </w:pPr>
      <w:r>
        <w:rPr>
          <w:b/>
          <w:bCs/>
        </w:rPr>
        <w:t xml:space="preserve">Specify Account Assignment Types:</w:t>
      </w:r>
      <w:r>
        <w:t xml:space="preserve"> zuerst Buchungskreis </w:t>
      </w:r>
      <w:r>
        <w:rPr>
          <w:b/>
          <w:bCs/>
        </w:rPr>
        <w:t xml:space="preserve">1010</w:t>
      </w:r>
      <w:r>
        <w:t xml:space="preserve"> markieren → </w:t>
      </w:r>
      <w:r>
        <w:rPr>
          <w:b/>
          <w:bCs/>
        </w:rPr>
        <w:t xml:space="preserve">Depreciation Area</w:t>
      </w:r>
      <w:r>
        <w:t xml:space="preserve"> → </w:t>
      </w:r>
      <w:r>
        <w:rPr>
          <w:b/>
          <w:bCs/>
        </w:rPr>
        <w:t xml:space="preserve">Account Assignment Objects</w:t>
      </w:r>
      <w:r>
        <w:t xml:space="preserve"> ansehen und notieren.</w:t>
      </w:r>
    </w:p>
    <w:p>
      <w:pPr>
        <w:pStyle w:val="ListParagraph"/>
        <w:numPr>
          <w:ilvl w:val="0"/>
          <w:numId w:val="32"/>
        </w:numPr>
        <w:spacing w:after="60"/>
      </w:pPr>
      <w:r>
        <w:t xml:space="preserve">Buchungskreis </w:t>
      </w:r>
      <w:r>
        <w:rPr>
          <w:b/>
          <w:bCs/>
        </w:rPr>
        <w:t xml:space="preserve">TA##</w:t>
      </w:r>
      <w:r>
        <w:t xml:space="preserve"> markieren → in der Dialogstruktur </w:t>
      </w:r>
      <w:r>
        <w:rPr>
          <w:b/>
          <w:bCs/>
        </w:rPr>
        <w:t xml:space="preserve">Depreciation Area</w:t>
      </w:r>
      <w:r>
        <w:t xml:space="preserve"> doppelklicken → Bereich wählen (z. B. 20 bzw. die Bereiche wie bei 1010) → </w:t>
      </w:r>
      <w:r>
        <w:rPr>
          <w:b/>
          <w:bCs/>
        </w:rPr>
        <w:t xml:space="preserve">Account Assignment Objects</w:t>
      </w:r>
      <w:r>
        <w:t xml:space="preserve"> → </w:t>
      </w:r>
      <w:r>
        <w:rPr>
          <w:b/>
          <w:bCs/>
        </w:rPr>
        <w:t xml:space="preserve">New Entries</w:t>
      </w:r>
      <w:r>
        <w:t xml:space="preserve"> (Schulung c)–e).</w:t>
      </w:r>
    </w:p>
    <w:p>
      <w:pPr>
        <w:pStyle w:val="ListParagraph"/>
        <w:numPr>
          <w:ilvl w:val="0"/>
          <w:numId w:val="32"/>
        </w:numPr>
        <w:spacing w:after="60"/>
      </w:pPr>
      <w:r>
        <w:t xml:space="preserve">Einträge wie 1010, z. B.: </w:t>
      </w:r>
      <w:r>
        <w:rPr>
          <w:b/>
          <w:bCs/>
        </w:rPr>
        <w:t xml:space="preserve">Account Assignment Object</w:t>
      </w:r>
      <w:r>
        <w:t xml:space="preserve"> </w:t>
      </w:r>
      <w:r>
        <w:rPr>
          <w:rFonts w:ascii="Consolas" w:cs="Consolas" w:eastAsia="Consolas" w:hAnsi="Consolas"/>
          <w:b/>
          <w:bCs/>
          <w:color w:val="1F4E79"/>
        </w:rPr>
        <w:t xml:space="preserve">KOSTL</w:t>
      </w:r>
      <w:r>
        <w:t xml:space="preserve">, </w:t>
      </w:r>
      <w:r>
        <w:rPr>
          <w:b/>
          <w:bCs/>
        </w:rPr>
        <w:t xml:space="preserve">Transaction Type</w:t>
      </w:r>
      <w:r>
        <w:t xml:space="preserve"> </w:t>
      </w:r>
      <w:r>
        <w:rPr>
          <w:rFonts w:ascii="Consolas" w:cs="Consolas" w:eastAsia="Consolas" w:hAnsi="Consolas"/>
          <w:b/>
          <w:bCs/>
          <w:color w:val="1F4E79"/>
        </w:rPr>
        <w:t xml:space="preserve">*</w:t>
      </w:r>
      <w:r>
        <w:t xml:space="preserve">, </w:t>
      </w:r>
      <w:r>
        <w:rPr>
          <w:b/>
          <w:bCs/>
        </w:rPr>
        <w:t xml:space="preserve">Account Assignment Type</w:t>
      </w:r>
      <w:r>
        <w:t xml:space="preserve"> </w:t>
      </w:r>
      <w:r>
        <w:rPr>
          <w:rFonts w:ascii="Consolas" w:cs="Consolas" w:eastAsia="Consolas" w:hAnsi="Consolas"/>
          <w:b/>
          <w:bCs/>
          <w:color w:val="1F4E79"/>
        </w:rPr>
        <w:t xml:space="preserve">AfA-Lauf</w:t>
      </w:r>
      <w:r>
        <w:t xml:space="preserve"> (Depreciation Run), </w:t>
      </w:r>
      <w:r>
        <w:rPr>
          <w:b/>
          <w:bCs/>
        </w:rPr>
        <w:t xml:space="preserve">Account Assignment</w:t>
      </w:r>
      <w:r>
        <w:t xml:space="preserve"> markiert; ggf. PRCTR und SEGMENT analog (Schulung f) → </w:t>
      </w:r>
      <w:r>
        <w:rPr>
          <w:b/>
          <w:bCs/>
        </w:rPr>
        <w:t xml:space="preserve">Save</w:t>
      </w:r>
      <w:r>
        <w:t xml:space="preserve">.</w:t>
      </w:r>
    </w:p>
    <w:p>
      <w:pPr>
        <w:pStyle w:val="Heading2"/>
      </w:pPr>
      <w:r>
        <w:t xml:space="preserve">Schritt 6.2 – Nicht integrierter Zugang Bürogebäude</w:t>
      </w:r>
    </w:p>
    <w:p>
      <w:pPr>
        <w:pBdr>
          <w:left w:val="single" w:color="7F7F7F" w:sz="24" w:space="6"/>
        </w:pBdr>
        <w:shd w:fill="EDEDED" w:color="auto" w:val="clear"/>
        <w:spacing w:after="120" w:before="120"/>
        <w:ind w:left="120" w:right="120"/>
      </w:pPr>
      <w:r>
        <w:rPr>
          <w:b/>
          <w:bCs/>
          <w:color w:val="7F7F7F"/>
        </w:rPr>
        <w:t xml:space="preserve">Aufgabe (Original): </w:t>
      </w:r>
      <w:r>
        <w:t xml:space="preserve">Nicht integrierter Zugang zum 01.01. aktuelles Jahr, 500.000 EUR, Kostenstelle TA##1100.</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10 „Anlegen von Anlagenstammsätzen", S. 92–94 (PDF 102–104) – Kachel „Anlage anlegen" (AS01): Anlagenklasse, Buchungskreis, Beschreibung, Registerkarte Zeitabhängig → Kostenstelle; </w:t>
      </w:r>
      <w:r>
        <w:rPr>
          <w:b/>
          <w:bCs/>
        </w:rPr>
        <w:t xml:space="preserve">S4F17</w:t>
      </w:r>
      <w:r>
        <w:t xml:space="preserve">, Übung 15 „Durchführen verschiedener nicht integrierter Anlagenzugangsbuchungen", S. 157–161 (PDF 167–171) – Kachel „Zugang buchen (nicht integriert) Mit automatischer Gegenbuchung" (ABZOL); Aufgabe 3 Schritt 2: neue Anlage direkt bei der Zugangsbuchung mit Kostenstelle TA##1100; </w:t>
      </w:r>
      <w:r>
        <w:rPr>
          <w:b/>
          <w:bCs/>
        </w:rPr>
        <w:t xml:space="preserve">S4F10</w:t>
      </w:r>
      <w:r>
        <w:t xml:space="preserve">, Übung 47 „Nicht integrierte Anlagenzugänge buchen", S. 374 (PDF 384). Anlagenklasse </w:t>
      </w:r>
      <w:r>
        <w:rPr>
          <w:b/>
          <w:bCs/>
        </w:rPr>
        <w:t xml:space="preserve">1100 für Gebäude</w:t>
      </w:r>
      <w:r>
        <w:t xml:space="preserve">: S4F17 Ü10 Aufgabe 3, S. 90 (PDF 100).</w:t>
      </w:r>
    </w:p>
    <w:p>
      <w:pPr>
        <w:pBdr>
          <w:left w:val="single" w:color="F0AB00" w:sz="24" w:space="6"/>
        </w:pBdr>
        <w:shd w:fill="FFF4D6" w:color="auto" w:val="clear"/>
        <w:spacing w:after="120" w:before="120"/>
        <w:ind w:left="120" w:right="120"/>
      </w:pPr>
      <w:r>
        <w:rPr>
          <w:b/>
          <w:bCs/>
          <w:color w:val="F0AB00"/>
        </w:rPr>
        <w:t xml:space="preserve">Transaktion / App: </w:t>
      </w:r>
      <w:r>
        <w:t xml:space="preserve">Fiori-Kachel </w:t>
      </w:r>
      <w:r>
        <w:rPr>
          <w:b/>
          <w:bCs/>
        </w:rPr>
        <w:t xml:space="preserve">Create Asset</w:t>
      </w:r>
      <w:r>
        <w:t xml:space="preserve"> (Anlage anlegen, </w:t>
      </w:r>
      <w:r>
        <w:rPr>
          <w:rFonts w:ascii="Consolas" w:cs="Consolas" w:eastAsia="Consolas" w:hAnsi="Consolas"/>
          <w:b/>
          <w:bCs/>
          <w:color w:val="1F4E79"/>
        </w:rPr>
        <w:t xml:space="preserve">AS01</w:t>
      </w:r>
      <w:r>
        <w:t xml:space="preserve">) und </w:t>
      </w:r>
      <w:r>
        <w:rPr>
          <w:b/>
          <w:bCs/>
        </w:rPr>
        <w:t xml:space="preserve">Post Acquisition (Non-Integrated) – With Automatic Offsetting Entry</w:t>
      </w:r>
      <w:r>
        <w:t xml:space="preserve"> (Zugang buchen (nicht integriert) Mit automatischer Gegenbuchung, </w:t>
      </w:r>
      <w:r>
        <w:rPr>
          <w:rFonts w:ascii="Consolas" w:cs="Consolas" w:eastAsia="Consolas" w:hAnsi="Consolas"/>
          <w:b/>
          <w:bCs/>
          <w:color w:val="1F4E79"/>
        </w:rPr>
        <w:t xml:space="preserve">ABZOL</w:t>
      </w:r>
      <w:r>
        <w:t xml:space="preserve">/</w:t>
      </w:r>
      <w:r>
        <w:rPr>
          <w:rFonts w:ascii="Consolas" w:cs="Consolas" w:eastAsia="Consolas" w:hAnsi="Consolas"/>
          <w:b/>
          <w:bCs/>
          <w:color w:val="1F4E79"/>
        </w:rPr>
        <w:t xml:space="preserve">ABZON</w:t>
      </w:r>
      <w:r>
        <w:t xml:space="preserve">).</w:t>
      </w:r>
    </w:p>
    <w:p>
      <w:pPr>
        <w:pStyle w:val="Heading3"/>
      </w:pPr>
      <w:r>
        <w:t xml:space="preserve">Variante A (wie Schulung Ü10 + Ü15 Aufgabe 1)</w:t>
      </w:r>
    </w:p>
    <w:p>
      <w:pPr>
        <w:pStyle w:val="ListParagraph"/>
        <w:numPr>
          <w:ilvl w:val="0"/>
          <w:numId w:val="33"/>
        </w:numPr>
        <w:spacing w:after="60"/>
      </w:pPr>
      <w:r>
        <w:t xml:space="preserve">Kachel </w:t>
      </w:r>
      <w:r>
        <w:rPr>
          <w:b/>
          <w:bCs/>
        </w:rPr>
        <w:t xml:space="preserve">Create Asset</w:t>
      </w:r>
      <w:r>
        <w:t xml:space="preserve"> (AS01): </w:t>
      </w:r>
      <w:r>
        <w:rPr>
          <w:b/>
          <w:bCs/>
        </w:rPr>
        <w:t xml:space="preserve">Asset Class</w:t>
      </w:r>
      <w:r>
        <w:t xml:space="preserve"> </w:t>
      </w:r>
      <w:r>
        <w:rPr>
          <w:rFonts w:ascii="Consolas" w:cs="Consolas" w:eastAsia="Consolas" w:hAnsi="Consolas"/>
          <w:b/>
          <w:bCs/>
          <w:color w:val="1F4E79"/>
        </w:rPr>
        <w:t xml:space="preserve">1100</w:t>
      </w:r>
      <w:r>
        <w:t xml:space="preserve"> (Gebäude), </w:t>
      </w:r>
      <w:r>
        <w:rPr>
          <w:b/>
          <w:bCs/>
        </w:rPr>
        <w:t xml:space="preserve">Company Code</w:t>
      </w:r>
      <w:r>
        <w:t xml:space="preserve"> </w:t>
      </w:r>
      <w:r>
        <w:rPr>
          <w:rFonts w:ascii="Consolas" w:cs="Consolas" w:eastAsia="Consolas" w:hAnsi="Consolas"/>
          <w:b/>
          <w:bCs/>
          <w:color w:val="1F4E79"/>
        </w:rPr>
        <w:t xml:space="preserve">TA##</w:t>
      </w:r>
      <w:r>
        <w:t xml:space="preserve"> → Enter (Schulung S4F17 S. 93 b)–c).</w:t>
      </w:r>
    </w:p>
    <w:p>
      <w:pPr>
        <w:pStyle w:val="ListParagraph"/>
        <w:numPr>
          <w:ilvl w:val="0"/>
          <w:numId w:val="33"/>
        </w:numPr>
        <w:spacing w:after="60"/>
      </w:pPr>
      <w:r>
        <w:rPr>
          <w:b/>
          <w:bCs/>
        </w:rPr>
        <w:t xml:space="preserve">Description</w:t>
      </w:r>
      <w:r>
        <w:t xml:space="preserve"> </w:t>
      </w:r>
      <w:r>
        <w:rPr>
          <w:rFonts w:ascii="Consolas" w:cs="Consolas" w:eastAsia="Consolas" w:hAnsi="Consolas"/>
          <w:b/>
          <w:bCs/>
          <w:color w:val="1F4E79"/>
        </w:rPr>
        <w:t xml:space="preserve">Office Building ##</w:t>
      </w:r>
      <w:r>
        <w:t xml:space="preserve"> (Bürogebäude); Registerkarte </w:t>
      </w:r>
      <w:r>
        <w:rPr>
          <w:b/>
          <w:bCs/>
        </w:rPr>
        <w:t xml:space="preserve">Time-dependent</w:t>
      </w:r>
      <w:r>
        <w:t xml:space="preserve"> (Zeitabhängig): </w:t>
      </w:r>
      <w:r>
        <w:rPr>
          <w:b/>
          <w:bCs/>
        </w:rPr>
        <w:t xml:space="preserve">Cost Center</w:t>
      </w:r>
      <w:r>
        <w:t xml:space="preserve"> </w:t>
      </w:r>
      <w:r>
        <w:rPr>
          <w:rFonts w:ascii="Consolas" w:cs="Consolas" w:eastAsia="Consolas" w:hAnsi="Consolas"/>
          <w:b/>
          <w:bCs/>
          <w:color w:val="1F4E79"/>
        </w:rPr>
        <w:t xml:space="preserve">TA##1100</w:t>
      </w:r>
      <w:r>
        <w:t xml:space="preserve"> → </w:t>
      </w:r>
      <w:r>
        <w:rPr>
          <w:b/>
          <w:bCs/>
        </w:rPr>
        <w:t xml:space="preserve">Save</w:t>
      </w:r>
      <w:r>
        <w:t xml:space="preserve"> → Anlagennummer notieren (Schulung d)–f).</w:t>
      </w:r>
    </w:p>
    <w:p>
      <w:pPr>
        <w:pStyle w:val="ListParagraph"/>
        <w:numPr>
          <w:ilvl w:val="0"/>
          <w:numId w:val="33"/>
        </w:numPr>
        <w:spacing w:after="60"/>
      </w:pPr>
      <w:r>
        <w:t xml:space="preserve">Kachel </w:t>
      </w:r>
      <w:r>
        <w:rPr>
          <w:b/>
          <w:bCs/>
        </w:rPr>
        <w:t xml:space="preserve">Post Acquisition (Non-Integrated) – With Automatic Offsetting Entry</w:t>
      </w:r>
      <w:r>
        <w:t xml:space="preserve">; Buchungskreis </w:t>
      </w:r>
      <w:r>
        <w:rPr>
          <w:rFonts w:ascii="Consolas" w:cs="Consolas" w:eastAsia="Consolas" w:hAnsi="Consolas"/>
          <w:b/>
          <w:bCs/>
          <w:color w:val="1F4E79"/>
        </w:rPr>
        <w:t xml:space="preserve">TA##</w:t>
      </w:r>
      <w:r>
        <w:t xml:space="preserve"> (Schulung S. 157 a)–b).</w:t>
      </w:r>
    </w:p>
    <w:p>
      <w:pPr>
        <w:pStyle w:val="ListParagraph"/>
        <w:numPr>
          <w:ilvl w:val="0"/>
          <w:numId w:val="33"/>
        </w:numPr>
        <w:spacing w:after="60"/>
      </w:pPr>
      <w:r>
        <w:t xml:space="preserve">Erfassen: </w:t>
      </w:r>
      <w:r>
        <w:rPr>
          <w:b/>
          <w:bCs/>
        </w:rPr>
        <w:t xml:space="preserve">Existing Asset</w:t>
      </w:r>
      <w:r>
        <w:t xml:space="preserve"> = neue Anlagennummer, </w:t>
      </w:r>
      <w:r>
        <w:rPr>
          <w:b/>
          <w:bCs/>
        </w:rPr>
        <w:t xml:space="preserve">Document Date</w:t>
      </w:r>
      <w:r>
        <w:t xml:space="preserve"> </w:t>
      </w:r>
      <w:r>
        <w:rPr>
          <w:rFonts w:ascii="Consolas" w:cs="Consolas" w:eastAsia="Consolas" w:hAnsi="Consolas"/>
          <w:b/>
          <w:bCs/>
          <w:color w:val="1F4E79"/>
        </w:rPr>
        <w:t xml:space="preserve">01.01.</w:t>
      </w:r>
      <w:r>
        <w:t xml:space="preserve"> aktuelles Jahr, </w:t>
      </w:r>
      <w:r>
        <w:rPr>
          <w:b/>
          <w:bCs/>
        </w:rPr>
        <w:t xml:space="preserve">Posting Date</w:t>
      </w:r>
      <w:r>
        <w:t xml:space="preserve"> (Offen am Stichtag) </w:t>
      </w:r>
      <w:r>
        <w:rPr>
          <w:rFonts w:ascii="Consolas" w:cs="Consolas" w:eastAsia="Consolas" w:hAnsi="Consolas"/>
          <w:b/>
          <w:bCs/>
          <w:color w:val="1F4E79"/>
        </w:rPr>
        <w:t xml:space="preserve">01.01.</w:t>
      </w:r>
      <w:r>
        <w:t xml:space="preserve"> aktuelles Jahr, </w:t>
      </w:r>
      <w:r>
        <w:rPr>
          <w:b/>
          <w:bCs/>
        </w:rPr>
        <w:t xml:space="preserve">Asset Value Date</w:t>
      </w:r>
      <w:r>
        <w:t xml:space="preserve"> (Bezugsdatum) </w:t>
      </w:r>
      <w:r>
        <w:rPr>
          <w:rFonts w:ascii="Consolas" w:cs="Consolas" w:eastAsia="Consolas" w:hAnsi="Consolas"/>
          <w:b/>
          <w:bCs/>
          <w:color w:val="1F4E79"/>
        </w:rPr>
        <w:t xml:space="preserve">01.01.</w:t>
      </w:r>
      <w:r>
        <w:t xml:space="preserve"> aktuelles Jahr, </w:t>
      </w:r>
      <w:r>
        <w:rPr>
          <w:b/>
          <w:bCs/>
        </w:rPr>
        <w:t xml:space="preserve">Amount Posted</w:t>
      </w:r>
      <w:r>
        <w:t xml:space="preserve"> </w:t>
      </w:r>
      <w:r>
        <w:rPr>
          <w:rFonts w:ascii="Consolas" w:cs="Consolas" w:eastAsia="Consolas" w:hAnsi="Consolas"/>
          <w:b/>
          <w:bCs/>
          <w:color w:val="1F4E79"/>
        </w:rPr>
        <w:t xml:space="preserve">500000</w:t>
      </w:r>
      <w:r>
        <w:t xml:space="preserve"> (Schulung c) und S. 159 b).</w:t>
      </w:r>
    </w:p>
    <w:p>
      <w:pPr>
        <w:pStyle w:val="ListParagraph"/>
        <w:numPr>
          <w:ilvl w:val="0"/>
          <w:numId w:val="33"/>
        </w:numPr>
        <w:spacing w:after="60"/>
      </w:pPr>
      <w:r>
        <w:rPr>
          <w:b/>
          <w:bCs/>
        </w:rPr>
        <w:t xml:space="preserve">Simulate</w:t>
      </w:r>
      <w:r>
        <w:t xml:space="preserve"> (F9) → ggf. Rechnungslegungsvorschrift/Währung ansehen → </w:t>
      </w:r>
      <w:r>
        <w:rPr>
          <w:b/>
          <w:bCs/>
        </w:rPr>
        <w:t xml:space="preserve">Post</w:t>
      </w:r>
      <w:r>
        <w:t xml:space="preserve"> → Belegnummern notieren (Schulung d)–f).</w:t>
      </w:r>
    </w:p>
    <w:p>
      <w:pPr>
        <w:pStyle w:val="Heading3"/>
      </w:pPr>
      <w:r>
        <w:t xml:space="preserve">Variante B (Anlage bei der Zugangsbuchung anlegen – Schulung Ü15 Aufgabe 3 Schritt 2)</w:t>
      </w:r>
    </w:p>
    <w:p>
      <w:pPr>
        <w:pStyle w:val="ListParagraph"/>
        <w:numPr>
          <w:ilvl w:val="0"/>
          <w:numId w:val="34"/>
        </w:numPr>
        <w:spacing w:after="60"/>
      </w:pPr>
      <w:r>
        <w:t xml:space="preserve">In der Zugangs-App die Option </w:t>
      </w:r>
      <w:r>
        <w:rPr>
          <w:b/>
          <w:bCs/>
        </w:rPr>
        <w:t xml:space="preserve">New Asset</w:t>
      </w:r>
      <w:r>
        <w:t xml:space="preserve"> (Neue Anlage) wählen.</w:t>
      </w:r>
    </w:p>
    <w:p>
      <w:pPr>
        <w:pStyle w:val="ListParagraph"/>
        <w:numPr>
          <w:ilvl w:val="0"/>
          <w:numId w:val="34"/>
        </w:numPr>
        <w:spacing w:after="60"/>
      </w:pPr>
      <w:r>
        <w:rPr>
          <w:b/>
          <w:bCs/>
        </w:rPr>
        <w:t xml:space="preserve">Description</w:t>
      </w:r>
      <w:r>
        <w:t xml:space="preserve"> </w:t>
      </w:r>
      <w:r>
        <w:rPr>
          <w:rFonts w:ascii="Consolas" w:cs="Consolas" w:eastAsia="Consolas" w:hAnsi="Consolas"/>
          <w:b/>
          <w:bCs/>
          <w:color w:val="1F4E79"/>
        </w:rPr>
        <w:t xml:space="preserve">Office Building ##</w:t>
      </w:r>
      <w:r>
        <w:t xml:space="preserve">, </w:t>
      </w:r>
      <w:r>
        <w:rPr>
          <w:b/>
          <w:bCs/>
        </w:rPr>
        <w:t xml:space="preserve">Asset Class</w:t>
      </w:r>
      <w:r>
        <w:t xml:space="preserve"> </w:t>
      </w:r>
      <w:r>
        <w:rPr>
          <w:rFonts w:ascii="Consolas" w:cs="Consolas" w:eastAsia="Consolas" w:hAnsi="Consolas"/>
          <w:b/>
          <w:bCs/>
          <w:color w:val="1F4E79"/>
        </w:rPr>
        <w:t xml:space="preserve">1100</w:t>
      </w:r>
      <w:r>
        <w:t xml:space="preserve">, </w:t>
      </w:r>
      <w:r>
        <w:rPr>
          <w:b/>
          <w:bCs/>
        </w:rPr>
        <w:t xml:space="preserve">Cost Center</w:t>
      </w:r>
      <w:r>
        <w:t xml:space="preserve"> </w:t>
      </w:r>
      <w:r>
        <w:rPr>
          <w:rFonts w:ascii="Consolas" w:cs="Consolas" w:eastAsia="Consolas" w:hAnsi="Consolas"/>
          <w:b/>
          <w:bCs/>
          <w:color w:val="1F4E79"/>
        </w:rPr>
        <w:t xml:space="preserve">TA##1100</w:t>
      </w:r>
      <w:r>
        <w:t xml:space="preserve">, Datumsfelder </w:t>
      </w:r>
      <w:r>
        <w:rPr>
          <w:rFonts w:ascii="Consolas" w:cs="Consolas" w:eastAsia="Consolas" w:hAnsi="Consolas"/>
          <w:b/>
          <w:bCs/>
          <w:color w:val="1F4E79"/>
        </w:rPr>
        <w:t xml:space="preserve">01.01.</w:t>
      </w:r>
      <w:r>
        <w:t xml:space="preserve"> aktuelles Jahr, </w:t>
      </w:r>
      <w:r>
        <w:rPr>
          <w:b/>
          <w:bCs/>
        </w:rPr>
        <w:t xml:space="preserve">Amount Posted</w:t>
      </w:r>
      <w:r>
        <w:t xml:space="preserve"> </w:t>
      </w:r>
      <w:r>
        <w:rPr>
          <w:rFonts w:ascii="Consolas" w:cs="Consolas" w:eastAsia="Consolas" w:hAnsi="Consolas"/>
          <w:b/>
          <w:bCs/>
          <w:color w:val="1F4E79"/>
        </w:rPr>
        <w:t xml:space="preserve">500000</w:t>
      </w:r>
      <w:r>
        <w:t xml:space="preserve"> → </w:t>
      </w:r>
      <w:r>
        <w:rPr>
          <w:b/>
          <w:bCs/>
        </w:rPr>
        <w:t xml:space="preserve">Simulate</w:t>
      </w:r>
      <w:r>
        <w:t xml:space="preserve"> → </w:t>
      </w:r>
      <w:r>
        <w:rPr>
          <w:b/>
          <w:bCs/>
        </w:rPr>
        <w:t xml:space="preserve">Post</w:t>
      </w:r>
      <w:r>
        <w:t xml:space="preserve"> (Schulung S. 160–161 a)–d).</w:t>
      </w:r>
    </w:p>
    <w:p>
      <w:pPr>
        <w:pStyle w:val="Heading2"/>
      </w:pPr>
      <w:r>
        <w:t xml:space="preserve">Schritt 6.3 – Abschreibungslauf Januar (Periode 01)</w:t>
      </w:r>
    </w:p>
    <w:p>
      <w:pPr>
        <w:pBdr>
          <w:left w:val="single" w:color="7F7F7F" w:sz="24" w:space="6"/>
        </w:pBdr>
        <w:shd w:fill="EDEDED" w:color="auto" w:val="clear"/>
        <w:spacing w:after="120" w:before="120"/>
        <w:ind w:left="120" w:right="120"/>
      </w:pPr>
      <w:r>
        <w:rPr>
          <w:b/>
          <w:bCs/>
          <w:color w:val="7F7F7F"/>
        </w:rPr>
        <w:t xml:space="preserve">Aufgabe (Original): </w:t>
      </w:r>
      <w:r>
        <w:t xml:space="preserve">AfA-Lauf für TA##, Periode 01 des aktuellen Jahres.</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S4F17</w:t>
      </w:r>
      <w:r>
        <w:t xml:space="preserve">, Übung 27 „Den Abschreibungslauf durchführen und auswerten", S. 300–303 (PDF 310–313) – Schritte 7–9: Kachel „Anlagenbuchhaltungs-Jobs einplanen", Jobvorlage „AfA-Buchungslauf", Testlauf, dann Echtlauf ohne Testlauf; </w:t>
      </w:r>
      <w:r>
        <w:rPr>
          <w:b/>
          <w:bCs/>
        </w:rPr>
        <w:t xml:space="preserve">S4F15</w:t>
      </w:r>
      <w:r>
        <w:t xml:space="preserve">, Übung 3 „Den Abschreibungslauf durchführen und auswerten", S. 67 (PDF 75)</w:t>
      </w:r>
    </w:p>
    <w:p>
      <w:pPr>
        <w:pBdr>
          <w:left w:val="single" w:color="F0AB00" w:sz="24" w:space="6"/>
        </w:pBdr>
        <w:shd w:fill="FFF4D6" w:color="auto" w:val="clear"/>
        <w:spacing w:after="120" w:before="120"/>
        <w:ind w:left="120" w:right="120"/>
      </w:pPr>
      <w:r>
        <w:rPr>
          <w:b/>
          <w:bCs/>
          <w:color w:val="F0AB00"/>
        </w:rPr>
        <w:t xml:space="preserve">Transaktion / App: </w:t>
      </w:r>
      <w:r>
        <w:t xml:space="preserve">Fiori-Kachel </w:t>
      </w:r>
      <w:r>
        <w:rPr>
          <w:b/>
          <w:bCs/>
        </w:rPr>
        <w:t xml:space="preserve">Schedule Fixed Asset Accounting Jobs</w:t>
      </w:r>
      <w:r>
        <w:t xml:space="preserve"> (Anlagenbuchhaltungs-Jobs einplanen), Kachelgruppe Periodische Buchungen; Jobvorlage </w:t>
      </w:r>
      <w:r>
        <w:rPr>
          <w:b/>
          <w:bCs/>
        </w:rPr>
        <w:t xml:space="preserve">Depreciation Posting Run</w:t>
      </w:r>
      <w:r>
        <w:t xml:space="preserve"> (AfA-Buchungslauf). Programm </w:t>
      </w:r>
      <w:r>
        <w:rPr>
          <w:rFonts w:ascii="Consolas" w:cs="Consolas" w:eastAsia="Consolas" w:hAnsi="Consolas"/>
          <w:b/>
          <w:bCs/>
          <w:color w:val="1F4E79"/>
        </w:rPr>
        <w:t xml:space="preserve">FAA_DEPRECIATION_POST</w:t>
      </w:r>
      <w:r>
        <w:t xml:space="preserve"> (S4F17 S. 293).</w:t>
      </w:r>
    </w:p>
    <w:p>
      <w:pPr>
        <w:pStyle w:val="ListParagraph"/>
        <w:numPr>
          <w:ilvl w:val="0"/>
          <w:numId w:val="35"/>
        </w:numPr>
        <w:spacing w:after="60"/>
      </w:pPr>
      <w:r>
        <w:t xml:space="preserve">Kachel öffnen → </w:t>
      </w:r>
      <w:r>
        <w:rPr>
          <w:b/>
          <w:bCs/>
        </w:rPr>
        <w:t xml:space="preserve">Create</w:t>
      </w:r>
      <w:r>
        <w:t xml:space="preserve"> (Anlegen) (Schulung S. 301 a).</w:t>
      </w:r>
    </w:p>
    <w:p>
      <w:pPr>
        <w:pStyle w:val="ListParagraph"/>
        <w:numPr>
          <w:ilvl w:val="0"/>
          <w:numId w:val="35"/>
        </w:numPr>
        <w:spacing w:after="60"/>
      </w:pPr>
      <w:r>
        <w:rPr>
          <w:b/>
          <w:bCs/>
        </w:rPr>
        <w:t xml:space="preserve">Job Template</w:t>
      </w:r>
      <w:r>
        <w:t xml:space="preserve"> </w:t>
      </w:r>
      <w:r>
        <w:rPr>
          <w:rFonts w:ascii="Consolas" w:cs="Consolas" w:eastAsia="Consolas" w:hAnsi="Consolas"/>
          <w:b/>
          <w:bCs/>
          <w:color w:val="1F4E79"/>
        </w:rPr>
        <w:t xml:space="preserve">AfA-Buchungslauf</w:t>
      </w:r>
      <w:r>
        <w:t xml:space="preserve"> (Depreciation Posting Run), </w:t>
      </w:r>
      <w:r>
        <w:rPr>
          <w:b/>
          <w:bCs/>
        </w:rPr>
        <w:t xml:space="preserve">Job Name</w:t>
      </w:r>
      <w:r>
        <w:t xml:space="preserve"> z. B. </w:t>
      </w:r>
      <w:r>
        <w:rPr>
          <w:rFonts w:ascii="Consolas" w:cs="Consolas" w:eastAsia="Consolas" w:hAnsi="Consolas"/>
          <w:b/>
          <w:bCs/>
          <w:color w:val="1F4E79"/>
        </w:rPr>
        <w:t xml:space="preserve">AfA ## Test</w:t>
      </w:r>
      <w:r>
        <w:t xml:space="preserve"> → </w:t>
      </w:r>
      <w:r>
        <w:rPr>
          <w:b/>
          <w:bCs/>
        </w:rPr>
        <w:t xml:space="preserve">Step 2</w:t>
      </w:r>
      <w:r>
        <w:t xml:space="preserve"> → </w:t>
      </w:r>
      <w:r>
        <w:rPr>
          <w:b/>
          <w:bCs/>
        </w:rPr>
        <w:t xml:space="preserve">Start Immediately</w:t>
      </w:r>
      <w:r>
        <w:t xml:space="preserve"> → </w:t>
      </w:r>
      <w:r>
        <w:rPr>
          <w:b/>
          <w:bCs/>
        </w:rPr>
        <w:t xml:space="preserve">Step 3</w:t>
      </w:r>
      <w:r>
        <w:t xml:space="preserve"> (Schulung b)–e).</w:t>
      </w:r>
    </w:p>
    <w:p>
      <w:pPr>
        <w:pStyle w:val="ListParagraph"/>
        <w:numPr>
          <w:ilvl w:val="0"/>
          <w:numId w:val="35"/>
        </w:numPr>
        <w:spacing w:after="60"/>
      </w:pPr>
      <w:r>
        <w:t xml:space="preserve">Parameter: </w:t>
      </w:r>
      <w:r>
        <w:rPr>
          <w:b/>
          <w:bCs/>
        </w:rPr>
        <w:t xml:space="preserve">Company Code</w:t>
      </w:r>
      <w:r>
        <w:t xml:space="preserve"> </w:t>
      </w:r>
      <w:r>
        <w:rPr>
          <w:rFonts w:ascii="Consolas" w:cs="Consolas" w:eastAsia="Consolas" w:hAnsi="Consolas"/>
          <w:b/>
          <w:bCs/>
          <w:color w:val="1F4E79"/>
        </w:rPr>
        <w:t xml:space="preserve">TA##</w:t>
      </w:r>
      <w:r>
        <w:t xml:space="preserve">, </w:t>
      </w:r>
      <w:r>
        <w:rPr>
          <w:b/>
          <w:bCs/>
        </w:rPr>
        <w:t xml:space="preserve">Fiscal Year</w:t>
      </w:r>
      <w:r>
        <w:t xml:space="preserve"> aktuelles Jahr, </w:t>
      </w:r>
      <w:r>
        <w:rPr>
          <w:b/>
          <w:bCs/>
        </w:rPr>
        <w:t xml:space="preserve">Posting Period</w:t>
      </w:r>
      <w:r>
        <w:t xml:space="preserve"> </w:t>
      </w:r>
      <w:r>
        <w:rPr>
          <w:rFonts w:ascii="Consolas" w:cs="Consolas" w:eastAsia="Consolas" w:hAnsi="Consolas"/>
          <w:b/>
          <w:bCs/>
          <w:color w:val="1F4E79"/>
        </w:rPr>
        <w:t xml:space="preserve">01</w:t>
      </w:r>
      <w:r>
        <w:t xml:space="preserve">, </w:t>
      </w:r>
      <w:r>
        <w:rPr>
          <w:b/>
          <w:bCs/>
        </w:rPr>
        <w:t xml:space="preserve">Test Run</w:t>
      </w:r>
      <w:r>
        <w:t xml:space="preserve"> markiert, </w:t>
      </w:r>
      <w:r>
        <w:rPr>
          <w:b/>
          <w:bCs/>
        </w:rPr>
        <w:t xml:space="preserve">Detailed Log</w:t>
      </w:r>
      <w:r>
        <w:t xml:space="preserve"> markiert → </w:t>
      </w:r>
      <w:r>
        <w:rPr>
          <w:b/>
          <w:bCs/>
        </w:rPr>
        <w:t xml:space="preserve">Schedule</w:t>
      </w:r>
      <w:r>
        <w:t xml:space="preserve"> (Schulung f)–g), S. 302).</w:t>
      </w:r>
    </w:p>
    <w:p>
      <w:pPr>
        <w:pStyle w:val="ListParagraph"/>
        <w:numPr>
          <w:ilvl w:val="0"/>
          <w:numId w:val="35"/>
        </w:numPr>
        <w:spacing w:after="60"/>
      </w:pPr>
      <w:r>
        <w:t xml:space="preserve">Ergebnis über das Symbol in Spalte </w:t>
      </w:r>
      <w:r>
        <w:rPr>
          <w:b/>
          <w:bCs/>
        </w:rPr>
        <w:t xml:space="preserve">Results</w:t>
      </w:r>
      <w:r>
        <w:t xml:space="preserve"> und die Spool-Aufträge prüfen (Schulung i)–l).</w:t>
      </w:r>
    </w:p>
    <w:p>
      <w:pPr>
        <w:pStyle w:val="ListParagraph"/>
        <w:numPr>
          <w:ilvl w:val="0"/>
          <w:numId w:val="35"/>
        </w:numPr>
        <w:spacing w:after="60"/>
      </w:pPr>
      <w:r>
        <w:t xml:space="preserve">Testlauf markieren → </w:t>
      </w:r>
      <w:r>
        <w:rPr>
          <w:b/>
          <w:bCs/>
        </w:rPr>
        <w:t xml:space="preserve">Copy</w:t>
      </w:r>
      <w:r>
        <w:t xml:space="preserve"> → Jobname z. B. </w:t>
      </w:r>
      <w:r>
        <w:rPr>
          <w:rFonts w:ascii="Consolas" w:cs="Consolas" w:eastAsia="Consolas" w:hAnsi="Consolas"/>
          <w:b/>
          <w:bCs/>
          <w:color w:val="1F4E79"/>
        </w:rPr>
        <w:t xml:space="preserve">AfA ## Update</w:t>
      </w:r>
      <w:r>
        <w:t xml:space="preserve"> → Step 2 → Step 3 → </w:t>
      </w:r>
      <w:r>
        <w:rPr>
          <w:b/>
          <w:bCs/>
        </w:rPr>
        <w:t xml:space="preserve">Test Run</w:t>
      </w:r>
      <w:r>
        <w:t xml:space="preserve"> entmarkieren → </w:t>
      </w:r>
      <w:r>
        <w:rPr>
          <w:b/>
          <w:bCs/>
        </w:rPr>
        <w:t xml:space="preserve">Schedule</w:t>
      </w:r>
      <w:r>
        <w:t xml:space="preserve"> (Schulung S. 302–303, Schritt 9 b)–g).</w:t>
      </w:r>
    </w:p>
    <w:p>
      <w:pPr>
        <w:pStyle w:val="ListParagraph"/>
        <w:numPr>
          <w:ilvl w:val="0"/>
          <w:numId w:val="35"/>
        </w:numPr>
        <w:spacing w:after="60"/>
      </w:pPr>
      <w:r>
        <w:t xml:space="preserve">Protokoll prüfen; Belege mit Belegart </w:t>
      </w:r>
      <w:r>
        <w:rPr>
          <w:b/>
          <w:bCs/>
        </w:rPr>
        <w:t xml:space="preserve">AF</w:t>
      </w:r>
      <w:r>
        <w:t xml:space="preserve"> in „Manage Journal Entries" (Buchungsbelege verwalten) kontrollieren (Schulung Aufgabe 2, S. 303).</w:t>
      </w:r>
    </w:p>
    <w:p>
      <w:r>
        <w:br w:type="page"/>
      </w:r>
    </w:p>
    <w:p>
      <w:pPr>
        <w:pStyle w:val="Heading1"/>
      </w:pPr>
      <w:r>
        <w:t xml:space="preserve">Task 7: Establish a New Company Code</w:t>
      </w:r>
    </w:p>
    <w:p>
      <w:pPr>
        <w:pStyle w:val="Heading2"/>
      </w:pPr>
      <w:r>
        <w:t xml:space="preserve">Schritt 7.1 – Buchungskreis GR## aus 1010 kopieren</w:t>
      </w:r>
    </w:p>
    <w:p>
      <w:pPr>
        <w:pBdr>
          <w:left w:val="single" w:color="7F7F7F" w:sz="24" w:space="6"/>
        </w:pBdr>
        <w:shd w:fill="EDEDED" w:color="auto" w:val="clear"/>
        <w:spacing w:after="120" w:before="120"/>
        <w:ind w:left="120" w:right="120"/>
      </w:pPr>
      <w:r>
        <w:rPr>
          <w:b/>
          <w:bCs/>
          <w:color w:val="7F7F7F"/>
        </w:rPr>
        <w:t xml:space="preserve">Aufgabe (Original): </w:t>
      </w:r>
      <w:r>
        <w:t xml:space="preserve">GR## mit Vorlage 1010; Währung EUR, Land DE, Sprache EN; Sachkonten aus 1010 kopieren.</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2 „Einen Buchungskreis anlegen", S. 33–36 (PDF 41–44) – Kopie TA00 → GR## mit Sachkonten, Kostenrechnungskreis-Zuordnung kopieren, Hauswährung nicht ändern; danach Buchungskreisdaten bearbeiten (Name, Ort, Land DE, Währung EUR, Sprache DE)</w:t>
      </w:r>
    </w:p>
    <w:p>
      <w:pPr>
        <w:pBdr>
          <w:left w:val="single" w:color="F0AB00" w:sz="24" w:space="6"/>
        </w:pBdr>
        <w:shd w:fill="FFF4D6" w:color="auto" w:val="clear"/>
        <w:spacing w:after="120" w:before="120"/>
        <w:ind w:left="120" w:right="120"/>
      </w:pPr>
      <w:r>
        <w:rPr>
          <w:b/>
          <w:bCs/>
          <w:color w:val="F0AB00"/>
        </w:rPr>
        <w:t xml:space="preserve">Transaktion / App: </w:t>
      </w:r>
      <w:r>
        <w:t xml:space="preserve">IMG: Enterprise Structure → Definition → Financial Accounting → Edit, Copy, Delete, Check Company Code (Buchungskreis bearbeiten, kopieren, löschen, prüfen; Transaktion </w:t>
      </w:r>
      <w:r>
        <w:rPr>
          <w:rFonts w:ascii="Consolas" w:cs="Consolas" w:eastAsia="Consolas" w:hAnsi="Consolas"/>
          <w:b/>
          <w:bCs/>
          <w:color w:val="1F4E79"/>
        </w:rPr>
        <w:t xml:space="preserve">EC01</w:t>
      </w:r>
      <w:r>
        <w:t xml:space="preserve">). Danach Aktivität „Edit Company Code Data" (</w:t>
      </w:r>
      <w:r>
        <w:rPr>
          <w:rFonts w:ascii="Consolas" w:cs="Consolas" w:eastAsia="Consolas" w:hAnsi="Consolas"/>
          <w:b/>
          <w:bCs/>
          <w:color w:val="1F4E79"/>
        </w:rPr>
        <w:t xml:space="preserve">OX02</w:t>
      </w:r>
      <w:r>
        <w:t xml:space="preserve">).</w:t>
      </w:r>
    </w:p>
    <w:p>
      <w:pPr>
        <w:pStyle w:val="ListParagraph"/>
        <w:numPr>
          <w:ilvl w:val="0"/>
          <w:numId w:val="36"/>
        </w:numPr>
        <w:spacing w:after="60"/>
      </w:pPr>
      <w:r>
        <w:rPr>
          <w:rFonts w:ascii="Consolas" w:cs="Consolas" w:eastAsia="Consolas" w:hAnsi="Consolas"/>
          <w:b/>
          <w:bCs/>
          <w:color w:val="1F4E79"/>
        </w:rPr>
        <w:t xml:space="preserve">SPRO</w:t>
      </w:r>
      <w:r>
        <w:t xml:space="preserve"> → SAP Reference IMG → obigen Pfad (Symbol IMG-Aktivität) → Aktion </w:t>
      </w:r>
      <w:r>
        <w:rPr>
          <w:b/>
          <w:bCs/>
        </w:rPr>
        <w:t xml:space="preserve">Copy, Delete, Check Company Code</w:t>
      </w:r>
      <w:r>
        <w:t xml:space="preserve"> doppelklicken (Schulung 2 a)–d).</w:t>
      </w:r>
    </w:p>
    <w:p>
      <w:pPr>
        <w:pStyle w:val="ListParagraph"/>
        <w:numPr>
          <w:ilvl w:val="0"/>
          <w:numId w:val="36"/>
        </w:numPr>
        <w:spacing w:after="60"/>
      </w:pPr>
      <w:r>
        <w:rPr>
          <w:b/>
          <w:bCs/>
        </w:rPr>
        <w:t xml:space="preserve">Organizational Object → Copy Org. Object</w:t>
      </w:r>
      <w:r>
        <w:t xml:space="preserve"> (Drucktaste Org.Objekt kopieren) (Schulung e).</w:t>
      </w:r>
    </w:p>
    <w:p>
      <w:pPr>
        <w:pStyle w:val="ListParagraph"/>
        <w:numPr>
          <w:ilvl w:val="0"/>
          <w:numId w:val="36"/>
        </w:numPr>
        <w:spacing w:after="60"/>
      </w:pPr>
      <w:r>
        <w:t xml:space="preserve">Dialog: </w:t>
      </w:r>
      <w:r>
        <w:rPr>
          <w:b/>
          <w:bCs/>
        </w:rPr>
        <w:t xml:space="preserve">From Company Code</w:t>
      </w:r>
      <w:r>
        <w:t xml:space="preserve"> </w:t>
      </w:r>
      <w:r>
        <w:rPr>
          <w:rFonts w:ascii="Consolas" w:cs="Consolas" w:eastAsia="Consolas" w:hAnsi="Consolas"/>
          <w:b/>
          <w:bCs/>
          <w:color w:val="1F4E79"/>
        </w:rPr>
        <w:t xml:space="preserve">1010</w:t>
      </w:r>
      <w:r>
        <w:t xml:space="preserve">, </w:t>
      </w:r>
      <w:r>
        <w:rPr>
          <w:b/>
          <w:bCs/>
        </w:rPr>
        <w:t xml:space="preserve">To Company Code</w:t>
      </w:r>
      <w:r>
        <w:t xml:space="preserve"> </w:t>
      </w:r>
      <w:r>
        <w:rPr>
          <w:rFonts w:ascii="Consolas" w:cs="Consolas" w:eastAsia="Consolas" w:hAnsi="Consolas"/>
          <w:b/>
          <w:bCs/>
          <w:color w:val="1F4E79"/>
        </w:rPr>
        <w:t xml:space="preserve">GR##</w:t>
      </w:r>
      <w:r>
        <w:t xml:space="preserve"> → </w:t>
      </w:r>
      <w:r>
        <w:rPr>
          <w:b/>
          <w:bCs/>
        </w:rPr>
        <w:t xml:space="preserve">Continue</w:t>
      </w:r>
      <w:r>
        <w:t xml:space="preserve"> (Schulung f)–g; dort TA00).</w:t>
      </w:r>
    </w:p>
    <w:p>
      <w:pPr>
        <w:pStyle w:val="ListParagraph"/>
        <w:numPr>
          <w:ilvl w:val="0"/>
          <w:numId w:val="36"/>
        </w:numPr>
        <w:spacing w:after="60"/>
      </w:pPr>
      <w:r>
        <w:t xml:space="preserve">Dialogfenster beantworten (Tabelle Schulung S.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Dialogfenster</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Meldung (sinngemäß)</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Aktion</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accounts in company code GR## (Sachkonten)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Buchungskreisdaten der Sachkonten mitkopieren?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Yes</w:t>
            </w:r>
            <w:r>
              <w:t xml:space="preserve"> (Ja)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Controlling area assignment (Kostenrechnungskreiszuordnung)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Zuordnung zum Kostenrechnungskreis kopieren?</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Yes</w:t>
            </w:r>
            <w:r>
              <w:t xml:space="preserve"> (Ja)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Assign different local currency (Abweichende Hauswährung)</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Andere Hauswährung zuordnen? (Vorlage = EUR)</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No</w:t>
            </w:r>
            <w:r>
              <w:t xml:space="preserve"> (Nein) → EUR bleibt</w:t>
            </w:r>
          </w:p>
        </w:tc>
      </w:tr>
    </w:tbl>
    <w:p>
      <w:pPr>
        <w:spacing w:after="60"/>
      </w:pPr>
    </w:p>
    <w:p>
      <w:pPr>
        <w:pStyle w:val="ListParagraph"/>
        <w:numPr>
          <w:ilvl w:val="0"/>
          <w:numId w:val="37"/>
        </w:numPr>
        <w:spacing w:after="60"/>
      </w:pPr>
      <w:r>
        <w:t xml:space="preserve">Weitere Warnmeldungen mit </w:t>
      </w:r>
      <w:r>
        <w:rPr>
          <w:b/>
          <w:bCs/>
        </w:rPr>
        <w:t xml:space="preserve">Continue</w:t>
      </w:r>
      <w:r>
        <w:t xml:space="preserve"> (Enter) bestätigen → Meldung „Company code 1010 was copied to GR##" (Schulung h)–i).</w:t>
      </w:r>
    </w:p>
    <w:p>
      <w:pPr>
        <w:pStyle w:val="ListParagraph"/>
        <w:numPr>
          <w:ilvl w:val="0"/>
          <w:numId w:val="37"/>
        </w:numPr>
        <w:spacing w:after="60"/>
      </w:pPr>
      <w:r>
        <w:t xml:space="preserve">Zurück → Aktion </w:t>
      </w:r>
      <w:r>
        <w:rPr>
          <w:b/>
          <w:bCs/>
        </w:rPr>
        <w:t xml:space="preserve">Edit Company Code Data</w:t>
      </w:r>
      <w:r>
        <w:t xml:space="preserve"> (Buchungskreisdaten bearbeiten) → </w:t>
      </w:r>
      <w:r>
        <w:rPr>
          <w:b/>
          <w:bCs/>
        </w:rPr>
        <w:t xml:space="preserve">Position…</w:t>
      </w:r>
      <w:r>
        <w:t xml:space="preserve"> → </w:t>
      </w:r>
      <w:r>
        <w:rPr>
          <w:rFonts w:ascii="Consolas" w:cs="Consolas" w:eastAsia="Consolas" w:hAnsi="Consolas"/>
          <w:b/>
          <w:bCs/>
          <w:color w:val="1F4E79"/>
        </w:rPr>
        <w:t xml:space="preserve">GR##</w:t>
      </w:r>
      <w:r>
        <w:t xml:space="preserve"> → doppelklicken (Schulung 3 a)–e).</w:t>
      </w:r>
    </w:p>
    <w:p>
      <w:pPr>
        <w:pStyle w:val="ListParagraph"/>
        <w:numPr>
          <w:ilvl w:val="0"/>
          <w:numId w:val="37"/>
        </w:numPr>
        <w:spacing w:after="60"/>
      </w:pPr>
      <w:r>
        <w:t xml:space="preserve">Werte: </w:t>
      </w:r>
      <w:r>
        <w:rPr>
          <w:b/>
          <w:bCs/>
        </w:rPr>
        <w:t xml:space="preserve">Company Name</w:t>
      </w:r>
      <w:r>
        <w:t xml:space="preserve"> z. B. „Gruppe ##", </w:t>
      </w:r>
      <w:r>
        <w:rPr>
          <w:b/>
          <w:bCs/>
        </w:rPr>
        <w:t xml:space="preserve">City</w:t>
      </w:r>
      <w:r>
        <w:t xml:space="preserve"> beliebig, </w:t>
      </w:r>
      <w:r>
        <w:rPr>
          <w:b/>
          <w:bCs/>
        </w:rPr>
        <w:t xml:space="preserve">Country</w:t>
      </w:r>
      <w:r>
        <w:t xml:space="preserve"> </w:t>
      </w:r>
      <w:r>
        <w:rPr>
          <w:rFonts w:ascii="Consolas" w:cs="Consolas" w:eastAsia="Consolas" w:hAnsi="Consolas"/>
          <w:b/>
          <w:bCs/>
          <w:color w:val="1F4E79"/>
        </w:rPr>
        <w:t xml:space="preserve">DE</w:t>
      </w:r>
      <w:r>
        <w:t xml:space="preserve">, </w:t>
      </w:r>
      <w:r>
        <w:rPr>
          <w:b/>
          <w:bCs/>
        </w:rPr>
        <w:t xml:space="preserve">Currency</w:t>
      </w:r>
      <w:r>
        <w:t xml:space="preserve"> </w:t>
      </w:r>
      <w:r>
        <w:rPr>
          <w:rFonts w:ascii="Consolas" w:cs="Consolas" w:eastAsia="Consolas" w:hAnsi="Consolas"/>
          <w:b/>
          <w:bCs/>
          <w:color w:val="1F4E79"/>
        </w:rPr>
        <w:t xml:space="preserve">EUR</w:t>
      </w:r>
      <w:r>
        <w:t xml:space="preserve">, </w:t>
      </w:r>
      <w:r>
        <w:rPr>
          <w:b/>
          <w:bCs/>
        </w:rPr>
        <w:t xml:space="preserve">Language</w:t>
      </w:r>
      <w:r>
        <w:t xml:space="preserve"> </w:t>
      </w:r>
      <w:r>
        <w:rPr>
          <w:rFonts w:ascii="Consolas" w:cs="Consolas" w:eastAsia="Consolas" w:hAnsi="Consolas"/>
          <w:b/>
          <w:bCs/>
          <w:color w:val="1F4E79"/>
        </w:rPr>
        <w:t xml:space="preserve">EN</w:t>
      </w:r>
      <w:r>
        <w:t xml:space="preserve"> (Schulung: DE) → </w:t>
      </w:r>
      <w:r>
        <w:rPr>
          <w:b/>
          <w:bCs/>
        </w:rPr>
        <w:t xml:space="preserve">Save</w:t>
      </w:r>
      <w:r>
        <w:t xml:space="preserve"> → „Data was saved" (Schulung f)–g).</w:t>
      </w:r>
    </w:p>
    <w:p>
      <w:pPr>
        <w:pBdr>
          <w:left w:val="single" w:color="2E75B6" w:sz="24" w:space="6"/>
        </w:pBdr>
        <w:shd w:fill="E8F1FB" w:color="auto" w:val="clear"/>
        <w:spacing w:after="120" w:before="120"/>
        <w:ind w:left="120" w:right="120"/>
      </w:pPr>
      <w:r>
        <w:rPr>
          <w:b/>
          <w:bCs/>
          <w:color w:val="2E75B6"/>
        </w:rPr>
        <w:t xml:space="preserve">Hinweis: </w:t>
      </w:r>
      <w:r>
        <w:t xml:space="preserve">Einzige Abweichung zur Schulung: Vorlage </w:t>
      </w:r>
      <w:r>
        <w:rPr>
          <w:b/>
          <w:bCs/>
        </w:rPr>
        <w:t xml:space="preserve">1010</w:t>
      </w:r>
      <w:r>
        <w:t xml:space="preserve"> statt TA00 und Sprache </w:t>
      </w:r>
      <w:r>
        <w:rPr>
          <w:b/>
          <w:bCs/>
        </w:rPr>
        <w:t xml:space="preserve">EN</w:t>
      </w:r>
      <w:r>
        <w:t xml:space="preserve"> statt DE.</w:t>
      </w:r>
    </w:p>
    <w:p>
      <w:pPr>
        <w:pStyle w:val="Heading2"/>
      </w:pPr>
      <w:r>
        <w:t xml:space="preserve">Schritt 7.2 – Kontengruppe AE## und neues Sachkonto</w:t>
      </w:r>
    </w:p>
    <w:p>
      <w:pPr>
        <w:pBdr>
          <w:left w:val="single" w:color="7F7F7F" w:sz="24" w:space="6"/>
        </w:pBdr>
        <w:shd w:fill="EDEDED" w:color="auto" w:val="clear"/>
        <w:spacing w:after="120" w:before="120"/>
        <w:ind w:left="120" w:right="120"/>
      </w:pPr>
      <w:r>
        <w:rPr>
          <w:b/>
          <w:bCs/>
          <w:color w:val="7F7F7F"/>
        </w:rPr>
        <w:t xml:space="preserve">Aufgabe (Original): </w:t>
      </w:r>
      <w:r>
        <w:t xml:space="preserve">Kontengruppe AE## mit Bereich AE##0000 – AE##9999; neues Sachkonto „non-operating income or expense" in dieser Gruppe.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7 „Kontengruppen für Sachkonten anlegen und einige neue Sachkonten installieren", S. 117–124 (PDF 125–132) – Schritt 1: Kontengruppe ERG. kopieren als AE## (YCOA, Von/Bis-Konto); Schritt 3–4: Sachkonto AE0001## mit „Sachkontenstammdaten verwalten" anlegen, Buchungskreissegment GR##</w:t>
      </w:r>
    </w:p>
    <w:p>
      <w:pPr>
        <w:pStyle w:val="Heading3"/>
      </w:pPr>
      <w:r>
        <w:t xml:space="preserve">a) Kontengruppe</w:t>
      </w:r>
    </w:p>
    <w:p>
      <w:pPr>
        <w:pBdr>
          <w:left w:val="single" w:color="F0AB00" w:sz="24" w:space="6"/>
        </w:pBdr>
        <w:shd w:fill="FFF4D6" w:color="auto" w:val="clear"/>
        <w:spacing w:after="120" w:before="120"/>
        <w:ind w:left="120" w:right="120"/>
      </w:pPr>
      <w:r>
        <w:rPr>
          <w:b/>
          <w:bCs/>
          <w:color w:val="F0AB00"/>
        </w:rPr>
        <w:t xml:space="preserve">Transaktion / App: </w:t>
      </w:r>
      <w:r>
        <w:t xml:space="preserve">IMG: Financial Accounting → General Ledger Accounting → Master Data → G/L Accounts → Preparations → Define Account Group (Schulung: … → Stammdaten → Sachkonten → Vorarbeiten → Kontengruppe definieren; Transaktion </w:t>
      </w:r>
      <w:r>
        <w:rPr>
          <w:rFonts w:ascii="Consolas" w:cs="Consolas" w:eastAsia="Consolas" w:hAnsi="Consolas"/>
          <w:b/>
          <w:bCs/>
          <w:color w:val="1F4E79"/>
        </w:rPr>
        <w:t xml:space="preserve">OBD4</w:t>
      </w:r>
      <w:r>
        <w:t xml:space="preserve">).</w:t>
      </w:r>
    </w:p>
    <w:p>
      <w:pPr>
        <w:pStyle w:val="ListParagraph"/>
        <w:numPr>
          <w:ilvl w:val="0"/>
          <w:numId w:val="38"/>
        </w:numPr>
        <w:spacing w:after="60"/>
      </w:pPr>
      <w:r>
        <w:t xml:space="preserve">IMG-Aktivität öffnen → zum Kontenplan </w:t>
      </w:r>
      <w:r>
        <w:rPr>
          <w:b/>
          <w:bCs/>
        </w:rPr>
        <w:t xml:space="preserve">YCOA</w:t>
      </w:r>
      <w:r>
        <w:t xml:space="preserve"> blättern (Position…) (Schulung 1 a)–b).</w:t>
      </w:r>
    </w:p>
    <w:p>
      <w:pPr>
        <w:pStyle w:val="ListParagraph"/>
        <w:numPr>
          <w:ilvl w:val="0"/>
          <w:numId w:val="38"/>
        </w:numPr>
        <w:spacing w:after="60"/>
      </w:pPr>
      <w:r>
        <w:t xml:space="preserve">Kontengruppe </w:t>
      </w:r>
      <w:r>
        <w:rPr>
          <w:b/>
          <w:bCs/>
        </w:rPr>
        <w:t xml:space="preserve">ERG.</w:t>
      </w:r>
      <w:r>
        <w:t xml:space="preserve"> (Erfolgskonten) markieren → </w:t>
      </w:r>
      <w:r>
        <w:rPr>
          <w:b/>
          <w:bCs/>
        </w:rPr>
        <w:t xml:space="preserve">Copy As…</w:t>
      </w:r>
      <w:r>
        <w:t xml:space="preserve"> (Schulung c)–d).</w:t>
      </w:r>
    </w:p>
    <w:p>
      <w:pPr>
        <w:pStyle w:val="ListParagraph"/>
        <w:numPr>
          <w:ilvl w:val="0"/>
          <w:numId w:val="38"/>
        </w:numPr>
        <w:spacing w:after="60"/>
      </w:pPr>
      <w:r>
        <w:t xml:space="preserve">Überschreiben: </w:t>
      </w:r>
      <w:r>
        <w:rPr>
          <w:b/>
          <w:bCs/>
        </w:rPr>
        <w:t xml:space="preserve">Chart of Accounts</w:t>
      </w:r>
      <w:r>
        <w:t xml:space="preserve"> </w:t>
      </w:r>
      <w:r>
        <w:rPr>
          <w:rFonts w:ascii="Consolas" w:cs="Consolas" w:eastAsia="Consolas" w:hAnsi="Consolas"/>
          <w:b/>
          <w:bCs/>
          <w:color w:val="1F4E79"/>
        </w:rPr>
        <w:t xml:space="preserve">YCOA</w:t>
      </w:r>
      <w:r>
        <w:t xml:space="preserve">, </w:t>
      </w:r>
      <w:r>
        <w:rPr>
          <w:b/>
          <w:bCs/>
        </w:rPr>
        <w:t xml:space="preserve">Account Group</w:t>
      </w:r>
      <w:r>
        <w:t xml:space="preserve"> </w:t>
      </w:r>
      <w:r>
        <w:rPr>
          <w:rFonts w:ascii="Consolas" w:cs="Consolas" w:eastAsia="Consolas" w:hAnsi="Consolas"/>
          <w:b/>
          <w:bCs/>
          <w:color w:val="1F4E79"/>
        </w:rPr>
        <w:t xml:space="preserve">AE##</w:t>
      </w:r>
      <w:r>
        <w:t xml:space="preserve">, </w:t>
      </w:r>
      <w:r>
        <w:rPr>
          <w:b/>
          <w:bCs/>
        </w:rPr>
        <w:t xml:space="preserve">Name</w:t>
      </w:r>
      <w:r>
        <w:t xml:space="preserve"> z. B. „Non-operating Inc/Exp ##", </w:t>
      </w:r>
      <w:r>
        <w:rPr>
          <w:b/>
          <w:bCs/>
        </w:rPr>
        <w:t xml:space="preserve">From Acct</w:t>
      </w:r>
      <w:r>
        <w:t xml:space="preserve"> </w:t>
      </w:r>
      <w:r>
        <w:rPr>
          <w:rFonts w:ascii="Consolas" w:cs="Consolas" w:eastAsia="Consolas" w:hAnsi="Consolas"/>
          <w:b/>
          <w:bCs/>
          <w:color w:val="1F4E79"/>
        </w:rPr>
        <w:t xml:space="preserve">AE##0000</w:t>
      </w:r>
      <w:r>
        <w:t xml:space="preserve">, </w:t>
      </w:r>
      <w:r>
        <w:rPr>
          <w:b/>
          <w:bCs/>
        </w:rPr>
        <w:t xml:space="preserve">To Account</w:t>
      </w:r>
      <w:r>
        <w:t xml:space="preserve"> </w:t>
      </w:r>
      <w:r>
        <w:rPr>
          <w:rFonts w:ascii="Consolas" w:cs="Consolas" w:eastAsia="Consolas" w:hAnsi="Consolas"/>
          <w:b/>
          <w:bCs/>
          <w:color w:val="1F4E79"/>
        </w:rPr>
        <w:t xml:space="preserve">AE##9999</w:t>
      </w:r>
      <w:r>
        <w:t xml:space="preserve"> → Enter → </w:t>
      </w:r>
      <w:r>
        <w:rPr>
          <w:b/>
          <w:bCs/>
        </w:rPr>
        <w:t xml:space="preserve">Save</w:t>
      </w:r>
      <w:r>
        <w:t xml:space="preserve"> (Schulung e)–g).</w:t>
      </w:r>
    </w:p>
    <w:p>
      <w:pPr>
        <w:pStyle w:val="Heading3"/>
      </w:pPr>
      <w:r>
        <w:t xml:space="preserve">b) Sachkonto</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G/L Account Master Data</w:t>
      </w:r>
      <w:r>
        <w:t xml:space="preserve"> (Sachkontenstammdaten verwalten), Kachelgruppe Hauptbuch (alternativ </w:t>
      </w:r>
      <w:r>
        <w:rPr>
          <w:rFonts w:ascii="Consolas" w:cs="Consolas" w:eastAsia="Consolas" w:hAnsi="Consolas"/>
          <w:b/>
          <w:bCs/>
          <w:color w:val="1F4E79"/>
        </w:rPr>
        <w:t xml:space="preserve">FS00</w:t>
      </w:r>
      <w:r>
        <w:t xml:space="preserve">).</w:t>
      </w:r>
    </w:p>
    <w:p>
      <w:pPr>
        <w:pStyle w:val="ListParagraph"/>
        <w:numPr>
          <w:ilvl w:val="0"/>
          <w:numId w:val="39"/>
        </w:numPr>
        <w:spacing w:after="60"/>
      </w:pPr>
      <w:r>
        <w:t xml:space="preserve">App öffnen → </w:t>
      </w:r>
      <w:r>
        <w:rPr>
          <w:b/>
          <w:bCs/>
        </w:rPr>
        <w:t xml:space="preserve">Create</w:t>
      </w:r>
      <w:r>
        <w:t xml:space="preserve"> (Schulung 3 a)–b).</w:t>
      </w:r>
    </w:p>
    <w:p>
      <w:pPr>
        <w:pStyle w:val="ListParagraph"/>
        <w:numPr>
          <w:ilvl w:val="0"/>
          <w:numId w:val="39"/>
        </w:numPr>
        <w:spacing w:after="60"/>
      </w:pPr>
      <w:r>
        <w:t xml:space="preserve">Kopfdaten/Allgemein (Schulung S. 119–120):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Feld (EN / DE)</w:t>
            </w:r>
          </w:p>
        </w:tc>
        <w:tc>
          <w:tcPr>
            <w:tcW w:type="dxa" w:w="3600"/>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Prüfung</w:t>
            </w:r>
          </w:p>
        </w:tc>
        <w:tc>
          <w:tcPr>
            <w:tcW w:type="dxa" w:w="3438"/>
            <w:tcBorders>
              <w:top w:val="single" w:color="A6A6A6" w:sz="4"/>
              <w:left w:val="single" w:color="A6A6A6" w:sz="4"/>
              <w:bottom w:val="single" w:color="A6A6A6" w:sz="4"/>
              <w:right w:val="single" w:color="A6A6A6" w:sz="4"/>
            </w:tcBorders>
            <w:shd w:fill="F0AB00" w:color="auto" w:val="clear"/>
            <w:tcMar>
              <w:top w:type="dxa" w:w="60"/>
              <w:left w:type="dxa" w:w="100"/>
              <w:bottom w:type="dxa" w:w="60"/>
              <w:right w:type="dxa" w:w="100"/>
            </w:tcMar>
          </w:tcPr>
          <w:p>
            <w:r>
              <w:rPr>
                <w:b/>
                <w:bCs/>
              </w:rPr>
              <w:t xml:space="preserve">Wert in der Schulung</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(Sachkonto)</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z. B. </w:t>
            </w:r>
            <w:r>
              <w:rPr>
                <w:rFonts w:ascii="Consolas" w:cs="Consolas" w:eastAsia="Consolas" w:hAnsi="Consolas"/>
                <w:b/>
                <w:bCs/>
                <w:color w:val="1F4E79"/>
              </w:rPr>
              <w:t xml:space="preserve">AE##0001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AE0001##</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Chart of Accounts (Kontenplan)</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YCOA</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YCOA</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G/L Account Type (Sachkontoart)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Nonoperating Expense or Income</w:t>
            </w:r>
            <w:r>
              <w:t xml:space="preserve"> (nicht betriebl. Aufwand/Ertrag)</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Primärkosten oder Erlöse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Account Group (Kontengruppe)</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b/>
                <w:bCs/>
                <w:color w:val="1F4E79"/>
              </w:rPr>
              <w:t xml:space="preserve">AE##</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AE##</w:t>
            </w:r>
          </w:p>
        </w:tc>
      </w:tr>
      <w:tr>
        <w:trPr>
          <w:tblHeader w:val="false"/>
        </w:trPr>
        <w:tc>
          <w:tcPr>
            <w:tcW w:type="dxa" w:w="26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tcPr>
          <w:p>
            <w:r>
              <w:t xml:space="preserve">Short Text / Long Text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z. B. „Non-oper. Inc/Exp ##"</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Unterhaltung ## / Unterhaltungskosten ##</w:t>
            </w:r>
          </w:p>
        </w:tc>
      </w:tr>
    </w:tbl>
    <w:p>
      <w:pPr>
        <w:spacing w:after="60"/>
      </w:pPr>
    </w:p>
    <w:p>
      <w:pPr>
        <w:pStyle w:val="ListParagraph"/>
        <w:numPr>
          <w:ilvl w:val="0"/>
          <w:numId w:val="40"/>
        </w:numPr>
        <w:spacing w:after="60"/>
      </w:pPr>
      <w:r>
        <w:rPr>
          <w:b/>
          <w:bCs/>
        </w:rPr>
        <w:t xml:space="preserve">Save</w:t>
      </w:r>
      <w:r>
        <w:t xml:space="preserve"> → „Account saved successfully" (Schulung e).</w:t>
      </w:r>
    </w:p>
    <w:p>
      <w:pPr>
        <w:pStyle w:val="ListParagraph"/>
        <w:numPr>
          <w:ilvl w:val="0"/>
          <w:numId w:val="40"/>
        </w:numPr>
        <w:spacing w:after="60"/>
      </w:pPr>
      <w:r>
        <w:rPr>
          <w:b/>
          <w:bCs/>
        </w:rPr>
        <w:t xml:space="preserve">Edit</w:t>
      </w:r>
      <w:r>
        <w:t xml:space="preserve"> → </w:t>
      </w:r>
      <w:r>
        <w:rPr>
          <w:b/>
          <w:bCs/>
        </w:rPr>
        <w:t xml:space="preserve">Company Code Data</w:t>
      </w:r>
      <w:r>
        <w:t xml:space="preserve"> → </w:t>
      </w:r>
      <w:r>
        <w:rPr>
          <w:b/>
          <w:bCs/>
        </w:rPr>
        <w:t xml:space="preserve">Create</w:t>
      </w:r>
      <w:r>
        <w:t xml:space="preserve"> → </w:t>
      </w:r>
      <w:r>
        <w:rPr>
          <w:b/>
          <w:bCs/>
        </w:rPr>
        <w:t xml:space="preserve">New Company Code Assignment</w:t>
      </w:r>
      <w:r>
        <w:t xml:space="preserve"> </w:t>
      </w:r>
      <w:r>
        <w:rPr>
          <w:rFonts w:ascii="Consolas" w:cs="Consolas" w:eastAsia="Consolas" w:hAnsi="Consolas"/>
          <w:b/>
          <w:bCs/>
          <w:color w:val="1F4E79"/>
        </w:rPr>
        <w:t xml:space="preserve">GR##</w:t>
      </w:r>
      <w:r>
        <w:t xml:space="preserve"> (Schulung 4 a)–d).</w:t>
      </w:r>
    </w:p>
    <w:p>
      <w:pPr>
        <w:pStyle w:val="ListParagraph"/>
        <w:numPr>
          <w:ilvl w:val="0"/>
          <w:numId w:val="40"/>
        </w:numPr>
        <w:spacing w:after="60"/>
      </w:pPr>
      <w:r>
        <w:t xml:space="preserve">Steuerungsdaten: </w:t>
      </w:r>
      <w:r>
        <w:rPr>
          <w:b/>
          <w:bCs/>
        </w:rPr>
        <w:t xml:space="preserve">Account Currency</w:t>
      </w:r>
      <w:r>
        <w:t xml:space="preserve"> </w:t>
      </w:r>
      <w:r>
        <w:rPr>
          <w:rFonts w:ascii="Consolas" w:cs="Consolas" w:eastAsia="Consolas" w:hAnsi="Consolas"/>
          <w:b/>
          <w:bCs/>
          <w:color w:val="1F4E79"/>
        </w:rPr>
        <w:t xml:space="preserve">EUR</w:t>
      </w:r>
      <w:r>
        <w:t xml:space="preserve">; </w:t>
      </w:r>
      <w:r>
        <w:rPr>
          <w:b/>
          <w:bCs/>
        </w:rPr>
        <w:t xml:space="preserve">Posting without tax allowed</w:t>
      </w:r>
      <w:r>
        <w:t xml:space="preserve"> markieren (Schulung: Steuerkategorie „–"); </w:t>
      </w:r>
      <w:r>
        <w:rPr>
          <w:b/>
          <w:bCs/>
        </w:rPr>
        <w:t xml:space="preserve">Sort Key</w:t>
      </w:r>
      <w:r>
        <w:t xml:space="preserve"> z. B. </w:t>
      </w:r>
      <w:r>
        <w:rPr>
          <w:rFonts w:ascii="Consolas" w:cs="Consolas" w:eastAsia="Consolas" w:hAnsi="Consolas"/>
          <w:b/>
          <w:bCs/>
          <w:color w:val="1F4E79"/>
        </w:rPr>
        <w:t xml:space="preserve">001</w:t>
      </w:r>
      <w:r>
        <w:t xml:space="preserve">/</w:t>
      </w:r>
      <w:r>
        <w:rPr>
          <w:rFonts w:ascii="Consolas" w:cs="Consolas" w:eastAsia="Consolas" w:hAnsi="Consolas"/>
          <w:b/>
          <w:bCs/>
          <w:color w:val="1F4E79"/>
        </w:rPr>
        <w:t xml:space="preserve">003</w:t>
      </w:r>
      <w:r>
        <w:t xml:space="preserve">; </w:t>
      </w:r>
      <w:r>
        <w:rPr>
          <w:b/>
          <w:bCs/>
        </w:rPr>
        <w:t xml:space="preserve">Field Status Group</w:t>
      </w:r>
      <w:r>
        <w:t xml:space="preserve"> z. B. </w:t>
      </w:r>
      <w:r>
        <w:rPr>
          <w:rFonts w:ascii="Consolas" w:cs="Consolas" w:eastAsia="Consolas" w:hAnsi="Consolas"/>
          <w:b/>
          <w:bCs/>
          <w:color w:val="1F4E79"/>
        </w:rPr>
        <w:t xml:space="preserve">YB01</w:t>
      </w:r>
      <w:r>
        <w:t xml:space="preserve">/</w:t>
      </w:r>
      <w:r>
        <w:rPr>
          <w:rFonts w:ascii="Consolas" w:cs="Consolas" w:eastAsia="Consolas" w:hAnsi="Consolas"/>
          <w:b/>
          <w:bCs/>
          <w:color w:val="1F4E79"/>
        </w:rPr>
        <w:t xml:space="preserve">YB03</w:t>
      </w:r>
      <w:r>
        <w:t xml:space="preserve"> (Schulung e) → </w:t>
      </w:r>
      <w:r>
        <w:rPr>
          <w:b/>
          <w:bCs/>
        </w:rPr>
        <w:t xml:space="preserve">OK</w:t>
      </w:r>
      <w:r>
        <w:t xml:space="preserve"> → </w:t>
      </w:r>
      <w:r>
        <w:rPr>
          <w:b/>
          <w:bCs/>
        </w:rPr>
        <w:t xml:space="preserve">Save</w:t>
      </w:r>
      <w:r>
        <w:t xml:space="preserve"> (Schulung f, i).</w:t>
      </w:r>
    </w:p>
    <w:p>
      <w:pPr>
        <w:pBdr>
          <w:left w:val="single" w:color="2E75B6" w:sz="24" w:space="6"/>
        </w:pBdr>
        <w:shd w:fill="E8F1FB" w:color="auto" w:val="clear"/>
        <w:spacing w:after="120" w:before="120"/>
        <w:ind w:left="120" w:right="120"/>
      </w:pPr>
      <w:r>
        <w:rPr>
          <w:b/>
          <w:bCs/>
          <w:color w:val="2E75B6"/>
        </w:rPr>
        <w:t xml:space="preserve">Hinweis: </w:t>
      </w:r>
      <w:r>
        <w:t xml:space="preserve">Bei Sachkontoart „Nonoperating Expense or Income" entfallen die Controlling-Daten (Kostenartentyp), die die Schulung für „Primärkosten oder Erlöse" pflegt (S4F12 S. 121 g)–h).</w:t>
      </w:r>
    </w:p>
    <w:p>
      <w:pPr>
        <w:pStyle w:val="Heading2"/>
      </w:pPr>
      <w:r>
        <w:t xml:space="preserve">Schritt 7.3 – Testbuchung in GR##</w:t>
      </w:r>
    </w:p>
    <w:p>
      <w:pPr>
        <w:pBdr>
          <w:left w:val="single" w:color="7F7F7F" w:sz="24" w:space="6"/>
        </w:pBdr>
        <w:shd w:fill="EDEDED" w:color="auto" w:val="clear"/>
        <w:spacing w:after="120" w:before="120"/>
        <w:ind w:left="120" w:right="120"/>
      </w:pPr>
      <w:r>
        <w:rPr>
          <w:b/>
          <w:bCs/>
          <w:color w:val="7F7F7F"/>
        </w:rPr>
        <w:t xml:space="preserve">Aufgabe (Original): </w:t>
      </w:r>
      <w:r>
        <w:t xml:space="preserve">Hauptbuchbeleg in GR## mit dem neuen Konto gegen 10010000 (Petty Cash), Beleg- und Buchungsdatum heute, Betrag frei.</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Übung 17 „FI-Belege buchen", S. 257–258 (PDF 265–266) – Schritt 1: „Hauptbuchbelege buchen", Kopfdaten, Sachkonto 10010000 (Handkasse), Simulieren, Buchen</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Post General Journal Entries</w:t>
      </w:r>
      <w:r>
        <w:t xml:space="preserve"> (Hauptbuchbelege buchen), Kachelgruppe Hauptbuch – entspricht </w:t>
      </w:r>
      <w:r>
        <w:rPr>
          <w:rFonts w:ascii="Consolas" w:cs="Consolas" w:eastAsia="Consolas" w:hAnsi="Consolas"/>
          <w:b/>
          <w:bCs/>
          <w:color w:val="1F4E79"/>
        </w:rPr>
        <w:t xml:space="preserve">FB50</w:t>
      </w:r>
      <w:r>
        <w:t xml:space="preserve">.</w:t>
      </w:r>
    </w:p>
    <w:p>
      <w:pPr>
        <w:pStyle w:val="ListParagraph"/>
        <w:numPr>
          <w:ilvl w:val="0"/>
          <w:numId w:val="41"/>
        </w:numPr>
        <w:spacing w:after="60"/>
      </w:pPr>
      <w:r>
        <w:t xml:space="preserve">App öffnen. Kopf: </w:t>
      </w:r>
      <w:r>
        <w:rPr>
          <w:b/>
          <w:bCs/>
        </w:rPr>
        <w:t xml:space="preserve">Journal Entry Date</w:t>
      </w:r>
      <w:r>
        <w:t xml:space="preserve"> (Buchungsbelegdatum) heute, </w:t>
      </w:r>
      <w:r>
        <w:rPr>
          <w:b/>
          <w:bCs/>
        </w:rPr>
        <w:t xml:space="preserve">Posting Date</w:t>
      </w:r>
      <w:r>
        <w:t xml:space="preserve"> (Offen am Stichtag) heute, </w:t>
      </w:r>
      <w:r>
        <w:rPr>
          <w:b/>
          <w:bCs/>
        </w:rPr>
        <w:t xml:space="preserve">Journal Entry Type</w:t>
      </w:r>
      <w:r>
        <w:t xml:space="preserve"> </w:t>
      </w:r>
      <w:r>
        <w:rPr>
          <w:rFonts w:ascii="Consolas" w:cs="Consolas" w:eastAsia="Consolas" w:hAnsi="Consolas"/>
          <w:b/>
          <w:bCs/>
          <w:color w:val="1F4E79"/>
        </w:rPr>
        <w:t xml:space="preserve">SA</w:t>
      </w:r>
      <w:r>
        <w:t xml:space="preserve">, </w:t>
      </w:r>
      <w:r>
        <w:rPr>
          <w:b/>
          <w:bCs/>
        </w:rPr>
        <w:t xml:space="preserve">Company Code</w:t>
      </w:r>
      <w:r>
        <w:t xml:space="preserve"> </w:t>
      </w:r>
      <w:r>
        <w:rPr>
          <w:rFonts w:ascii="Consolas" w:cs="Consolas" w:eastAsia="Consolas" w:hAnsi="Consolas"/>
          <w:b/>
          <w:bCs/>
          <w:color w:val="1F4E79"/>
        </w:rPr>
        <w:t xml:space="preserve">GR##</w:t>
      </w:r>
      <w:r>
        <w:t xml:space="preserve">, </w:t>
      </w:r>
      <w:r>
        <w:rPr>
          <w:b/>
          <w:bCs/>
        </w:rPr>
        <w:t xml:space="preserve">Transaction Currency</w:t>
      </w:r>
      <w:r>
        <w:t xml:space="preserve"> </w:t>
      </w:r>
      <w:r>
        <w:rPr>
          <w:rFonts w:ascii="Consolas" w:cs="Consolas" w:eastAsia="Consolas" w:hAnsi="Consolas"/>
          <w:b/>
          <w:bCs/>
          <w:color w:val="1F4E79"/>
        </w:rPr>
        <w:t xml:space="preserve">EUR</w:t>
      </w:r>
      <w:r>
        <w:t xml:space="preserve"> (Schulung e).</w:t>
      </w:r>
    </w:p>
    <w:p>
      <w:pPr>
        <w:pStyle w:val="ListParagraph"/>
        <w:numPr>
          <w:ilvl w:val="0"/>
          <w:numId w:val="41"/>
        </w:numPr>
        <w:spacing w:after="60"/>
      </w:pPr>
      <w:r>
        <w:t xml:space="preserve">Zeile 1: </w:t>
      </w:r>
      <w:r>
        <w:rPr>
          <w:b/>
          <w:bCs/>
        </w:rPr>
        <w:t xml:space="preserve">G/L Account</w:t>
      </w:r>
      <w:r>
        <w:t xml:space="preserve"> </w:t>
      </w:r>
      <w:r>
        <w:rPr>
          <w:rFonts w:ascii="Consolas" w:cs="Consolas" w:eastAsia="Consolas" w:hAnsi="Consolas"/>
          <w:b/>
          <w:bCs/>
          <w:color w:val="1F4E79"/>
        </w:rPr>
        <w:t xml:space="preserve">AE##0001</w:t>
      </w:r>
      <w:r>
        <w:t xml:space="preserve">, </w:t>
      </w:r>
      <w:r>
        <w:rPr>
          <w:b/>
          <w:bCs/>
        </w:rPr>
        <w:t xml:space="preserve">Debit</w:t>
      </w:r>
      <w:r>
        <w:t xml:space="preserve"> z. B. </w:t>
      </w:r>
      <w:r>
        <w:rPr>
          <w:rFonts w:ascii="Consolas" w:cs="Consolas" w:eastAsia="Consolas" w:hAnsi="Consolas"/>
          <w:b/>
          <w:bCs/>
          <w:color w:val="1F4E79"/>
        </w:rPr>
        <w:t xml:space="preserve">100</w:t>
      </w:r>
      <w:r>
        <w:t xml:space="preserve"> (Schulung f).</w:t>
      </w:r>
    </w:p>
    <w:p>
      <w:pPr>
        <w:pStyle w:val="ListParagraph"/>
        <w:numPr>
          <w:ilvl w:val="0"/>
          <w:numId w:val="41"/>
        </w:numPr>
        <w:spacing w:after="60"/>
      </w:pPr>
      <w:r>
        <w:t xml:space="preserve">Zeile 2: </w:t>
      </w:r>
      <w:r>
        <w:rPr>
          <w:b/>
          <w:bCs/>
        </w:rPr>
        <w:t xml:space="preserve">G/L Account</w:t>
      </w:r>
      <w:r>
        <w:t xml:space="preserve"> </w:t>
      </w:r>
      <w:r>
        <w:rPr>
          <w:rFonts w:ascii="Consolas" w:cs="Consolas" w:eastAsia="Consolas" w:hAnsi="Consolas"/>
          <w:b/>
          <w:bCs/>
          <w:color w:val="1F4E79"/>
        </w:rPr>
        <w:t xml:space="preserve">10010000</w:t>
      </w:r>
      <w:r>
        <w:t xml:space="preserve"> (Petty Cash/Handkasse), </w:t>
      </w:r>
      <w:r>
        <w:rPr>
          <w:b/>
          <w:bCs/>
        </w:rPr>
        <w:t xml:space="preserve">Credit</w:t>
      </w:r>
      <w:r>
        <w:t xml:space="preserve"> </w:t>
      </w:r>
      <w:r>
        <w:rPr>
          <w:rFonts w:ascii="Consolas" w:cs="Consolas" w:eastAsia="Consolas" w:hAnsi="Consolas"/>
          <w:b/>
          <w:bCs/>
          <w:color w:val="1F4E79"/>
        </w:rPr>
        <w:t xml:space="preserve">100</w:t>
      </w:r>
      <w:r>
        <w:t xml:space="preserve"> (Schulung i); falls gefordert Profitcenter ergänzen (Schulung g).</w:t>
      </w:r>
    </w:p>
    <w:p>
      <w:pPr>
        <w:pStyle w:val="ListParagraph"/>
        <w:numPr>
          <w:ilvl w:val="0"/>
          <w:numId w:val="41"/>
        </w:numPr>
        <w:spacing w:after="60"/>
      </w:pPr>
      <w:r>
        <w:rPr>
          <w:b/>
          <w:bCs/>
        </w:rPr>
        <w:t xml:space="preserve">Simulate</w:t>
      </w:r>
      <w:r>
        <w:t xml:space="preserve"> → prüfen → </w:t>
      </w:r>
      <w:r>
        <w:rPr>
          <w:b/>
          <w:bCs/>
        </w:rPr>
        <w:t xml:space="preserve">Post</w:t>
      </w:r>
      <w:r>
        <w:t xml:space="preserve"> → „Journal entry … (Jahr/GR##) saved" → Belegnummer notieren (Schulung j)–l).</w:t>
      </w:r>
    </w:p>
    <w:p>
      <w:pPr>
        <w:pStyle w:val="Heading2"/>
      </w:pPr>
      <w:r>
        <w:t xml:space="preserve">Schritt 7.4 – Storno 10 Tage nach der Originalbuchung</w:t>
      </w:r>
    </w:p>
    <w:p>
      <w:pPr>
        <w:pBdr>
          <w:left w:val="single" w:color="7F7F7F" w:sz="24" w:space="6"/>
        </w:pBdr>
        <w:shd w:fill="EDEDED" w:color="auto" w:val="clear"/>
        <w:spacing w:after="120" w:before="120"/>
        <w:ind w:left="120" w:right="120"/>
      </w:pPr>
      <w:r>
        <w:rPr>
          <w:b/>
          <w:bCs/>
          <w:color w:val="7F7F7F"/>
        </w:rPr>
        <w:t xml:space="preserve">Aufgabe (Original): </w:t>
      </w:r>
      <w:r>
        <w:t xml:space="preserve">Storno des Belegs aus 7.3 mit Datum Originalbuchung + 10 Tage.</w:t>
      </w:r>
    </w:p>
    <w:p>
      <w:pPr>
        <w:pBdr>
          <w:left w:val="single" w:color="7030A0" w:sz="24" w:space="6"/>
        </w:pBdr>
        <w:shd w:fill="F3E8FA" w:color="auto" w:val="clear"/>
        <w:spacing w:after="120" w:before="120"/>
        <w:ind w:left="120" w:right="120"/>
      </w:pPr>
      <w:r>
        <w:rPr>
          <w:b/>
          <w:bCs/>
          <w:color w:val="7030A0"/>
        </w:rPr>
        <w:t xml:space="preserve">Vergleichbare Übung in den Schulungsunterlagen: </w:t>
      </w:r>
      <w:r>
        <w:rPr>
          <w:b/>
          <w:bCs/>
        </w:rPr>
        <w:t xml:space="preserve">S4F12</w:t>
      </w:r>
      <w:r>
        <w:t xml:space="preserve">, Lektion „Konfigurieren von Belegstornierungen", S. 312 (PDF 320): „Die Einstellungen für den Stornogrund können so konfiguriert werden, dass ein Stornodatum eingegeben werden kann, das vom ursprünglichen Buchungsdatum abweicht."; </w:t>
      </w:r>
      <w:r>
        <w:rPr>
          <w:b/>
          <w:bCs/>
        </w:rPr>
        <w:t xml:space="preserve">S4F12</w:t>
      </w:r>
      <w:r>
        <w:t xml:space="preserve">, Übung 21 „Belegstornierungen buchen", S. 316–318 (PDF 324–326) – Stornogründe prüfen (IMG … Korrekturbuchung/Storno → Stornogründe definieren), Storno über „Buchungsbelege verwalten" → Stornieren mit Stornogrund und Datum</w:t>
      </w:r>
    </w:p>
    <w:p>
      <w:pPr>
        <w:pBdr>
          <w:left w:val="single" w:color="F0AB00" w:sz="24" w:space="6"/>
        </w:pBdr>
        <w:shd w:fill="FFF4D6" w:color="auto" w:val="clear"/>
        <w:spacing w:after="120" w:before="120"/>
        <w:ind w:left="120" w:right="120"/>
      </w:pPr>
      <w:r>
        <w:rPr>
          <w:b/>
          <w:bCs/>
          <w:color w:val="F0AB00"/>
        </w:rPr>
        <w:t xml:space="preserve">Transaktion / App: </w:t>
      </w:r>
      <w:r>
        <w:t xml:space="preserve">Fiori-App </w:t>
      </w:r>
      <w:r>
        <w:rPr>
          <w:b/>
          <w:bCs/>
        </w:rPr>
        <w:t xml:space="preserve">Manage Journal Entries</w:t>
      </w:r>
      <w:r>
        <w:t xml:space="preserve"> (Buchungsbelege verwalten) → </w:t>
      </w:r>
      <w:r>
        <w:rPr>
          <w:b/>
          <w:bCs/>
        </w:rPr>
        <w:t xml:space="preserve">Reverse</w:t>
      </w:r>
      <w:r>
        <w:t xml:space="preserve"> (Stornieren); alternativ </w:t>
      </w:r>
      <w:r>
        <w:rPr>
          <w:rFonts w:ascii="Consolas" w:cs="Consolas" w:eastAsia="Consolas" w:hAnsi="Consolas"/>
          <w:b/>
          <w:bCs/>
          <w:color w:val="1F4E79"/>
        </w:rPr>
        <w:t xml:space="preserve">FB08</w:t>
      </w:r>
      <w:r>
        <w:t xml:space="preserve">.</w:t>
      </w:r>
    </w:p>
    <w:p>
      <w:pPr>
        <w:pStyle w:val="ListParagraph"/>
        <w:numPr>
          <w:ilvl w:val="0"/>
          <w:numId w:val="42"/>
        </w:numPr>
        <w:spacing w:after="60"/>
      </w:pPr>
      <w:r>
        <w:t xml:space="preserve">Optional prüfen: IMG Financial Accounting → General Ledger Accounting → Business Transactions → Adjustment Posting/Reversal → </w:t>
      </w:r>
      <w:r>
        <w:rPr>
          <w:b/>
          <w:bCs/>
        </w:rPr>
        <w:t xml:space="preserve">Define Reasons for Reversal</w:t>
      </w:r>
      <w:r>
        <w:t xml:space="preserve"> – welcher Grund ein abweichendes Buchungsdatum (</w:t>
      </w:r>
      <w:r>
        <w:rPr>
          <w:b/>
          <w:bCs/>
        </w:rPr>
        <w:t xml:space="preserve">Alt. Posting Date</w:t>
      </w:r>
      <w:r>
        <w:t xml:space="preserve">) erlaubt (Schulung S. 316, Schritt 2).</w:t>
      </w:r>
    </w:p>
    <w:p>
      <w:pPr>
        <w:pStyle w:val="ListParagraph"/>
        <w:numPr>
          <w:ilvl w:val="0"/>
          <w:numId w:val="42"/>
        </w:numPr>
        <w:spacing w:after="60"/>
      </w:pPr>
      <w:r>
        <w:t xml:space="preserve">App </w:t>
      </w:r>
      <w:r>
        <w:rPr>
          <w:b/>
          <w:bCs/>
        </w:rPr>
        <w:t xml:space="preserve">Manage Journal Entries</w:t>
      </w:r>
      <w:r>
        <w:t xml:space="preserve"> → Company Code </w:t>
      </w:r>
      <w:r>
        <w:rPr>
          <w:rFonts w:ascii="Consolas" w:cs="Consolas" w:eastAsia="Consolas" w:hAnsi="Consolas"/>
          <w:b/>
          <w:bCs/>
          <w:color w:val="1F4E79"/>
        </w:rPr>
        <w:t xml:space="preserve">GR##</w:t>
      </w:r>
      <w:r>
        <w:t xml:space="preserve"> → Beleg aus 7.3 suchen → markieren → </w:t>
      </w:r>
      <w:r>
        <w:rPr>
          <w:b/>
          <w:bCs/>
        </w:rPr>
        <w:t xml:space="preserve">Reverse</w:t>
      </w:r>
      <w:r>
        <w:t xml:space="preserve"> (Schulung S. 318 Hinweis „Alternativ … Buchungsbelege verwalten … Stornieren").</w:t>
      </w:r>
    </w:p>
    <w:p>
      <w:pPr>
        <w:pStyle w:val="ListParagraph"/>
        <w:numPr>
          <w:ilvl w:val="0"/>
          <w:numId w:val="42"/>
        </w:numPr>
        <w:spacing w:after="60"/>
      </w:pPr>
      <w:r>
        <w:t xml:space="preserve">Im Bild </w:t>
      </w:r>
      <w:r>
        <w:rPr>
          <w:b/>
          <w:bCs/>
        </w:rPr>
        <w:t xml:space="preserve">Reverse Journal Entry</w:t>
      </w:r>
      <w:r>
        <w:t xml:space="preserve">: </w:t>
      </w:r>
      <w:r>
        <w:rPr>
          <w:b/>
          <w:bCs/>
        </w:rPr>
        <w:t xml:space="preserve">Reversal Reason</w:t>
      </w:r>
      <w:r>
        <w:t xml:space="preserve"> = Grund mit abweichendem Buchungsdatum (im Standard </w:t>
      </w:r>
      <w:r>
        <w:rPr>
          <w:rFonts w:ascii="Consolas" w:cs="Consolas" w:eastAsia="Consolas" w:hAnsi="Consolas"/>
          <w:b/>
          <w:bCs/>
          <w:color w:val="1F4E79"/>
        </w:rPr>
        <w:t xml:space="preserve">02</w:t>
      </w:r>
      <w:r>
        <w:t xml:space="preserve"> – Reversal in closed period), </w:t>
      </w:r>
      <w:r>
        <w:rPr>
          <w:b/>
          <w:bCs/>
        </w:rPr>
        <w:t xml:space="preserve">Posting Date</w:t>
      </w:r>
      <w:r>
        <w:t xml:space="preserve"> = Buchungsdatum Original </w:t>
      </w:r>
      <w:r>
        <w:rPr>
          <w:b/>
          <w:bCs/>
        </w:rPr>
        <w:t xml:space="preserve">+ 10 Tage</w:t>
      </w:r>
      <w:r>
        <w:t xml:space="preserve"> (Schulung j: „Offen am Stichtag") → </w:t>
      </w:r>
      <w:r>
        <w:rPr>
          <w:b/>
          <w:bCs/>
        </w:rPr>
        <w:t xml:space="preserve">OK</w:t>
      </w:r>
      <w:r>
        <w:t xml:space="preserve"> (Schulung k).</w:t>
      </w:r>
    </w:p>
    <w:p>
      <w:pPr>
        <w:pStyle w:val="ListParagraph"/>
        <w:numPr>
          <w:ilvl w:val="0"/>
          <w:numId w:val="42"/>
        </w:numPr>
        <w:spacing w:after="60"/>
      </w:pPr>
      <w:r>
        <w:t xml:space="preserve">Meldung „Reversal document posted"; unter </w:t>
      </w:r>
      <w:r>
        <w:rPr>
          <w:b/>
          <w:bCs/>
        </w:rPr>
        <w:t xml:space="preserve">Related Documents</w:t>
      </w:r>
      <w:r>
        <w:t xml:space="preserve"> (Zugehörige Belege) den Stornobeleg prüfen (Schulung l).</w:t>
      </w:r>
    </w:p>
    <w:p>
      <w:pPr>
        <w:pBdr>
          <w:left w:val="single" w:color="BF8F00" w:sz="24" w:space="6"/>
        </w:pBdr>
        <w:shd w:fill="FFF2CC" w:color="auto" w:val="clear"/>
        <w:spacing w:after="120" w:before="120"/>
        <w:ind w:left="120" w:right="120"/>
      </w:pPr>
      <w:r>
        <w:rPr>
          <w:b/>
          <w:bCs/>
          <w:color w:val="BF8F00"/>
        </w:rPr>
        <w:t xml:space="preserve">Nicht in den Schulungsunterlagen – eigene SAP-Kenntnis: </w:t>
      </w:r>
      <w:r>
        <w:t xml:space="preserve">Welcher Stornogrund ein abweichendes Datum erlaubt, nennt die Schulung nicht konkret (sie verwendet Grund 03 „Storno (Neg.buch.) in laufender Periode" mit dem ursprünglichen Datum). Im SAP-Standard erlaubt Grund </w:t>
      </w:r>
      <w:r>
        <w:rPr>
          <w:b/>
          <w:bCs/>
        </w:rPr>
        <w:t xml:space="preserve">02</w:t>
      </w:r>
      <w:r>
        <w:t xml:space="preserve"> ein abweichendes Buchungsdatum – im IMG verifizieren. Die Periode des Stornodatums muss offen sein (</w:t>
      </w:r>
      <w:r>
        <w:rPr>
          <w:rFonts w:ascii="Consolas" w:cs="Consolas" w:eastAsia="Consolas" w:hAnsi="Consolas"/>
          <w:b/>
          <w:bCs/>
          <w:color w:val="1F4E79"/>
        </w:rPr>
        <w:t xml:space="preserve">OB52</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C_TS4FI – Klick-Lösung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400"/>
      </w:pPr>
    </w:lvl>
  </w:abstractNum>
  <w:abstractNum w:abstractNumId="3" w15:restartNumberingAfterBreak="0">
    <w:multiLevelType w:val="hybridMultilevel"/>
    <w:lvl w:ilvl="0" w15:tentative="1">
      <w:start w:val="1"/>
      <w:numFmt w:val="bullet"/>
      <w:lvlText w:val="–"/>
      <w:lvlJc w:val="left"/>
      <w:pPr>
        <w:ind w:left="1000" w:hanging="300"/>
      </w:pPr>
    </w:lvl>
  </w:abstractNum>
  <w:abstractNum w:abstractNumId="4"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F0AB00"/>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C_TS4FI – Klick-Lösung</dc:title>
  <dc:creator>Klick-Lösung C_TS4FI</dc:creator>
  <cp:lastModifiedBy>Un-named</cp:lastModifiedBy>
  <cp:revision>1</cp:revision>
  <dcterms:created xsi:type="dcterms:W3CDTF">2026-10-10T13:27:07.143Z</dcterms:created>
  <dcterms:modified xsi:type="dcterms:W3CDTF">2026-10-10T13:27:07.149Z</dcterms:modified>
</cp:coreProperties>
</file>

<file path=docProps/custom.xml><?xml version="1.0" encoding="utf-8"?>
<Properties xmlns="http://schemas.openxmlformats.org/officeDocument/2006/custom-properties" xmlns:vt="http://schemas.openxmlformats.org/officeDocument/2006/docPropsVTypes"/>
</file>