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png" ContentType="image/png"/>
  <Override PartName="/word/media/rId9.png" ContentType="image/png"/>
  <Override PartName="/word/media/rId29.png" ContentType="image/png"/>
  <Override PartName="/word/media/rId39.png" ContentType="image/png"/>
  <Override PartName="/word/media/rId3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 Leading Projects That Ship</w:t>
      </w:r>
    </w:p>
    <w:p>
      <w:pPr>
        <w:pStyle w:val="Compact"/>
        <w:numPr>
          <w:ilvl w:val="0"/>
          <w:numId w:val="1001"/>
        </w:numPr>
      </w:pPr>
      <w:r>
        <w:t xml:space="preserve">“Today is hands-on. You’ll scope, staff, stress-test and decide on a real AI project —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 live —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 that AI breaks.</w:t>
      </w:r>
    </w:p>
    <w:p>
      <w:pPr>
        <w:pStyle w:val="Compact"/>
        <w:numPr>
          <w:ilvl w:val="0"/>
          <w:numId w:val="1007"/>
        </w:numPr>
      </w:pPr>
      <w:r>
        <w:t xml:space="preserve">This is the new spine of the day. Walk the five contrasts that follow. Each one: the normal-project assumption → why AI breaks it →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 —</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w:t>
      </w:r>
      <w:r>
        <w:t xml:space="preserve">— it’s</w:t>
      </w:r>
      <w:r>
        <w:t xml:space="preserve"> </w:t>
      </w:r>
      <w:r>
        <w:t xml:space="preserve">‘it carries judgement a rival running the same model can’t get.’</w:t>
      </w:r>
    </w:p>
    <w:p>
      <w:r>
        <w:pict>
          <v:rect style="width:0;height:1.5pt" o:hralign="center" o:hrstd="t" o:hr="t"/>
        </w:pict>
      </w:r>
    </w:p>
    <w:bookmarkEnd w:id="24"/>
    <w:bookmarkStart w:id="25" w:name="the-five-differences"/>
    <w:p>
      <w:pPr>
        <w:pStyle w:val="Heading1"/>
      </w:pPr>
      <w:r>
        <w:t xml:space="preserve">The five differences</w:t>
      </w:r>
    </w:p>
    <w:p>
      <w:pPr>
        <w:pStyle w:val="Compact"/>
        <w:numPr>
          <w:ilvl w:val="0"/>
          <w:numId w:val="1013"/>
        </w:numPr>
      </w:pPr>
      <w:r>
        <w:rPr>
          <w:b/>
          <w:bCs/>
        </w:rPr>
        <w:t xml:space="preserve">“Done”</w:t>
      </w:r>
      <w:r>
        <w:rPr>
          <w:b/>
          <w:bCs/>
        </w:rPr>
        <w:t xml:space="preserve"> </w:t>
      </w:r>
      <w:r>
        <w:rPr>
          <w:b/>
          <w:bCs/>
        </w:rPr>
        <w:t xml:space="preserve">can’t be specified</w:t>
      </w:r>
      <w:r>
        <w:t xml:space="preserve"> </w:t>
      </w:r>
      <w:r>
        <w:t xml:space="preserve">→ manage a distribution, define</w:t>
      </w:r>
      <w:r>
        <w:t xml:space="preserve"> </w:t>
      </w:r>
      <w:r>
        <w:t xml:space="preserve">“good enough”</w:t>
      </w:r>
    </w:p>
    <w:p>
      <w:pPr>
        <w:pStyle w:val="Compact"/>
        <w:numPr>
          <w:ilvl w:val="0"/>
          <w:numId w:val="1013"/>
        </w:numPr>
      </w:pPr>
      <w:r>
        <w:rPr>
          <w:b/>
          <w:bCs/>
        </w:rPr>
        <w:t xml:space="preserve">The demo is a trap</w:t>
      </w:r>
      <w:r>
        <w:t xml:space="preserve"> </w:t>
      </w:r>
      <w:r>
        <w:t xml:space="preserve">→ progress is illusory</w:t>
      </w:r>
    </w:p>
    <w:p>
      <w:pPr>
        <w:pStyle w:val="Compact"/>
        <w:numPr>
          <w:ilvl w:val="0"/>
          <w:numId w:val="1013"/>
        </w:numPr>
      </w:pPr>
      <w:r>
        <w:rPr>
          <w:b/>
          <w:bCs/>
        </w:rPr>
        <w:t xml:space="preserve">Data is discovered, not specified</w:t>
      </w:r>
      <w:r>
        <w:t xml:space="preserve"> </w:t>
      </w:r>
      <w:r>
        <w:t xml:space="preserve">→ run it as organisational discovery</w:t>
      </w:r>
    </w:p>
    <w:p>
      <w:pPr>
        <w:pStyle w:val="Compact"/>
        <w:numPr>
          <w:ilvl w:val="0"/>
          <w:numId w:val="1013"/>
        </w:numPr>
      </w:pPr>
      <w:r>
        <w:rPr>
          <w:b/>
          <w:bCs/>
        </w:rPr>
        <w:t xml:space="preserve">Verification is the product</w:t>
      </w:r>
      <w:r>
        <w:t xml:space="preserve"> </w:t>
      </w:r>
      <w:r>
        <w:t xml:space="preserve">→ design where judgement lives</w:t>
      </w:r>
    </w:p>
    <w:p>
      <w:pPr>
        <w:pStyle w:val="Compact"/>
        <w:numPr>
          <w:ilvl w:val="0"/>
          <w:numId w:val="1013"/>
        </w:numPr>
      </w:pPr>
      <w:r>
        <w:rPr>
          <w:b/>
          <w:bCs/>
        </w:rPr>
        <w:t xml:space="preserve">Generic is the baseline</w:t>
      </w:r>
      <w:r>
        <w:t xml:space="preserve"> </w:t>
      </w:r>
      <w:r>
        <w:t xml:space="preserve">→ protect the human variation</w:t>
      </w:r>
    </w:p>
    <w:p>
      <w:pPr>
        <w:pStyle w:val="FirstParagraph"/>
      </w:pPr>
      <w:r>
        <w:rPr>
          <w:b/>
          <w:bCs/>
        </w:rPr>
        <w:t xml:space="preserve">Every PM tool you know still applies — but each one bends under these five forces. Today you learn the bend.</w:t>
      </w:r>
    </w:p>
    <w:p>
      <w:pPr>
        <w:pStyle w:val="Compact"/>
        <w:numPr>
          <w:ilvl w:val="0"/>
          <w:numId w:val="1014"/>
        </w:numPr>
      </w:pPr>
      <w:r>
        <w:t xml:space="preserve">This is the slide to photograph. It’s the whole intellectual spine on one page.</w:t>
      </w:r>
    </w:p>
    <w:p>
      <w:pPr>
        <w:pStyle w:val="Compact"/>
        <w:numPr>
          <w:ilvl w:val="0"/>
          <w:numId w:val="1014"/>
        </w:numPr>
      </w:pPr>
      <w:r>
        <w:t xml:space="preserve">Make the meta-point explicit:</w:t>
      </w:r>
      <w:r>
        <w:t xml:space="preserve"> </w:t>
      </w:r>
      <w:r>
        <w:t xml:space="preserve">“You already know roadmaps, risk registers, stakeholder maps. We’re not replacing them. We’re showing how AI distorts each one — and how to lead anyway.”</w:t>
      </w:r>
    </w:p>
    <w:p>
      <w:r>
        <w:pict>
          <v:rect style="width:0;height:1.5pt" o:hralign="center" o:hrstd="t" o:hr="t"/>
        </w:pict>
      </w:r>
    </w:p>
    <w:bookmarkEnd w:id="25"/>
    <w:bookmarkStart w:id="26" w:name="X24298ce81f02b9a1f37dc10124b81718a45d444"/>
    <w:p>
      <w:pPr>
        <w:pStyle w:val="Heading1"/>
      </w:pPr>
      <w:r>
        <w:t xml:space="preserve">A tool for the hardest call: when to trust AI</w:t>
      </w:r>
    </w:p>
    <w:p>
      <w:pPr>
        <w:pStyle w:val="FirstParagraph"/>
      </w:pPr>
      <w:r>
        <w:rPr>
          <w:b/>
          <w:bCs/>
        </w:rPr>
        <w:t xml:space="preserve">Average vs. Precise × Small vs. Large</w:t>
      </w:r>
    </w:p>
    <w:p>
      <w:pPr>
        <w:pStyle w:val="Compact"/>
        <w:numPr>
          <w:ilvl w:val="0"/>
          <w:numId w:val="1015"/>
        </w:numPr>
      </w:pPr>
      <w:r>
        <w:t xml:space="preserve">AI excels at</w:t>
      </w:r>
      <w:r>
        <w:t xml:space="preserve"> </w:t>
      </w:r>
      <w:r>
        <w:rPr>
          <w:b/>
          <w:bCs/>
        </w:rPr>
        <w:t xml:space="preserve">average</w:t>
      </w:r>
      <w:r>
        <w:t xml:space="preserve"> </w:t>
      </w:r>
      <w:r>
        <w:t xml:space="preserve">answers over</w:t>
      </w:r>
      <w:r>
        <w:t xml:space="preserve"> </w:t>
      </w:r>
      <w:r>
        <w:rPr>
          <w:b/>
          <w:bCs/>
        </w:rPr>
        <w:t xml:space="preserve">small</w:t>
      </w:r>
      <w:r>
        <w:t xml:space="preserve">, low-stakes work.</w:t>
      </w:r>
    </w:p>
    <w:p>
      <w:pPr>
        <w:pStyle w:val="Compact"/>
        <w:numPr>
          <w:ilvl w:val="0"/>
          <w:numId w:val="1015"/>
        </w:numPr>
      </w:pPr>
      <w:r>
        <w:t xml:space="preserve">It gets dangerous on</w:t>
      </w:r>
      <w:r>
        <w:t xml:space="preserve"> </w:t>
      </w:r>
      <w:r>
        <w:rPr>
          <w:b/>
          <w:bCs/>
        </w:rPr>
        <w:t xml:space="preserve">precise</w:t>
      </w:r>
      <w:r>
        <w:t xml:space="preserve"> </w:t>
      </w:r>
      <w:r>
        <w:t xml:space="preserve">answers and</w:t>
      </w:r>
      <w:r>
        <w:t xml:space="preserve"> </w:t>
      </w:r>
      <w:r>
        <w:rPr>
          <w:b/>
          <w:bCs/>
        </w:rPr>
        <w:t xml:space="preserve">large</w:t>
      </w:r>
      <w:r>
        <w:t xml:space="preserve">, high-stakes work.</w:t>
      </w:r>
    </w:p>
    <w:p>
      <w:pPr>
        <w:pStyle w:val="Compact"/>
        <w:numPr>
          <w:ilvl w:val="0"/>
          <w:numId w:val="1016"/>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6"/>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6"/>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6"/>
        </w:numPr>
      </w:pPr>
      <w:r>
        <w:t xml:space="preserve">michael-borck.github.io/conversation-not-delegation — point them here for</w:t>
      </w:r>
      <w:r>
        <w:t xml:space="preserve"> </w:t>
      </w:r>
      <w:r>
        <w:t xml:space="preserve">“go deeper.”</w:t>
      </w:r>
    </w:p>
    <w:p>
      <w:r>
        <w:pict>
          <v:rect style="width:0;height:1.5pt" o:hralign="center" o:hrstd="t" o:hr="t"/>
        </w:pict>
      </w:r>
    </w:p>
    <w:bookmarkEnd w:id="26"/>
    <w:bookmarkStart w:id="27" w:name="Xa545ba784854e9aff3091f97b38898a58961ea8"/>
    <w:p>
      <w:pPr>
        <w:pStyle w:val="Heading1"/>
      </w:pPr>
      <w:r>
        <w:t xml:space="preserve">Live: meet RetailFlow’s staff — and watch one fail</w:t>
      </w:r>
    </w:p>
    <w:p>
      <w:pPr>
        <w:pStyle w:val="FirstParagraph"/>
      </w:pPr>
      <w:r>
        <w:rPr>
          <w:b/>
          <w:bCs/>
        </w:rPr>
        <w:t xml:space="preserve">Watch what happens when I ask it something it doesn’t actually know.</w:t>
      </w:r>
    </w:p>
    <w:p>
      <w:pPr>
        <w:pStyle w:val="Compact"/>
        <w:numPr>
          <w:ilvl w:val="0"/>
          <w:numId w:val="1017"/>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7"/>
        </w:numPr>
      </w:pPr>
      <w:r>
        <w:t xml:space="preserve">“That’s Difference 1 and Difference 2 in your hand. It’s fluent. It’s confident. It’s wrong. Now imagine that in front of a customer — or in your board pack.”</w:t>
      </w:r>
    </w:p>
    <w:p>
      <w:pPr>
        <w:pStyle w:val="Compact"/>
        <w:numPr>
          <w:ilvl w:val="0"/>
          <w:numId w:val="1017"/>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7"/>
        </w:numPr>
      </w:pPr>
      <w:r>
        <w:t xml:space="preserve">Fallback if bots aren’t live: use a screenshot/recording of the same exchange, or do it on any public model with a RetailFlow-style question.</w:t>
      </w:r>
    </w:p>
    <w:p>
      <w:r>
        <w:pict>
          <v:rect style="width:0;height:1.5pt" o:hralign="center" o:hrstd="t" o:hr="t"/>
        </w:pict>
      </w:r>
    </w:p>
    <w:bookmarkEnd w:id="27"/>
    <w:bookmarkStart w:id="28"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 without the predictable failures.</w:t>
      </w:r>
    </w:p>
    <w:p>
      <w:pPr>
        <w:pStyle w:val="Compact"/>
        <w:numPr>
          <w:ilvl w:val="0"/>
          <w:numId w:val="1018"/>
        </w:numPr>
      </w:pPr>
      <w:r>
        <w:t xml:space="preserve">Realistic, fictional Australian fashion &amp; homewares retailer. We use it all day.</w:t>
      </w:r>
    </w:p>
    <w:p>
      <w:pPr>
        <w:pStyle w:val="Compact"/>
        <w:numPr>
          <w:ilvl w:val="0"/>
          <w:numId w:val="1018"/>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8"/>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8"/>
        </w:numPr>
      </w:pPr>
      <w:r>
        <w:t xml:space="preserve">“Your stakeholders are down the hall — Emma the Managing Director, Marcus the CIO, Priya in data, David in finance, Tom in customer service. You’ll talk to them this afternoon.”</w:t>
      </w:r>
    </w:p>
    <w:p>
      <w:r>
        <w:pict>
          <v:rect style="width:0;height:1.5pt" o:hralign="center" o:hrstd="t" o:hr="t"/>
        </w:pict>
      </w:r>
    </w:p>
    <w:bookmarkEnd w:id="28"/>
    <w:bookmarkStart w:id="32" w:name="sprint-1-scope-it-against-reality"/>
    <w:p>
      <w:pPr>
        <w:pStyle w:val="Heading1"/>
      </w:pPr>
      <w:r>
        <w:t xml:space="preserve">Sprint 1 — Scope it against reality</w:t>
      </w:r>
    </w:p>
    <w:p>
      <w:pPr>
        <w:pStyle w:val="FirstParagraph"/>
      </w:pPr>
      <w:r>
        <w:drawing>
          <wp:inline>
            <wp:extent cx="5334000" cy="5334000"/>
            <wp:effectExtent b="0" l="0" r="0" t="0"/>
            <wp:docPr descr="" title="" id="30" name="Picture"/>
            <a:graphic>
              <a:graphicData uri="http://schemas.openxmlformats.org/drawingml/2006/picture">
                <pic:pic>
                  <pic:nvPicPr>
                    <pic:cNvPr descr="./images/pilot-program.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9"/>
        </w:numPr>
      </w:pPr>
      <w:r>
        <w:t xml:space="preserve">Each group gets its assigned initiative card.</w:t>
      </w:r>
    </w:p>
    <w:p>
      <w:pPr>
        <w:pStyle w:val="Compact"/>
        <w:numPr>
          <w:ilvl w:val="0"/>
          <w:numId w:val="1019"/>
        </w:numPr>
      </w:pPr>
      <w:r>
        <w:t xml:space="preserve">Task: produce scoped objectives, data requirements, and a defined</w:t>
      </w:r>
      <w:r>
        <w:t xml:space="preserve"> </w:t>
      </w:r>
      <w:r>
        <w:t xml:space="preserve">“good enough”</w:t>
      </w:r>
      <w:r>
        <w:t xml:space="preserve"> </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9"/>
        </w:numPr>
      </w:pPr>
      <w:r>
        <w:t xml:space="preserve">The deliberate tension: Marcus pushes speed and ambition; Priya gives realistic, data-grounded timelines. Your scope is the reconciliation.</w:t>
      </w:r>
    </w:p>
    <w:p>
      <w:pPr>
        <w:pStyle w:val="Compact"/>
        <w:numPr>
          <w:ilvl w:val="0"/>
          <w:numId w:val="1019"/>
        </w:numPr>
      </w:pPr>
      <w:r>
        <w:t xml:space="preserve">Live bots: groups interview Marcus and Priya. Text-persona fallback: hand out their profiles as briefing cards and have groups interrogate them on paper.</w:t>
      </w:r>
    </w:p>
    <w:p>
      <w:pPr>
        <w:pStyle w:val="Compact"/>
        <w:numPr>
          <w:ilvl w:val="0"/>
          <w:numId w:val="1019"/>
        </w:numPr>
      </w:pPr>
      <w:r>
        <w:t xml:space="preserve">60 min work + debrief. Use a visible timer (prior feedback: tighten pacing).</w:t>
      </w:r>
    </w:p>
    <w:p>
      <w:r>
        <w:pict>
          <v:rect style="width:0;height:1.5pt" o:hralign="center" o:hrstd="t" o:hr="t"/>
        </w:pict>
      </w:r>
    </w:p>
    <w:bookmarkEnd w:id="32"/>
    <w:bookmarkStart w:id="36" w:name="sprint-2-stakeholders-human-in-the-loop"/>
    <w:p>
      <w:pPr>
        <w:pStyle w:val="Heading1"/>
      </w:pPr>
      <w:r>
        <w:t xml:space="preserve">Sprint 2 — Stakeholders &amp; human-in-the-loop</w:t>
      </w:r>
    </w:p>
    <w:p>
      <w:pPr>
        <w:pStyle w:val="FirstParagraph"/>
      </w:pPr>
      <w:r>
        <w:drawing>
          <wp:inline>
            <wp:extent cx="5334000" cy="5334000"/>
            <wp:effectExtent b="0" l="0" r="0" t="0"/>
            <wp:docPr descr="" title="" id="34" name="Picture"/>
            <a:graphic>
              <a:graphicData uri="http://schemas.openxmlformats.org/drawingml/2006/picture">
                <pic:pic>
                  <pic:nvPicPr>
                    <pic:cNvPr descr="./images/speed-dat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20"/>
        </w:numPr>
      </w:pPr>
      <w:r>
        <w:t xml:space="preserve">This is Difference 4 made concrete. Output: a stakeholder plan + a human-in-the-loop checkpoint design.</w:t>
      </w:r>
    </w:p>
    <w:p>
      <w:pPr>
        <w:pStyle w:val="Compact"/>
        <w:numPr>
          <w:ilvl w:val="0"/>
          <w:numId w:val="1020"/>
        </w:numPr>
      </w:pPr>
      <w:r>
        <w:t xml:space="preserve">Emma = board pressure and the promise made. Tom = the frontline team that gets automated. David = ROI and the go/no-go criteria.</w:t>
      </w:r>
    </w:p>
    <w:p>
      <w:pPr>
        <w:pStyle w:val="Compact"/>
        <w:numPr>
          <w:ilvl w:val="0"/>
          <w:numId w:val="1020"/>
        </w:numPr>
      </w:pPr>
      <w:r>
        <w:t xml:space="preserve">The two inserts (next slides) land right here, on Tom’s team.</w:t>
      </w:r>
    </w:p>
    <w:p>
      <w:pPr>
        <w:pStyle w:val="Compact"/>
        <w:numPr>
          <w:ilvl w:val="0"/>
          <w:numId w:val="1020"/>
        </w:numPr>
      </w:pPr>
      <w:r>
        <w:t xml:space="preserve">Add the design prompt: for each checkpoint, name who actually has the expertise to evaluate the output —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36"/>
    <w:bookmarkStart w:id="37" w:name="X2c60c4f1948088900a8ff6a45f087f2cf20ab0d"/>
    <w:p>
      <w:pPr>
        <w:pStyle w:val="Heading1"/>
      </w:pPr>
      <w:r>
        <w:t xml:space="preserve">Your experienced people are your AI advantage</w:t>
      </w:r>
    </w:p>
    <w:p>
      <w:pPr>
        <w:pStyle w:val="Compact"/>
        <w:numPr>
          <w:ilvl w:val="0"/>
          <w:numId w:val="1021"/>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21"/>
        </w:numPr>
      </w:pPr>
      <w:r>
        <w:t xml:space="preserve">Juniors often become</w:t>
      </w:r>
      <w:r>
        <w:t xml:space="preserve"> </w:t>
      </w:r>
      <w:r>
        <w:rPr>
          <w:b/>
          <w:bCs/>
        </w:rPr>
        <w:t xml:space="preserve">conduits</w:t>
      </w:r>
      <w:r>
        <w:t xml:space="preserve"> </w:t>
      </w:r>
      <w:r>
        <w:t xml:space="preserve">— passing on fluent, polished AI output without the context to know it’s wrong.</w:t>
      </w:r>
    </w:p>
    <w:p>
      <w:pPr>
        <w:pStyle w:val="Compact"/>
        <w:numPr>
          <w:ilvl w:val="0"/>
          <w:numId w:val="1021"/>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21"/>
        </w:numPr>
      </w:pPr>
      <w:r>
        <w:rPr>
          <w:b/>
          <w:bCs/>
        </w:rPr>
        <w:t xml:space="preserve">So:</w:t>
      </w:r>
      <w:r>
        <w:t xml:space="preserve"> </w:t>
      </w:r>
      <w:r>
        <w:t xml:space="preserve">human-in-the-loop is a</w:t>
      </w:r>
      <w:r>
        <w:t xml:space="preserve"> </w:t>
      </w:r>
      <w:r>
        <w:rPr>
          <w:i/>
          <w:iCs/>
        </w:rPr>
        <w:t xml:space="preserve">judgement</w:t>
      </w:r>
      <w:r>
        <w:t xml:space="preserve"> </w:t>
      </w:r>
      <w:r>
        <w:t xml:space="preserve">role — and judgement is unevenly distributed across your team. Staff your checkpoints accordingly.</w:t>
      </w:r>
    </w:p>
    <w:p>
      <w:pPr>
        <w:pStyle w:val="Compact"/>
        <w:numPr>
          <w:ilvl w:val="0"/>
          <w:numId w:val="1022"/>
        </w:numPr>
      </w:pPr>
      <w:r>
        <w:t xml:space="preserve">(Friday insert A.) This defuses AI anxiety: most of the room is experienced, and their experience is the asset, not the liability.</w:t>
      </w:r>
    </w:p>
    <w:p>
      <w:pPr>
        <w:pStyle w:val="Compact"/>
        <w:numPr>
          <w:ilvl w:val="0"/>
          <w:numId w:val="1022"/>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37"/>
    <w:bookmarkStart w:id="38" w:name="Xad51a3f67c0fff356891dbb474147e155afab63"/>
    <w:p>
      <w:pPr>
        <w:pStyle w:val="Heading1"/>
      </w:pPr>
      <w:r>
        <w:t xml:space="preserve">The second-order cost of the productivity win</w:t>
      </w:r>
    </w:p>
    <w:p>
      <w:pPr>
        <w:pStyle w:val="Compact"/>
        <w:numPr>
          <w:ilvl w:val="0"/>
          <w:numId w:val="1023"/>
        </w:numPr>
      </w:pPr>
      <w:r>
        <w:t xml:space="preserve">Experts were forged through</w:t>
      </w:r>
      <w:r>
        <w:t xml:space="preserve"> </w:t>
      </w:r>
      <w:r>
        <w:rPr>
          <w:b/>
          <w:bCs/>
        </w:rPr>
        <w:t xml:space="preserve">grunt work</w:t>
      </w:r>
      <w:r>
        <w:t xml:space="preserve"> </w:t>
      </w:r>
      <w:r>
        <w:t xml:space="preserve">— the repetitive tasks delegated to juniors. That work was where judgement got built.</w:t>
      </w:r>
    </w:p>
    <w:p>
      <w:pPr>
        <w:pStyle w:val="Compact"/>
        <w:numPr>
          <w:ilvl w:val="0"/>
          <w:numId w:val="1023"/>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3"/>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3"/>
        </w:numPr>
      </w:pPr>
      <w:r>
        <w:t xml:space="preserve">A genuine</w:t>
      </w:r>
      <w:r>
        <w:t xml:space="preserve"> </w:t>
      </w:r>
      <w:r>
        <w:rPr>
          <w:b/>
          <w:bCs/>
        </w:rPr>
        <w:t xml:space="preserve">Catch-22</w:t>
      </w:r>
      <w:r>
        <w:t xml:space="preserve">: short-term delivery speed vs. long-term team capability.</w:t>
      </w:r>
    </w:p>
    <w:p>
      <w:pPr>
        <w:pStyle w:val="Compact"/>
        <w:numPr>
          <w:ilvl w:val="0"/>
          <w:numId w:val="1024"/>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4"/>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4"/>
        </w:numPr>
      </w:pPr>
      <w:r>
        <w:t xml:space="preserve">Tie to the workshop: when groups design checkpoints, mark which ones also build capability.</w:t>
      </w:r>
    </w:p>
    <w:p>
      <w:pPr>
        <w:pStyle w:val="Compact"/>
        <w:numPr>
          <w:ilvl w:val="0"/>
          <w:numId w:val="1024"/>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38"/>
    <w:bookmarkStart w:id="42" w:name="sprint-3-roadmap-risk-the-gono-go-call"/>
    <w:p>
      <w:pPr>
        <w:pStyle w:val="Heading1"/>
      </w:pPr>
      <w:r>
        <w:t xml:space="preserve">Sprint 3 — Roadmap, risk &amp; the go/no-go call</w:t>
      </w:r>
    </w:p>
    <w:p>
      <w:pPr>
        <w:pStyle w:val="FirstParagraph"/>
      </w:pPr>
      <w:r>
        <w:drawing>
          <wp:inline>
            <wp:extent cx="5334000" cy="1720829"/>
            <wp:effectExtent b="0" l="0" r="0" t="0"/>
            <wp:docPr descr="" title="" id="40" name="Picture"/>
            <a:graphic>
              <a:graphicData uri="http://schemas.openxmlformats.org/drawingml/2006/picture">
                <pic:pic>
                  <pic:nvPicPr>
                    <pic:cNvPr descr="./images/scale-pivot-kill-decision-tree.png" id="41" name="Picture"/>
                    <pic:cNvPicPr>
                      <a:picLocks noChangeArrowheads="1" noChangeAspect="1"/>
                    </pic:cNvPicPr>
                  </pic:nvPicPr>
                  <pic:blipFill>
                    <a:blip r:embed="rId39"/>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 or change it.</w:t>
      </w:r>
    </w:p>
    <w:p>
      <w:pPr>
        <w:pStyle w:val="Compact"/>
        <w:numPr>
          <w:ilvl w:val="0"/>
          <w:numId w:val="1025"/>
        </w:numPr>
      </w:pPr>
      <w:r>
        <w:t xml:space="preserve">Output: delivery roadmap with go/no-go gates, a risk register, and a pilot-to-production path.</w:t>
      </w:r>
    </w:p>
    <w:p>
      <w:pPr>
        <w:pStyle w:val="Compact"/>
        <w:numPr>
          <w:ilvl w:val="0"/>
          <w:numId w:val="1025"/>
        </w:numPr>
      </w:pPr>
      <w:r>
        <w:t xml:space="preserve">Stress-test 1: the bots push back (</w:t>
      </w:r>
      <w:r>
        <w:t xml:space="preserve">“you promised the board this by Q3”</w:t>
      </w:r>
      <w:r>
        <w:t xml:space="preserve">). Stress-test 2: inject a crisis (data-quality / team-resistance / executive-pressure) and have them respond with DDCD — Diagnose → Decide → Communicate → Document.</w:t>
      </w:r>
    </w:p>
    <w:p>
      <w:pPr>
        <w:pStyle w:val="Compact"/>
        <w:numPr>
          <w:ilvl w:val="0"/>
          <w:numId w:val="1025"/>
        </w:numPr>
      </w:pPr>
      <w:r>
        <w:t xml:space="preserve">At the first gate, force the call: SCALE / PIVOT / KILL, defended with evidence. Reinforce: killing a bad project early is success, not failure.</w:t>
      </w:r>
    </w:p>
    <w:p>
      <w:pPr>
        <w:pStyle w:val="Compact"/>
        <w:numPr>
          <w:ilvl w:val="0"/>
          <w:numId w:val="1025"/>
        </w:numPr>
      </w:pPr>
      <w:r>
        <w:t xml:space="preserve">This is where the demo-to-production gap (Difference 2) bites — the gates exist because progress is illusory.</w:t>
      </w:r>
    </w:p>
    <w:p>
      <w:r>
        <w:pict>
          <v:rect style="width:0;height:1.5pt" o:hralign="center" o:hrstd="t" o:hr="t"/>
        </w:pict>
      </w:r>
    </w:p>
    <w:bookmarkEnd w:id="42"/>
    <w:bookmarkStart w:id="43" w:name="Xd2c157dff4bccea45e55036fe4cb2e7e35386d3"/>
    <w:p>
      <w:pPr>
        <w:pStyle w:val="Heading1"/>
      </w:pPr>
      <w:r>
        <w:t xml:space="preserve">DDCD — leading through the inevitable crisis</w:t>
      </w:r>
    </w:p>
    <w:p>
      <w:pPr>
        <w:pStyle w:val="FirstParagraph"/>
      </w:pPr>
      <w:r>
        <w:rPr>
          <w:b/>
          <w:bCs/>
        </w:rPr>
        <w:t xml:space="preserve">Diagnose → Decide → Communicate → Document</w:t>
      </w:r>
    </w:p>
    <w:p>
      <w:pPr>
        <w:pStyle w:val="Compact"/>
        <w:numPr>
          <w:ilvl w:val="0"/>
          <w:numId w:val="1026"/>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6"/>
        </w:numPr>
      </w:pPr>
      <w:r>
        <w:t xml:space="preserve">Decide under uncertainty. Communicate to the right stakeholder. Document the call and why.</w:t>
      </w:r>
    </w:p>
    <w:p>
      <w:pPr>
        <w:pStyle w:val="Compact"/>
        <w:numPr>
          <w:ilvl w:val="0"/>
          <w:numId w:val="1027"/>
        </w:numPr>
      </w:pPr>
      <w:r>
        <w:t xml:space="preserve">Keep the proven crisis framework —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7"/>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3"/>
    <w:bookmarkStart w:id="44"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8"/>
        </w:numPr>
      </w:pPr>
      <w:r>
        <w:t xml:space="preserve">The closing frame. Return to Difference 5 and make it personal to the plan they just built.</w:t>
      </w:r>
    </w:p>
    <w:p>
      <w:pPr>
        <w:pStyle w:val="Compact"/>
        <w:numPr>
          <w:ilvl w:val="0"/>
          <w:numId w:val="1028"/>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 where you kept a human, what you refused to automate, the taste you protected.”</w:t>
      </w:r>
    </w:p>
    <w:p>
      <w:pPr>
        <w:pStyle w:val="Compact"/>
        <w:numPr>
          <w:ilvl w:val="0"/>
          <w:numId w:val="1028"/>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44"/>
    <w:bookmarkStart w:id="51" w:name="your-action-plan"/>
    <w:p>
      <w:pPr>
        <w:pStyle w:val="Heading1"/>
      </w:pPr>
      <w:r>
        <w:t xml:space="preserve">Your Action Plan</w:t>
      </w:r>
    </w:p>
    <w:p>
      <w:pPr>
        <w:pStyle w:val="FirstParagraph"/>
      </w:pPr>
      <w:r>
        <w:drawing>
          <wp:inline>
            <wp:extent cx="5334000" cy="5334000"/>
            <wp:effectExtent b="0" l="0" r="0" t="0"/>
            <wp:docPr descr="" title="" id="46" name="Picture"/>
            <a:graphic>
              <a:graphicData uri="http://schemas.openxmlformats.org/drawingml/2006/picture">
                <pic:pic>
                  <pic:nvPicPr>
                    <pic:cNvPr descr="./images/action-plan-growth-trajectory.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 one thing you’ll do differently.</w:t>
      </w:r>
      <w:r>
        <w:t xml:space="preserve"> </w:t>
      </w:r>
      <w:r>
        <w:rPr>
          <w:b/>
          <w:bCs/>
        </w:rPr>
        <w:t xml:space="preserve">This month</w:t>
      </w:r>
      <w:r>
        <w:t xml:space="preserve"> </w:t>
      </w:r>
      <w:r>
        <w:t xml:space="preserve">— one thing you’ll change.</w:t>
      </w:r>
      <w:r>
        <w:t xml:space="preserve"> </w:t>
      </w:r>
      <w:r>
        <w:rPr>
          <w:b/>
          <w:bCs/>
        </w:rPr>
        <w:t xml:space="preserve">This quarter</w:t>
      </w:r>
      <w:r>
        <w:t xml:space="preserve"> </w:t>
      </w:r>
      <w:r>
        <w:t xml:space="preserve">— one thing you’ll transform.</w:t>
      </w:r>
    </w:p>
    <w:p>
      <w:pPr>
        <w:pStyle w:val="Compact"/>
        <w:numPr>
          <w:ilvl w:val="0"/>
          <w:numId w:val="1029"/>
        </w:numPr>
      </w:pPr>
      <w:r>
        <w:t xml:space="preserve">Make it personal and small. One concrete commitment with a defined</w:t>
      </w:r>
      <w:r>
        <w:t xml:space="preserve"> </w:t>
      </w:r>
      <w:r>
        <w:t xml:space="preserve">“what good looks like.”</w:t>
      </w:r>
    </w:p>
    <w:p>
      <w:pPr>
        <w:pStyle w:val="Compact"/>
        <w:numPr>
          <w:ilvl w:val="0"/>
          <w:numId w:val="1029"/>
        </w:numPr>
      </w:pPr>
      <w:r>
        <w:t xml:space="preserve">Required for CRL — have them complete it thoughtfully before they leave.</w:t>
      </w:r>
    </w:p>
    <w:p>
      <w:pPr>
        <w:pStyle w:val="Compact"/>
        <w:numPr>
          <w:ilvl w:val="0"/>
          <w:numId w:val="1029"/>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49" name="Picture"/>
            <a:graphic>
              <a:graphicData uri="http://schemas.openxmlformats.org/drawingml/2006/picture">
                <pic:pic>
                  <pic:nvPicPr>
                    <pic:cNvPr descr="./images/QR-Code-Feedback.png" id="50" name="Picture"/>
                    <pic:cNvPicPr>
                      <a:picLocks noChangeArrowheads="1" noChangeAspect="1"/>
                    </pic:cNvPicPr>
                  </pic:nvPicPr>
                  <pic:blipFill>
                    <a:blip r:embed="rId48"/>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 michael.borck@curtin.edu.au</w:t>
      </w:r>
    </w:p>
    <w:p>
      <w:pPr>
        <w:pStyle w:val="Compact"/>
        <w:numPr>
          <w:ilvl w:val="0"/>
          <w:numId w:val="1030"/>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30"/>
        </w:numPr>
      </w:pPr>
      <w:r>
        <w:t xml:space="preserve">“Please take 3–4 minutes for feedback — it genuinely shapes the next iteration.”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2026-06-23T02:36:33Z</dcterms:created>
  <dcterms:modified xsi:type="dcterms:W3CDTF">2026-06-23T02:36:33Z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