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Michael Borck, AI Facilitator, School of Management and Marketing, Curtin University</w:t>
      </w:r>
    </w:p>
    <w:p>
      <w:pPr>
        <w:pStyle w:val="Date"/>
      </w:pPr>
      <w:r>
        <w:t xml:space="preserve">February 2026</w:t>
      </w:r>
    </w:p>
    <w:bookmarkStart w:id="21" w:name="X25697078c04b5edfa95fa4cbe3cad4736a5b7fe"/>
    <w:p>
      <w:pPr>
        <w:pStyle w:val="Heading1"/>
      </w:pPr>
      <w:r>
        <w:t xml:space="preserve">AI Audit Assessment Rubric - Specific Example</w:t>
      </w:r>
    </w:p>
    <w:bookmarkStart w:id="9" w:name="cloudcore-information-security-audit"/>
    <w:p>
      <w:pPr>
        <w:pStyle w:val="Heading2"/>
      </w:pPr>
      <w:r>
        <w:t xml:space="preserve">(CloudCore Information Security Audit)</w:t>
      </w:r>
    </w:p>
    <w:p>
      <w:pPr>
        <w:pStyle w:val="BlockText"/>
      </w:pPr>
      <w:r>
        <w:rPr>
          <w:b/>
          <w:bCs/>
        </w:rPr>
        <w:t xml:space="preserve">Copyright Notice:</w:t>
      </w:r>
      <w:r>
        <w:t xml:space="preserve"> </w:t>
      </w:r>
      <w:r>
        <w:t xml:space="preserve">This document and all materials in this suite are authored by Michael Borck (AI Facilitator, School of Management and Marketing, Curtin University). They are provided for use within Curtin University. External distribution, reproduction, or use outside Curtin University requires explicit written permission.</w:t>
      </w:r>
    </w:p>
    <w:p>
      <w:pPr>
        <w:pStyle w:val="FirstParagraph"/>
      </w:pPr>
      <w:r>
        <w:rPr>
          <w:b/>
          <w:bCs/>
        </w:rPr>
        <w:t xml:space="preserve">Context:</w:t>
      </w:r>
      <w:r>
        <w:t xml:space="preserve"> </w:t>
      </w:r>
      <w:r>
        <w:t xml:space="preserve">Students conduct an audit of a simulated AI-driven organization by interacting with AI</w:t>
      </w:r>
      <w:r>
        <w:t xml:space="preserve"> </w:t>
      </w:r>
      <w:r>
        <w:t xml:space="preserve">“employees”</w:t>
      </w:r>
      <w:r>
        <w:t xml:space="preserve"> </w:t>
      </w:r>
      <w:r>
        <w:t xml:space="preserve">(chatbots) and using LLMs as research tools. This rubric balances investigation quality, critical AI evaluation, and professional reporting.</w:t>
      </w:r>
    </w:p>
    <w:p>
      <w:r>
        <w:pict>
          <v:rect style="width:0;height:1.5pt" o:hralign="center" o:hrstd="t" o:hr="t"/>
        </w:pict>
      </w:r>
    </w:p>
    <w:bookmarkEnd w:id="9"/>
    <w:bookmarkStart w:id="10" w:name="cloudcore-audit-rubric"/>
    <w:p>
      <w:pPr>
        <w:pStyle w:val="Heading2"/>
      </w:pPr>
      <w:r>
        <w:t xml:space="preserve">CloudCore Audit Rubric</w:t>
      </w:r>
    </w:p>
    <w:tbl>
      <w:tblPr>
        <w:tblStyle w:val="Table"/>
        <w:tblW w:type="pct" w:w="5000"/>
        <w:tblLayout w:type="fixed"/>
        <w:tblLook w:firstRow="1" w:lastRow="0" w:firstColumn="0" w:lastColumn="0" w:noHBand="0" w:noVBand="0" w:val="0020"/>
      </w:tblPr>
      <w:tblGrid>
        <w:gridCol w:w="1405"/>
        <w:gridCol w:w="1021"/>
        <w:gridCol w:w="1405"/>
        <w:gridCol w:w="766"/>
        <w:gridCol w:w="1788"/>
        <w:gridCol w:w="1532"/>
      </w:tblGrid>
      <w:tr>
        <w:trPr>
          <w:tblHeader w:val="on"/>
        </w:trPr>
        <w:tc>
          <w:tcPr/>
          <w:p>
            <w:pPr>
              <w:pStyle w:val="Compact"/>
            </w:pPr>
            <w:r>
              <w:t xml:space="preserve">Criterion</w:t>
            </w:r>
          </w:p>
        </w:tc>
        <w:tc>
          <w:tcPr/>
          <w:p>
            <w:pPr>
              <w:pStyle w:val="Compact"/>
            </w:pPr>
            <w:r>
              <w:t xml:space="preserve">Weight</w:t>
            </w:r>
          </w:p>
        </w:tc>
        <w:tc>
          <w:tcPr/>
          <w:p>
            <w:pPr>
              <w:pStyle w:val="Compact"/>
            </w:pPr>
            <w:r>
              <w:t xml:space="preserve">Excellent</w:t>
            </w:r>
          </w:p>
        </w:tc>
        <w:tc>
          <w:tcPr/>
          <w:p>
            <w:pPr>
              <w:pStyle w:val="Compact"/>
            </w:pPr>
            <w:r>
              <w:t xml:space="preserve">Good</w:t>
            </w:r>
          </w:p>
        </w:tc>
        <w:tc>
          <w:tcPr/>
          <w:p>
            <w:pPr>
              <w:pStyle w:val="Compact"/>
            </w:pPr>
            <w:r>
              <w:t xml:space="preserve">Satisfactory</w:t>
            </w:r>
          </w:p>
        </w:tc>
        <w:tc>
          <w:tcPr/>
          <w:p>
            <w:pPr>
              <w:pStyle w:val="Compact"/>
            </w:pPr>
            <w:r>
              <w:t xml:space="preserve">Developing</w:t>
            </w:r>
          </w:p>
        </w:tc>
      </w:tr>
      <w:tr>
        <w:tc>
          <w:tcPr/>
          <w:p>
            <w:pPr>
              <w:pStyle w:val="Compact"/>
            </w:pPr>
            <w:r>
              <w:rPr>
                <w:b/>
                <w:bCs/>
              </w:rPr>
              <w:t xml:space="preserve">Critical Evaluation of AI Sources</w:t>
            </w:r>
          </w:p>
        </w:tc>
        <w:tc>
          <w:tcPr/>
          <w:p>
            <w:pPr>
              <w:pStyle w:val="Compact"/>
            </w:pPr>
            <w:r>
              <w:t xml:space="preserve">30%</w:t>
            </w:r>
          </w:p>
        </w:tc>
        <w:tc>
          <w:tcPr/>
          <w:p>
            <w:pPr>
              <w:pStyle w:val="Compact"/>
            </w:pPr>
            <w:r>
              <w:t xml:space="preserve">Demonstrates sophisticated judgment about different AI</w:t>
            </w:r>
            <w:r>
              <w:t xml:space="preserve"> </w:t>
            </w:r>
            <w:r>
              <w:t xml:space="preserve">“employees.”</w:t>
            </w:r>
            <w:r>
              <w:t xml:space="preserve"> </w:t>
            </w:r>
            <w:r>
              <w:t xml:space="preserve">Clearly explains which sources are reliable for different questions and why. Questions inconsistencies between AI responses. Validates findings through multiple sources or independent verification. Recognizes AI speculation vs. factual responses.</w:t>
            </w:r>
          </w:p>
        </w:tc>
        <w:tc>
          <w:tcPr/>
          <w:p>
            <w:pPr>
              <w:pStyle w:val="Compact"/>
            </w:pPr>
            <w:r>
              <w:t xml:space="preserve">Shows good discernment among AI employees. Generally identifies which sources are stronger for different topics. Attempts to cross-reference findings. Recognizes some AI limitations.</w:t>
            </w:r>
          </w:p>
        </w:tc>
        <w:tc>
          <w:tcPr/>
          <w:p>
            <w:pPr>
              <w:pStyle w:val="Compact"/>
            </w:pPr>
            <w:r>
              <w:t xml:space="preserve">Engages with multiple AI employees but evaluation is surface-level. Limited comparison between sources. Accepts contradictions without investigation. Minimal awareness of AI unreliability.</w:t>
            </w:r>
          </w:p>
        </w:tc>
        <w:tc>
          <w:tcPr/>
          <w:p>
            <w:pPr>
              <w:pStyle w:val="Compact"/>
            </w:pPr>
            <w:r>
              <w:t xml:space="preserve">Treats all AI employees as equally reliable. No attempt to validate information across sources. Accepts AI responses uncritically.</w:t>
            </w:r>
          </w:p>
        </w:tc>
      </w:tr>
      <w:tr>
        <w:tc>
          <w:tcPr/>
          <w:p>
            <w:pPr>
              <w:pStyle w:val="Compact"/>
            </w:pPr>
            <w:r>
              <w:rPr>
                <w:b/>
                <w:bCs/>
              </w:rPr>
              <w:t xml:space="preserve">Audit Investigation Strategy &amp; Execution</w:t>
            </w:r>
          </w:p>
        </w:tc>
        <w:tc>
          <w:tcPr/>
          <w:p>
            <w:pPr>
              <w:pStyle w:val="Compact"/>
            </w:pPr>
            <w:r>
              <w:t xml:space="preserve">25%</w:t>
            </w:r>
          </w:p>
        </w:tc>
        <w:tc>
          <w:tcPr/>
          <w:p>
            <w:pPr>
              <w:pStyle w:val="Compact"/>
            </w:pPr>
            <w:r>
              <w:t xml:space="preserve">Investigation plan is systematic and adaptive. Clear evidence of strategic sequencing of AI interviews (e.g., starting with CFO for financials, then IT Manager for technical risks). Responds creatively to access constraints and cancellations. Shows persistence in clarifying unclear answers. Iterative refinement visible.</w:t>
            </w:r>
          </w:p>
        </w:tc>
        <w:tc>
          <w:tcPr/>
          <w:p>
            <w:pPr>
              <w:pStyle w:val="Compact"/>
            </w:pPr>
            <w:r>
              <w:t xml:space="preserve">Investigation follows a logical structure. Manages scheduled appointments effectively. Asks follow-up questions when unclear. Generally adapts to constraints. Some evidence of iterative inquiry.</w:t>
            </w:r>
          </w:p>
        </w:tc>
        <w:tc>
          <w:tcPr/>
          <w:p>
            <w:pPr>
              <w:pStyle w:val="Compact"/>
            </w:pPr>
            <w:r>
              <w:t xml:space="preserve">Investigation covers main areas but lacks clear strategy. Accepts initial AI responses without deep follow-up. Limited adaptation to access challenges. Feels somewhat ad-hoc.</w:t>
            </w:r>
          </w:p>
        </w:tc>
        <w:tc>
          <w:tcPr/>
          <w:p>
            <w:pPr>
              <w:pStyle w:val="Compact"/>
            </w:pPr>
            <w:r>
              <w:t xml:space="preserve">Investigation is disorganized or incomplete. Minimal engagement with access scheduling. Key areas unexplored or surface-level inquiry.</w:t>
            </w:r>
          </w:p>
        </w:tc>
      </w:tr>
      <w:tr>
        <w:tc>
          <w:tcPr/>
          <w:p>
            <w:pPr>
              <w:pStyle w:val="Compact"/>
            </w:pPr>
            <w:r>
              <w:rPr>
                <w:b/>
                <w:bCs/>
              </w:rPr>
              <w:t xml:space="preserve">Professional Use of LLM as Research Tool</w:t>
            </w:r>
          </w:p>
        </w:tc>
        <w:tc>
          <w:tcPr/>
          <w:p>
            <w:pPr>
              <w:pStyle w:val="Compact"/>
            </w:pPr>
            <w:r>
              <w:t xml:space="preserve">20%</w:t>
            </w:r>
          </w:p>
        </w:tc>
        <w:tc>
          <w:tcPr/>
          <w:p>
            <w:pPr>
              <w:pStyle w:val="Compact"/>
            </w:pPr>
            <w:r>
              <w:t xml:space="preserve">Critically reviews LLM outputs before integrating into audit. Clearly distinguishes own analysis from AI-generated content. Uses LLM strategically (e.g., drafting frameworks, checking logic) rather than passively accepting output. Shows evidence of multiple prompts/refinement. Acknowledges where LLM was helpful or speculative.</w:t>
            </w:r>
          </w:p>
        </w:tc>
        <w:tc>
          <w:tcPr/>
          <w:p>
            <w:pPr>
              <w:pStyle w:val="Compact"/>
            </w:pPr>
            <w:r>
              <w:t xml:space="preserve">Generally validates LLM suggestions against evidence. Most AI outputs are appropriately reviewed. Clear attribution of own vs. AI work. Some evidence of iterative prompting.</w:t>
            </w:r>
          </w:p>
        </w:tc>
        <w:tc>
          <w:tcPr/>
          <w:p>
            <w:pPr>
              <w:pStyle w:val="Compact"/>
            </w:pPr>
            <w:r>
              <w:t xml:space="preserve">Integrates LLM output with limited critical review. Attribution of sources is sometimes unclear. Limited evidence of validation or iterative refinement.</w:t>
            </w:r>
          </w:p>
        </w:tc>
        <w:tc>
          <w:tcPr/>
          <w:p>
            <w:pPr>
              <w:pStyle w:val="Compact"/>
            </w:pPr>
            <w:r>
              <w:t xml:space="preserve">Heavily relies on unvalidated LLM output. No clear distinction between own and AI-generated content. Minimal critical review.</w:t>
            </w:r>
          </w:p>
        </w:tc>
      </w:tr>
      <w:tr>
        <w:tc>
          <w:tcPr/>
          <w:p>
            <w:pPr>
              <w:pStyle w:val="Compact"/>
            </w:pPr>
            <w:r>
              <w:rPr>
                <w:b/>
                <w:bCs/>
              </w:rPr>
              <w:t xml:space="preserve">Audit Report: Professional Communication</w:t>
            </w:r>
          </w:p>
        </w:tc>
        <w:tc>
          <w:tcPr/>
          <w:p>
            <w:pPr>
              <w:pStyle w:val="Compact"/>
            </w:pPr>
            <w:r>
              <w:t xml:space="preserve">15%</w:t>
            </w:r>
          </w:p>
        </w:tc>
        <w:tc>
          <w:tcPr/>
          <w:p>
            <w:pPr>
              <w:pStyle w:val="Compact"/>
            </w:pPr>
            <w:r>
              <w:t xml:space="preserve">Report is clear, well-structured, and professionally formatted. Complex security findings are explained accessibly to non-technical stakeholders. Recommendations are specific and justified. Transparent about methodology (how AI was used, limitations encountered).</w:t>
            </w:r>
          </w:p>
        </w:tc>
        <w:tc>
          <w:tcPr/>
          <w:p>
            <w:pPr>
              <w:pStyle w:val="Compact"/>
            </w:pPr>
            <w:r>
              <w:t xml:space="preserve">Report is well-organized and clearly written. Findings are generally well-explained. Recommendations are reasonable. Mentions methodology but could be more transparent.</w:t>
            </w:r>
          </w:p>
        </w:tc>
        <w:tc>
          <w:tcPr/>
          <w:p>
            <w:pPr>
              <w:pStyle w:val="Compact"/>
            </w:pPr>
            <w:r>
              <w:t xml:space="preserve">Report covers main findings but organization could be clearer. Some findings lack sufficient justification. Recommendations are general. Limited transparency about AI use in methodology.</w:t>
            </w:r>
          </w:p>
        </w:tc>
        <w:tc>
          <w:tcPr/>
          <w:p>
            <w:pPr>
              <w:pStyle w:val="Compact"/>
            </w:pPr>
            <w:r>
              <w:t xml:space="preserve">Report is difficult to follow or incomplete. Findings poorly explained. Recommendations are vague or unjustified. No mention of methodology or AI use.</w:t>
            </w:r>
          </w:p>
        </w:tc>
      </w:tr>
      <w:tr>
        <w:tc>
          <w:tcPr/>
          <w:p>
            <w:pPr>
              <w:pStyle w:val="Compact"/>
            </w:pPr>
            <w:r>
              <w:rPr>
                <w:b/>
                <w:bCs/>
              </w:rPr>
              <w:t xml:space="preserve">Quality of AI Interaction &amp; Professional Judgment</w:t>
            </w:r>
          </w:p>
        </w:tc>
        <w:tc>
          <w:tcPr/>
          <w:p>
            <w:pPr>
              <w:pStyle w:val="Compact"/>
            </w:pPr>
            <w:r>
              <w:t xml:space="preserve">10%</w:t>
            </w:r>
          </w:p>
        </w:tc>
        <w:tc>
          <w:tcPr/>
          <w:p>
            <w:pPr>
              <w:pStyle w:val="Compact"/>
            </w:pPr>
            <w:r>
              <w:t xml:space="preserve">Conversation transcripts show sophisticated engagement: targeted follow-up questions with AI employees, iterative refinement of prompts to LLMs, challenging of AI assumptions, and deliberate steering of conversations toward audit-relevant information. Student clearly drives all interactions. Takes clear accountability for final audit conclusions.</w:t>
            </w:r>
          </w:p>
        </w:tc>
        <w:tc>
          <w:tcPr/>
          <w:p>
            <w:pPr>
              <w:pStyle w:val="Compact"/>
            </w:pPr>
            <w:r>
              <w:t xml:space="preserve">Transcripts show competent interaction with AI employees and LLMs. Evidence of follow-up questions and some refinement. Student generally guides conversations and pushes back when needed. Generally accountable for work product.</w:t>
            </w:r>
          </w:p>
        </w:tc>
        <w:tc>
          <w:tcPr/>
          <w:p>
            <w:pPr>
              <w:pStyle w:val="Compact"/>
            </w:pPr>
            <w:r>
              <w:t xml:space="preserve">Transcripts show basic interaction with limited follow-up. Conversations tend toward single exchanges rather than iterative engagement. Limited evidence of steering or challenging AI responses. Accountability is somewhat unclear.</w:t>
            </w:r>
          </w:p>
        </w:tc>
        <w:tc>
          <w:tcPr/>
          <w:p>
            <w:pPr>
              <w:pStyle w:val="Compact"/>
            </w:pPr>
            <w:r>
              <w:t xml:space="preserve">Transcripts show minimal engagement — brief, surface-level exchanges with no follow-up or challenge. Conversations are purely extractive. Unclear who is responsible for audit conclusions.</w:t>
            </w:r>
          </w:p>
        </w:tc>
      </w:tr>
    </w:tbl>
    <w:p>
      <w:r>
        <w:pict>
          <v:rect style="width:0;height:1.5pt" o:hralign="center" o:hrstd="t" o:hr="t"/>
        </w:pict>
      </w:r>
    </w:p>
    <w:bookmarkEnd w:id="10"/>
    <w:bookmarkStart w:id="15" w:name="X95203d3e4bd80e3061dbd39dcedb816ae59d353"/>
    <w:p>
      <w:pPr>
        <w:pStyle w:val="Heading2"/>
      </w:pPr>
      <w:r>
        <w:t xml:space="preserve">Performance Level Descriptors (Optional - if you want more detail)</w:t>
      </w:r>
    </w:p>
    <w:bookmarkStart w:id="11" w:name="excellent-85-100"/>
    <w:p>
      <w:pPr>
        <w:pStyle w:val="Heading3"/>
      </w:pPr>
      <w:r>
        <w:t xml:space="preserve">Excellent (85-100%)</w:t>
      </w:r>
    </w:p>
    <w:p>
      <w:pPr>
        <w:pStyle w:val="Compact"/>
        <w:numPr>
          <w:ilvl w:val="0"/>
          <w:numId w:val="1001"/>
        </w:numPr>
      </w:pPr>
      <w:r>
        <w:t xml:space="preserve">Student demonstrates sophisticated professional judgment about which AI sources are credible for different investigation areas</w:t>
      </w:r>
    </w:p>
    <w:p>
      <w:pPr>
        <w:pStyle w:val="Compact"/>
        <w:numPr>
          <w:ilvl w:val="0"/>
          <w:numId w:val="1001"/>
        </w:numPr>
      </w:pPr>
      <w:r>
        <w:t xml:space="preserve">Audit strategy is evident and strategic; clear sequencing of inquiry</w:t>
      </w:r>
    </w:p>
    <w:p>
      <w:pPr>
        <w:pStyle w:val="Compact"/>
        <w:numPr>
          <w:ilvl w:val="0"/>
          <w:numId w:val="1001"/>
        </w:numPr>
      </w:pPr>
      <w:r>
        <w:t xml:space="preserve">All AI outputs are meaningfully evaluated; student shows independent reasoning throughout</w:t>
      </w:r>
    </w:p>
    <w:p>
      <w:pPr>
        <w:pStyle w:val="Compact"/>
        <w:numPr>
          <w:ilvl w:val="0"/>
          <w:numId w:val="1001"/>
        </w:numPr>
      </w:pPr>
      <w:r>
        <w:t xml:space="preserve">Report would be valuable to actual security leadership</w:t>
      </w:r>
    </w:p>
    <w:p>
      <w:pPr>
        <w:pStyle w:val="Compact"/>
        <w:numPr>
          <w:ilvl w:val="0"/>
          <w:numId w:val="1001"/>
        </w:numPr>
      </w:pPr>
      <w:r>
        <w:t xml:space="preserve">Conversation transcripts show genuine intellectual engagement — iterative questioning, challenging, and steering of AI interactions</w:t>
      </w:r>
    </w:p>
    <w:bookmarkEnd w:id="11"/>
    <w:bookmarkStart w:id="12" w:name="good-75-84"/>
    <w:p>
      <w:pPr>
        <w:pStyle w:val="Heading3"/>
      </w:pPr>
      <w:r>
        <w:t xml:space="preserve">Good (75-84%)</w:t>
      </w:r>
    </w:p>
    <w:p>
      <w:pPr>
        <w:pStyle w:val="Compact"/>
        <w:numPr>
          <w:ilvl w:val="0"/>
          <w:numId w:val="1002"/>
        </w:numPr>
      </w:pPr>
      <w:r>
        <w:t xml:space="preserve">Student shows competent judgment about AI reliability; identifies key differences between sources</w:t>
      </w:r>
    </w:p>
    <w:p>
      <w:pPr>
        <w:pStyle w:val="Compact"/>
        <w:numPr>
          <w:ilvl w:val="0"/>
          <w:numId w:val="1002"/>
        </w:numPr>
      </w:pPr>
      <w:r>
        <w:t xml:space="preserve">Investigation is reasonably strategic and organized</w:t>
      </w:r>
    </w:p>
    <w:p>
      <w:pPr>
        <w:pStyle w:val="Compact"/>
        <w:numPr>
          <w:ilvl w:val="0"/>
          <w:numId w:val="1002"/>
        </w:numPr>
      </w:pPr>
      <w:r>
        <w:t xml:space="preserve">Most AI outputs are reviewed; some independent analysis visible</w:t>
      </w:r>
    </w:p>
    <w:p>
      <w:pPr>
        <w:pStyle w:val="Compact"/>
        <w:numPr>
          <w:ilvl w:val="0"/>
          <w:numId w:val="1002"/>
        </w:numPr>
      </w:pPr>
      <w:r>
        <w:t xml:space="preserve">Report is professionally written and would be useful to stakeholders</w:t>
      </w:r>
    </w:p>
    <w:p>
      <w:pPr>
        <w:pStyle w:val="Compact"/>
        <w:numPr>
          <w:ilvl w:val="0"/>
          <w:numId w:val="1002"/>
        </w:numPr>
      </w:pPr>
      <w:r>
        <w:t xml:space="preserve">Transcripts show competent interaction with evidence of follow-up and refinement</w:t>
      </w:r>
    </w:p>
    <w:bookmarkEnd w:id="12"/>
    <w:bookmarkStart w:id="13" w:name="satisfactory-65-74"/>
    <w:p>
      <w:pPr>
        <w:pStyle w:val="Heading3"/>
      </w:pPr>
      <w:r>
        <w:t xml:space="preserve">Satisfactory (65-74%)</w:t>
      </w:r>
    </w:p>
    <w:p>
      <w:pPr>
        <w:pStyle w:val="Compact"/>
        <w:numPr>
          <w:ilvl w:val="0"/>
          <w:numId w:val="1003"/>
        </w:numPr>
      </w:pPr>
      <w:r>
        <w:t xml:space="preserve">Student engages with AI but evaluation lacks sophistication; treats sources somewhat generically</w:t>
      </w:r>
    </w:p>
    <w:p>
      <w:pPr>
        <w:pStyle w:val="Compact"/>
        <w:numPr>
          <w:ilvl w:val="0"/>
          <w:numId w:val="1003"/>
        </w:numPr>
      </w:pPr>
      <w:r>
        <w:t xml:space="preserve">Investigation covers main areas but strategy is not always clear</w:t>
      </w:r>
    </w:p>
    <w:p>
      <w:pPr>
        <w:pStyle w:val="Compact"/>
        <w:numPr>
          <w:ilvl w:val="0"/>
          <w:numId w:val="1003"/>
        </w:numPr>
      </w:pPr>
      <w:r>
        <w:t xml:space="preserve">AI outputs are sometimes accepted with limited review</w:t>
      </w:r>
    </w:p>
    <w:p>
      <w:pPr>
        <w:pStyle w:val="Compact"/>
        <w:numPr>
          <w:ilvl w:val="0"/>
          <w:numId w:val="1003"/>
        </w:numPr>
      </w:pPr>
      <w:r>
        <w:t xml:space="preserve">Report communicates findings but could be more polished</w:t>
      </w:r>
    </w:p>
    <w:p>
      <w:pPr>
        <w:pStyle w:val="Compact"/>
        <w:numPr>
          <w:ilvl w:val="0"/>
          <w:numId w:val="1003"/>
        </w:numPr>
      </w:pPr>
      <w:r>
        <w:t xml:space="preserve">Transcripts show basic interaction with limited iterative engagement</w:t>
      </w:r>
    </w:p>
    <w:bookmarkEnd w:id="13"/>
    <w:bookmarkStart w:id="14" w:name="developing-65"/>
    <w:p>
      <w:pPr>
        <w:pStyle w:val="Heading3"/>
      </w:pPr>
      <w:r>
        <w:t xml:space="preserve">Developing (&lt;65%)</w:t>
      </w:r>
    </w:p>
    <w:p>
      <w:pPr>
        <w:pStyle w:val="Compact"/>
        <w:numPr>
          <w:ilvl w:val="0"/>
          <w:numId w:val="1004"/>
        </w:numPr>
      </w:pPr>
      <w:r>
        <w:t xml:space="preserve">Student does not meaningfully evaluate AI reliability; little critical engagement</w:t>
      </w:r>
    </w:p>
    <w:p>
      <w:pPr>
        <w:pStyle w:val="Compact"/>
        <w:numPr>
          <w:ilvl w:val="0"/>
          <w:numId w:val="1004"/>
        </w:numPr>
      </w:pPr>
      <w:r>
        <w:t xml:space="preserve">Investigation is incomplete or disorganized; key areas missing</w:t>
      </w:r>
    </w:p>
    <w:p>
      <w:pPr>
        <w:pStyle w:val="Compact"/>
        <w:numPr>
          <w:ilvl w:val="0"/>
          <w:numId w:val="1004"/>
        </w:numPr>
      </w:pPr>
      <w:r>
        <w:t xml:space="preserve">AI outputs heavily influence conclusions with minimal independent review</w:t>
      </w:r>
    </w:p>
    <w:p>
      <w:pPr>
        <w:pStyle w:val="Compact"/>
        <w:numPr>
          <w:ilvl w:val="0"/>
          <w:numId w:val="1004"/>
        </w:numPr>
      </w:pPr>
      <w:r>
        <w:t xml:space="preserve">Report is unclear or incomplete</w:t>
      </w:r>
    </w:p>
    <w:p>
      <w:pPr>
        <w:pStyle w:val="Compact"/>
        <w:numPr>
          <w:ilvl w:val="0"/>
          <w:numId w:val="1004"/>
        </w:numPr>
      </w:pPr>
      <w:r>
        <w:t xml:space="preserve">Transcripts show minimal engagement — surface-level exchanges with no follow-up</w:t>
      </w:r>
    </w:p>
    <w:p>
      <w:r>
        <w:pict>
          <v:rect style="width:0;height:1.5pt" o:hralign="center" o:hrstd="t" o:hr="t"/>
        </w:pict>
      </w:r>
    </w:p>
    <w:bookmarkEnd w:id="14"/>
    <w:bookmarkEnd w:id="15"/>
    <w:bookmarkStart w:id="19" w:name="usage-notes-for-instructors"/>
    <w:p>
      <w:pPr>
        <w:pStyle w:val="Heading2"/>
      </w:pPr>
      <w:r>
        <w:t xml:space="preserve">Usage Notes for Instructors</w:t>
      </w:r>
    </w:p>
    <w:bookmarkStart w:id="16" w:name="before-students-start"/>
    <w:p>
      <w:pPr>
        <w:pStyle w:val="Heading3"/>
      </w:pPr>
      <w:r>
        <w:t xml:space="preserve">Before Students Start</w:t>
      </w:r>
    </w:p>
    <w:p>
      <w:pPr>
        <w:pStyle w:val="Compact"/>
        <w:numPr>
          <w:ilvl w:val="0"/>
          <w:numId w:val="1005"/>
        </w:numPr>
      </w:pPr>
      <w:r>
        <w:t xml:space="preserve">Clearly explain that this rubric rewards</w:t>
      </w:r>
      <w:r>
        <w:t xml:space="preserve"> </w:t>
      </w:r>
      <w:r>
        <w:rPr>
          <w:i/>
          <w:iCs/>
        </w:rPr>
        <w:t xml:space="preserve">the quality of AI conversation</w:t>
      </w:r>
      <w:r>
        <w:t xml:space="preserve">, not just efficient tool use</w:t>
      </w:r>
    </w:p>
    <w:p>
      <w:pPr>
        <w:pStyle w:val="Compact"/>
        <w:numPr>
          <w:ilvl w:val="0"/>
          <w:numId w:val="1005"/>
        </w:numPr>
      </w:pPr>
      <w:r>
        <w:t xml:space="preserve">Emphasize that asking good follow-up questions of AI employees (and the LLM) is an evaluated skill</w:t>
      </w:r>
    </w:p>
    <w:p>
      <w:pPr>
        <w:pStyle w:val="Compact"/>
        <w:numPr>
          <w:ilvl w:val="0"/>
          <w:numId w:val="1005"/>
        </w:numPr>
      </w:pPr>
      <w:r>
        <w:t xml:space="preserve">Require submission of raw, unedited conversation transcripts — these are the primary evidence</w:t>
      </w:r>
    </w:p>
    <w:p>
      <w:pPr>
        <w:pStyle w:val="Compact"/>
        <w:numPr>
          <w:ilvl w:val="0"/>
          <w:numId w:val="1005"/>
        </w:numPr>
      </w:pPr>
      <w:r>
        <w:t xml:space="preserve">Explain the</w:t>
      </w:r>
      <w:r>
        <w:t xml:space="preserve"> </w:t>
      </w:r>
      <w:r>
        <w:t xml:space="preserve">“conversation, not delegation”</w:t>
      </w:r>
      <w:r>
        <w:t xml:space="preserve"> </w:t>
      </w:r>
      <w:r>
        <w:t xml:space="preserve">principle: even students who try to shortcut this process learn by engaging with what good questions look like</w:t>
      </w:r>
    </w:p>
    <w:bookmarkEnd w:id="16"/>
    <w:bookmarkStart w:id="17" w:name="marking-tips"/>
    <w:p>
      <w:pPr>
        <w:pStyle w:val="Heading3"/>
      </w:pPr>
      <w:r>
        <w:t xml:space="preserve">Marking Tips</w:t>
      </w:r>
    </w:p>
    <w:p>
      <w:pPr>
        <w:pStyle w:val="Compact"/>
        <w:numPr>
          <w:ilvl w:val="0"/>
          <w:numId w:val="1006"/>
        </w:numPr>
      </w:pPr>
      <w:r>
        <w:rPr>
          <w:b/>
          <w:bCs/>
        </w:rPr>
        <w:t xml:space="preserve">Read the conversation transcripts first:</w:t>
      </w:r>
      <w:r>
        <w:t xml:space="preserve"> </w:t>
      </w:r>
      <w:r>
        <w:t xml:space="preserve">Can you see iterative questioning, pushback, and steering?</w:t>
      </w:r>
    </w:p>
    <w:p>
      <w:pPr>
        <w:pStyle w:val="Compact"/>
        <w:numPr>
          <w:ilvl w:val="0"/>
          <w:numId w:val="1006"/>
        </w:numPr>
      </w:pPr>
      <w:r>
        <w:rPr>
          <w:b/>
          <w:bCs/>
        </w:rPr>
        <w:t xml:space="preserve">Check LLM transcripts:</w:t>
      </w:r>
      <w:r>
        <w:t xml:space="preserve"> </w:t>
      </w:r>
      <w:r>
        <w:t xml:space="preserve">Does the student refine prompts, challenge outputs, and ask follow-ups — or just accept first responses?</w:t>
      </w:r>
    </w:p>
    <w:p>
      <w:pPr>
        <w:pStyle w:val="Compact"/>
        <w:numPr>
          <w:ilvl w:val="0"/>
          <w:numId w:val="1006"/>
        </w:numPr>
      </w:pPr>
      <w:r>
        <w:rPr>
          <w:b/>
          <w:bCs/>
        </w:rPr>
        <w:t xml:space="preserve">Look for conversation patterns:</w:t>
      </w:r>
      <w:r>
        <w:t xml:space="preserve"> </w:t>
      </w:r>
      <w:r>
        <w:t xml:space="preserve">Genuine engagement shows iteration, direction changes, and targeted follow-ups; passive use shows single prompts with accepted outputs</w:t>
      </w:r>
    </w:p>
    <w:p>
      <w:pPr>
        <w:pStyle w:val="Compact"/>
        <w:numPr>
          <w:ilvl w:val="0"/>
          <w:numId w:val="1006"/>
        </w:numPr>
      </w:pPr>
      <w:r>
        <w:rPr>
          <w:b/>
          <w:bCs/>
        </w:rPr>
        <w:t xml:space="preserve">Consider disciplinary context:</w:t>
      </w:r>
      <w:r>
        <w:t xml:space="preserve"> </w:t>
      </w:r>
      <w:r>
        <w:t xml:space="preserve">Stronger audit findings in security areas = stronger performance, but quality of AI interaction matters most</w:t>
      </w:r>
    </w:p>
    <w:bookmarkEnd w:id="17"/>
    <w:bookmarkStart w:id="18" w:name="adapted-for-other-audit-contexts"/>
    <w:p>
      <w:pPr>
        <w:pStyle w:val="Heading3"/>
      </w:pPr>
      <w:r>
        <w:t xml:space="preserve">Adapted for Other Audit Contexts</w:t>
      </w:r>
    </w:p>
    <w:p>
      <w:pPr>
        <w:pStyle w:val="FirstParagraph"/>
      </w:pPr>
      <w:r>
        <w:t xml:space="preserve">This rubric works well for:</w:t>
      </w:r>
      <w:r>
        <w:t xml:space="preserve"> </w:t>
      </w:r>
      <w:r>
        <w:t xml:space="preserve">- ISO 27001 readiness audits</w:t>
      </w:r>
      <w:r>
        <w:t xml:space="preserve"> </w:t>
      </w:r>
      <w:r>
        <w:t xml:space="preserve">- Tech vendor assessments</w:t>
      </w:r>
      <w:r>
        <w:t xml:space="preserve"> </w:t>
      </w:r>
      <w:r>
        <w:t xml:space="preserve">- Process efficiency reviews</w:t>
      </w:r>
      <w:r>
        <w:t xml:space="preserve"> </w:t>
      </w:r>
      <w:r>
        <w:t xml:space="preserve">- Any scenario where students interview AI agents and synthesize findings</w:t>
      </w:r>
    </w:p>
    <w:p>
      <w:pPr>
        <w:pStyle w:val="BodyText"/>
      </w:pPr>
      <w:r>
        <w:t xml:space="preserve">Simply adjust the specific domain knowledge criterion and the types of findings expected.</w:t>
      </w:r>
    </w:p>
    <w:p>
      <w:r>
        <w:pict>
          <v:rect style="width:0;height:1.5pt" o:hralign="center" o:hrstd="t" o:hr="t"/>
        </w:pict>
      </w:r>
    </w:p>
    <w:bookmarkEnd w:id="18"/>
    <w:bookmarkEnd w:id="19"/>
    <w:bookmarkStart w:id="20" w:name="alignment-with-your-video-script-themes"/>
    <w:p>
      <w:pPr>
        <w:pStyle w:val="Heading2"/>
      </w:pPr>
      <w:r>
        <w:t xml:space="preserve">Alignment with Your Video Script Themes</w:t>
      </w:r>
    </w:p>
    <w:p>
      <w:pPr>
        <w:pStyle w:val="FirstParagraph"/>
      </w:pPr>
      <w:r>
        <w:t xml:space="preserve">This rubric directly reflects Dr. Borck’s pedagogical approach:</w:t>
      </w:r>
      <w:r>
        <w:t xml:space="preserve"> </w:t>
      </w:r>
      <w:r>
        <w:t xml:space="preserve">- ✓</w:t>
      </w:r>
      <w:r>
        <w:t xml:space="preserve"> </w:t>
      </w:r>
      <w:r>
        <w:t xml:space="preserve">“Conversation, not delegation”</w:t>
      </w:r>
      <w:r>
        <w:t xml:space="preserve"> </w:t>
      </w:r>
      <w:r>
        <w:t xml:space="preserve">— the AI interaction itself is the evidence of thinking</w:t>
      </w:r>
      <w:r>
        <w:t xml:space="preserve"> </w:t>
      </w:r>
      <w:r>
        <w:t xml:space="preserve">- ✓ Values critical evaluation of AI outputs over acceptance</w:t>
      </w:r>
      <w:r>
        <w:t xml:space="preserve"> </w:t>
      </w:r>
      <w:r>
        <w:t xml:space="preserve">- ✓ Rewards adaptive responses to realistic constraints (scheduling, cancellations)</w:t>
      </w:r>
      <w:r>
        <w:t xml:space="preserve"> </w:t>
      </w:r>
      <w:r>
        <w:t xml:space="preserve">- ✓ Emphasizes process and thinking, not just outcomes</w:t>
      </w:r>
      <w:r>
        <w:t xml:space="preserve"> </w:t>
      </w:r>
      <w:r>
        <w:t xml:space="preserve">- ✓ Assesses conversation quality through transcript evidence, not self-reported reflection</w:t>
      </w:r>
      <w:r>
        <w:t xml:space="preserve"> </w:t>
      </w:r>
      <w:r>
        <w:t xml:space="preserve">- ✓ Frames AI use as a professional skill (not shortcuts)</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 Borck, AI Facilitator, School of Management and Marketing, Curtin University</dc:creator>
  <cp:keywords/>
  <dcterms:created xsi:type="dcterms:W3CDTF">2026-02-20T18:48:53Z</dcterms:created>
  <dcterms:modified xsi:type="dcterms:W3CDTF">2026-02-20T18:48:53Z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 2026 Michael Borck. All rights reserved.</vt:lpwstr>
  </property>
  <property fmtid="{D5CDD505-2E9C-101B-9397-08002B2CF9AE}" pid="3" name="date">
    <vt:lpwstr>February 2026</vt:lpwstr>
  </property>
</Properties>
</file>