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NBF Grant Application 2026</w:t>
      </w:r>
    </w:p>
    <w:p>
      <w:pPr>
        <w:pStyle w:val="Subtitle"/>
      </w:pPr>
      <w:r>
        <w:t xml:space="preserve">Application Draft - Version 6.0, March 2026</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Scaffolding AI Interaction: A Low-Cost Intervention for Equitable Student Engagement</w:t>
            </w:r>
          </w:p>
        </w:tc>
      </w:tr>
      <w:tr>
        <w:tc>
          <w:tcPr/>
          <w:p>
            <w:pPr>
              <w:pStyle w:val="Compact"/>
            </w:pPr>
            <w:r>
              <w:rPr>
                <w:b/>
                <w:bCs/>
              </w:rPr>
              <w:t xml:space="preserve">Lead Applicant</w:t>
            </w:r>
          </w:p>
        </w:tc>
        <w:tc>
          <w:tcPr/>
          <w:p>
            <w:pPr>
              <w:pStyle w:val="Compact"/>
            </w:pPr>
            <w:r>
              <w:t xml:space="preserve">Michael Borck, Lecturer, School of Marketing and Management (SoMM)</w:t>
            </w:r>
          </w:p>
        </w:tc>
      </w:tr>
      <w:tr>
        <w:tc>
          <w:tcPr/>
          <w:p>
            <w:pPr>
              <w:pStyle w:val="Compact"/>
            </w:pPr>
            <w:r>
              <w:rPr>
                <w:b/>
                <w:bCs/>
              </w:rPr>
              <w:t xml:space="preserve">Co-Investigators</w:t>
            </w:r>
          </w:p>
        </w:tc>
        <w:tc>
          <w:tcPr/>
          <w:p>
            <w:pPr>
              <w:pStyle w:val="Compact"/>
            </w:pPr>
            <w:r>
              <w:t xml:space="preserve">Dr Marcela Moraes, Lecturer, School of Marketing and Management (SoMM) [contribution TBC - pending confirmation]</w:t>
            </w:r>
          </w:p>
        </w:tc>
      </w:tr>
      <w:tr>
        <w:tc>
          <w:tcPr/>
          <w:p>
            <w:pPr>
              <w:pStyle w:val="Compact"/>
            </w:pPr>
          </w:p>
        </w:tc>
        <w:tc>
          <w:tcPr/>
          <w:p>
            <w:pPr>
              <w:pStyle w:val="Compact"/>
            </w:pPr>
            <w:r>
              <w:t xml:space="preserve">Dr Torsten Reiners, Senior Lecturer in Supply Chain Management, SoMM [contribution TBC - pending confirmation]</w:t>
            </w:r>
          </w:p>
        </w:tc>
      </w:tr>
      <w:tr>
        <w:tc>
          <w:tcPr/>
          <w:p>
            <w:pPr>
              <w:pStyle w:val="Compact"/>
            </w:pPr>
            <w:r>
              <w:rPr>
                <w:b/>
                <w:bCs/>
              </w:rPr>
              <w:t xml:space="preserve">Faculty / School</w:t>
            </w:r>
          </w:p>
        </w:tc>
        <w:tc>
          <w:tcPr/>
          <w:p>
            <w:pPr>
              <w:pStyle w:val="Compact"/>
            </w:pPr>
            <w:r>
              <w:t xml:space="preserve">Faculty of Business and Law / School of Marketing and Management</w:t>
            </w:r>
          </w:p>
        </w:tc>
      </w:tr>
      <w:tr>
        <w:tc>
          <w:tcPr/>
          <w:p>
            <w:pPr>
              <w:pStyle w:val="Compact"/>
            </w:pPr>
            <w:r>
              <w:rPr>
                <w:b/>
                <w:bCs/>
              </w:rPr>
              <w:t xml:space="preserve">Participating Units</w:t>
            </w:r>
          </w:p>
        </w:tc>
        <w:tc>
          <w:tcPr/>
          <w:p>
            <w:pPr>
              <w:pStyle w:val="Compact"/>
            </w:pPr>
            <w:r>
              <w:t xml:space="preserve">ISYS6018 Information Security Audit and Control (IS, lead unit, ~50 students)</w:t>
            </w:r>
          </w:p>
        </w:tc>
      </w:tr>
      <w:tr>
        <w:tc>
          <w:tcPr/>
          <w:p>
            <w:pPr>
              <w:pStyle w:val="Compact"/>
            </w:pPr>
          </w:p>
        </w:tc>
        <w:tc>
          <w:tcPr/>
          <w:p>
            <w:pPr>
              <w:pStyle w:val="Compact"/>
            </w:pPr>
            <w:r>
              <w:t xml:space="preserve">MGMT6076 Supply Chain Digitalisation and Innovation (SCM, ~30 students)</w:t>
            </w:r>
          </w:p>
        </w:tc>
      </w:tr>
      <w:tr>
        <w:tc>
          <w:tcPr/>
          <w:p>
            <w:pPr>
              <w:pStyle w:val="Compact"/>
            </w:pPr>
          </w:p>
        </w:tc>
        <w:tc>
          <w:tcPr/>
          <w:p>
            <w:pPr>
              <w:pStyle w:val="Compact"/>
            </w:pPr>
            <w:r>
              <w:t xml:space="preserve">MKTG1000 Discovering Marketing (Marketing, ~220 students)</w:t>
            </w:r>
          </w:p>
        </w:tc>
      </w:tr>
      <w:tr>
        <w:tc>
          <w:tcPr/>
          <w:p>
            <w:pPr>
              <w:pStyle w:val="Compact"/>
            </w:pPr>
            <w:r>
              <w:rPr>
                <w:b/>
                <w:bCs/>
              </w:rPr>
              <w:t xml:space="preserve">Amount Requested</w:t>
            </w:r>
          </w:p>
        </w:tc>
        <w:tc>
          <w:tcPr/>
          <w:p>
            <w:pPr>
              <w:pStyle w:val="Compact"/>
            </w:pPr>
            <w:r>
              <w:t xml:space="preserve">AUD $20,000</w:t>
            </w:r>
          </w:p>
        </w:tc>
      </w:tr>
      <w:tr>
        <w:tc>
          <w:tcPr/>
          <w:p>
            <w:pPr>
              <w:pStyle w:val="Compact"/>
            </w:pPr>
            <w:r>
              <w:rPr>
                <w:b/>
                <w:bCs/>
              </w:rPr>
              <w:t xml:space="preserve">Project Period</w:t>
            </w:r>
          </w:p>
        </w:tc>
        <w:tc>
          <w:tcPr/>
          <w:p>
            <w:pPr>
              <w:pStyle w:val="Compact"/>
            </w:pPr>
            <w:r>
              <w:t xml:space="preserve">Semester 1 2026 - Semester 1 2027</w:t>
            </w:r>
          </w:p>
        </w:tc>
      </w:tr>
      <w:tr>
        <w:tc>
          <w:tcPr/>
          <w:p>
            <w:pPr>
              <w:pStyle w:val="Compact"/>
            </w:pPr>
            <w:r>
              <w:rPr>
                <w:b/>
                <w:bCs/>
              </w:rPr>
              <w:t xml:space="preserve">Reporting Deadline</w:t>
            </w:r>
          </w:p>
        </w:tc>
        <w:tc>
          <w:tcPr/>
          <w:p>
            <w:pPr>
              <w:pStyle w:val="Compact"/>
            </w:pPr>
            <w:r>
              <w:t xml:space="preserve">Semester 1 2027</w:t>
            </w:r>
          </w:p>
        </w:tc>
      </w:tr>
      <w:tr>
        <w:tc>
          <w:tcPr/>
          <w:p>
            <w:pPr>
              <w:pStyle w:val="Compact"/>
            </w:pPr>
            <w:r>
              <w:rPr>
                <w:b/>
                <w:bCs/>
              </w:rPr>
              <w:t xml:space="preserve">Ethics Status</w:t>
            </w:r>
          </w:p>
        </w:tc>
        <w:tc>
          <w:tcPr/>
          <w:p>
            <w:pPr>
              <w:pStyle w:val="Compact"/>
            </w:pPr>
            <w:r>
              <w:t xml:space="preserve">HREC application submitted [INSERT DATE] - low-risk review pathway. Student numbers collected for equity linkage only; destroyed after de-identification.</w:t>
            </w:r>
          </w:p>
        </w:tc>
      </w:tr>
      <w:tr>
        <w:tc>
          <w:tcPr/>
          <w:p>
            <w:pPr>
              <w:pStyle w:val="Compact"/>
            </w:pPr>
            <w:r>
              <w:rPr>
                <w:b/>
                <w:bCs/>
              </w:rPr>
              <w:t xml:space="preserve">NBF Equity Cohorts</w:t>
            </w:r>
          </w:p>
        </w:tc>
        <w:tc>
          <w:tcPr/>
          <w:p>
            <w:pPr>
              <w:pStyle w:val="Compact"/>
            </w:pPr>
            <w:r>
              <w:t xml:space="preserve">Low SES students (primary); first-in-family students (supplementary analysis)</w:t>
            </w:r>
          </w:p>
        </w:tc>
      </w:tr>
    </w:tbl>
    <w:p>
      <w:pPr>
        <w:pStyle w:val="BlockText"/>
      </w:pPr>
      <w:r>
        <w:rPr>
          <w:b/>
          <w:bCs/>
        </w:rPr>
        <w:t xml:space="preserve">Applicant note:</w:t>
      </w:r>
      <w:r>
        <w:t xml:space="preserve"> </w:t>
      </w:r>
      <w:r>
        <w:t xml:space="preserve">Items in [brackets] must be confirmed before submission. Aboriginal and/or Torres Strait Islander cohort inclusion: add only if recruitment data supports a meaningful claim. Do not remove placeholder silently - make an active decision.</w:t>
      </w:r>
    </w:p>
    <w:p>
      <w:r>
        <w:pict>
          <v:rect style="width:0;height:1.5pt" o:hralign="center" o:hrstd="t" o:hr="t"/>
        </w:pict>
      </w:r>
    </w:p>
    <w:bookmarkStart w:id="20" w:name="project-overview"/>
    <w:p>
      <w:pPr>
        <w:pStyle w:val="Heading2"/>
      </w:pPr>
      <w:r>
        <w:t xml:space="preserve">1. Project Overview</w:t>
      </w:r>
    </w:p>
    <w:p>
      <w:pPr>
        <w:pStyle w:val="BlockText"/>
      </w:pPr>
      <w:r>
        <w:rPr>
          <w:i/>
          <w:iCs/>
        </w:rPr>
        <w:t xml:space="preserve">Suggested length: 200-300 words.</w:t>
      </w:r>
    </w:p>
    <w:p>
      <w:pPr>
        <w:pStyle w:val="FirstParagraph"/>
      </w:pPr>
      <w:r>
        <w:t xml:space="preserve">Australian universities are embedding AI tools in assessment, but the teaching practices needed to ensure all students use those tools productively have not kept pace. Students from low socioeconomic backgrounds have fewer informal support networks - peers, family, tutors, prior professional exposure - through which to develop productive AI interaction habits outside the classroom. The structural logic suggests this should produce a gap in AI interaction quality, but no direct evidence currently confirms it. This project implements a scalable teaching intervention and produces that evidence.</w:t>
      </w:r>
    </w:p>
    <w:p>
      <w:pPr>
        <w:pStyle w:val="BodyText"/>
      </w:pPr>
      <w:r>
        <w:t xml:space="preserve">In structured lab sessions embedded across three or more units spanning multiple disciplines, students complete a discipline-relevant task using a supplied AI chat tool. Half receive a conversational nudge - a single-line prompt appended to every AI response that invites them to push back, question, or dig deeper. Half do not. The nudge is grounded in the Conversation, Not Delegation framework (Borck, 2026): students who direct AI through active conversation produce better work and deeper learning than those who passively accept the first response. The nudge makes the conversational path structurally easier at the point where it matters most.</w:t>
      </w:r>
    </w:p>
    <w:p>
      <w:pPr>
        <w:pStyle w:val="BodyText"/>
      </w:pPr>
      <w:r>
        <w:t xml:space="preserve">The intervention is delivered to all students. The evaluation then asks whether the benefit is uniform or greater for students from low SES backgrounds - providing the first direct evidence on whether AI interaction quality varies by equity status. Either finding is actionable: uniform benefit confirms universal scaffolding works; differential benefit identifies where in-class support matters most.</w:t>
      </w:r>
    </w:p>
    <w:p>
      <w:pPr>
        <w:pStyle w:val="BodyText"/>
      </w:pPr>
      <w:r>
        <w:t xml:space="preserve">The project produces an open-access resource pack - facilitation guide, nudge variants, task design principles, and survey instrument - so that any unit at Curtin or elsewhere can adopt the approach. NBF funding supports session delivery, evaluation, cross-disciplinary scaling, and resource production.</w:t>
      </w:r>
    </w:p>
    <w:p>
      <w:r>
        <w:pict>
          <v:rect style="width:0;height:1.5pt" o:hralign="center" o:hrstd="t" o:hr="t"/>
        </w:pict>
      </w:r>
    </w:p>
    <w:bookmarkEnd w:id="20"/>
    <w:bookmarkStart w:id="26" w:name="alignment-with-nbf-eligibility-criteria"/>
    <w:p>
      <w:pPr>
        <w:pStyle w:val="Heading2"/>
      </w:pPr>
      <w:r>
        <w:t xml:space="preserve">2. Alignment with NBF Eligibility Criteria</w:t>
      </w:r>
    </w:p>
    <w:p>
      <w:pPr>
        <w:pStyle w:val="BlockText"/>
      </w:pPr>
      <w:r>
        <w:rPr>
          <w:i/>
          <w:iCs/>
        </w:rPr>
        <w:t xml:space="preserve">Suggested length: 300-400 words.</w:t>
      </w:r>
    </w:p>
    <w:bookmarkStart w:id="21" w:name="X6f4d15979b8de7480def569a8282b5c64e5e1d8"/>
    <w:p>
      <w:pPr>
        <w:pStyle w:val="Heading3"/>
      </w:pPr>
      <w:r>
        <w:t xml:space="preserve">2.1 A Teaching Practice for All Students, with Equity-Focused Evaluation</w:t>
      </w:r>
    </w:p>
    <w:p>
      <w:pPr>
        <w:pStyle w:val="FirstParagraph"/>
      </w:pPr>
      <w:r>
        <w:t xml:space="preserve">This project embeds a practical teaching intervention - conversational nudging - into existing lab sessions across multiple units. Every student benefits from the scaffolded environment. This is a deliberate design choice: the intervention improves teaching practice for the whole cohort, not only for identified equity groups.</w:t>
      </w:r>
    </w:p>
    <w:p>
      <w:pPr>
        <w:pStyle w:val="BodyText"/>
      </w:pPr>
      <w:r>
        <w:t xml:space="preserve">The equity evaluation sits on top of this universal intervention. Students from low SES backgrounds have fewer informal support networks through which to develop productive AI interaction habits outside the classroom (Stojanov et al., 2024; Kasneci et al., 2023). A student without those networks is more dependent on the classroom being the place where scaffolding occurs. The structural logic for an equity gap is sound, but no direct evidence currently confirms whether it translates into measurable differences in AI interaction quality. This project produces that evidence - the first controlled test of whether in-class AI scaffolding benefits low SES students more than others, or whether the benefit is uniform. Either finding is actionable and directly reportable against NBF equity cohorts.</w:t>
      </w:r>
    </w:p>
    <w:bookmarkEnd w:id="21"/>
    <w:bookmarkStart w:id="22" w:name="low-ses-students-primary-equity-cohort"/>
    <w:p>
      <w:pPr>
        <w:pStyle w:val="Heading3"/>
      </w:pPr>
      <w:r>
        <w:t xml:space="preserve">2.2 Low SES Students (Primary Equity Cohort)</w:t>
      </w:r>
    </w:p>
    <w:p>
      <w:pPr>
        <w:pStyle w:val="FirstParagraph"/>
      </w:pPr>
      <w:r>
        <w:t xml:space="preserve">[INSERT: Approximately X% of domestic students across the participating units are classified as low SES under the standard HEIMS measure.] Low SES status is the primary equity lens for this project, directly aligned with NBF eligibility criteria. Equity cohort identification is applied analytically at the reporting stage using de-identified Curtin student data matched to session records. Recruitment actively encourages participation from low SES students through unit co-investigators, varied session timing, and zero-cost participation (all equipment and tools provided).</w:t>
      </w:r>
    </w:p>
    <w:bookmarkEnd w:id="22"/>
    <w:bookmarkStart w:id="23" w:name="X2a5a12f72c52a1d1367fa35c1496b39ae31dbba"/>
    <w:p>
      <w:pPr>
        <w:pStyle w:val="Heading3"/>
      </w:pPr>
      <w:r>
        <w:t xml:space="preserve">2.3 First-in-Family Students (Supplementary Analysis)</w:t>
      </w:r>
    </w:p>
    <w:p>
      <w:pPr>
        <w:pStyle w:val="FirstParagraph"/>
      </w:pPr>
      <w:r>
        <w:t xml:space="preserve">[INSERT: Approximately X% of domestic students in the participating units are first in their family to attend university.] First-in-family status is included as a supplementary equity lens. The same structural argument applies: students without family experience of higher education may have fewer informal channels for developing AI interaction skills. Results are reported by first-in-family status alongside the primary low SES analysis.</w:t>
      </w:r>
    </w:p>
    <w:bookmarkEnd w:id="23"/>
    <w:bookmarkStart w:id="24" w:name="X7b1b6b9e691a09923b46ab827891915780475be"/>
    <w:p>
      <w:pPr>
        <w:pStyle w:val="Heading3"/>
      </w:pPr>
      <w:r>
        <w:t xml:space="preserve">2.4 Aboriginal and/or Torres Strait Islander Students</w:t>
      </w:r>
    </w:p>
    <w:p>
      <w:pPr>
        <w:pStyle w:val="FirstParagraph"/>
      </w:pPr>
      <w:r>
        <w:t xml:space="preserve">[APPLICANT NOTE: Include this section only if cohort recruitment data supports it. Remove rather than make a thin claim.]</w:t>
      </w:r>
    </w:p>
    <w:bookmarkEnd w:id="24"/>
    <w:bookmarkStart w:id="25" w:name="student-life-stage-participation"/>
    <w:p>
      <w:pPr>
        <w:pStyle w:val="Heading3"/>
      </w:pPr>
      <w:r>
        <w:t xml:space="preserve">2.5 Student Life Stage: Participation</w:t>
      </w:r>
    </w:p>
    <w:p>
      <w:pPr>
        <w:pStyle w:val="FirstParagraph"/>
      </w:pPr>
      <w:r>
        <w:t xml:space="preserve">This project targets the</w:t>
      </w:r>
      <w:r>
        <w:t xml:space="preserve"> </w:t>
      </w:r>
      <w:r>
        <w:rPr>
          <w:b/>
          <w:bCs/>
        </w:rPr>
        <w:t xml:space="preserve">Participation</w:t>
      </w:r>
      <w:r>
        <w:t xml:space="preserve"> </w:t>
      </w:r>
      <w:r>
        <w:t xml:space="preserve">stage of the student life cycle - supporting engagement, progression, and retention during study. The intervention directly improves how students engage with AI-integrated assessment tasks, building productive habits that carry into subsequent units. The project measures both participation quality (depth and criticality of AI interaction) and attainment outcomes (task completion quality). Equity-disaggregated reporting supports Curtin’s NBF obligations from 2027 onward.</w:t>
      </w:r>
    </w:p>
    <w:p>
      <w:r>
        <w:pict>
          <v:rect style="width:0;height:1.5pt" o:hralign="center" o:hrstd="t" o:hr="t"/>
        </w:pict>
      </w:r>
    </w:p>
    <w:bookmarkEnd w:id="25"/>
    <w:bookmarkEnd w:id="26"/>
    <w:bookmarkStart w:id="30" w:name="background-and-rationale"/>
    <w:p>
      <w:pPr>
        <w:pStyle w:val="Heading2"/>
      </w:pPr>
      <w:r>
        <w:t xml:space="preserve">3. Background and Rationale</w:t>
      </w:r>
    </w:p>
    <w:p>
      <w:pPr>
        <w:pStyle w:val="BlockText"/>
      </w:pPr>
      <w:r>
        <w:rPr>
          <w:i/>
          <w:iCs/>
        </w:rPr>
        <w:t xml:space="preserve">Suggested length: 400-600 words.</w:t>
      </w:r>
    </w:p>
    <w:bookmarkStart w:id="27" w:name="the-teaching-problem"/>
    <w:p>
      <w:pPr>
        <w:pStyle w:val="Heading3"/>
      </w:pPr>
      <w:r>
        <w:t xml:space="preserve">The teaching problem</w:t>
      </w:r>
    </w:p>
    <w:p>
      <w:pPr>
        <w:pStyle w:val="FirstParagraph"/>
      </w:pPr>
      <w:r>
        <w:t xml:space="preserve">Every unit that allows or encourages AI use in assessment faces the same challenge: some students treat AI as a conversation partner and produce better work as a result; others accept the first plausible response and move on. Research consistently shows that passive AI use produces weaker learning and lower task quality than active engagement (Kasneci et al., 2023). Empirical analysis of student AI use patterns identifies a substantial subgroup of</w:t>
      </w:r>
      <w:r>
        <w:t xml:space="preserve"> </w:t>
      </w:r>
      <w:r>
        <w:t xml:space="preserve">“assignment delegators”</w:t>
      </w:r>
      <w:r>
        <w:t xml:space="preserve"> </w:t>
      </w:r>
      <w:r>
        <w:t xml:space="preserve">who use AI to generate output rather than to support thinking (Stojanov et al., 2024). Mollick and Mollick (2023) identify the same pattern and argue that keeping students as the active</w:t>
      </w:r>
      <w:r>
        <w:t xml:space="preserve"> </w:t>
      </w:r>
      <w:r>
        <w:t xml:space="preserve">“human in the loop”</w:t>
      </w:r>
      <w:r>
        <w:t xml:space="preserve"> </w:t>
      </w:r>
      <w:r>
        <w:t xml:space="preserve">is the central pedagogical challenge.</w:t>
      </w:r>
    </w:p>
    <w:p>
      <w:pPr>
        <w:pStyle w:val="BodyText"/>
      </w:pPr>
      <w:r>
        <w:t xml:space="preserve">The risk is more serious than shallow work. A student who accepts a plausible but incorrect AI response has incorporated misinformation with a degree of confidence they would not have from simply not knowing. Uncritical AI delegation may produce worse outcomes than no AI use at all. The nudge intervention creates the friction that surfaces these errors before they are accepted.</w:t>
      </w:r>
    </w:p>
    <w:bookmarkEnd w:id="27"/>
    <w:bookmarkStart w:id="28" w:name="a-practical-response"/>
    <w:p>
      <w:pPr>
        <w:pStyle w:val="Heading3"/>
      </w:pPr>
      <w:r>
        <w:t xml:space="preserve">A practical response</w:t>
      </w:r>
    </w:p>
    <w:p>
      <w:pPr>
        <w:pStyle w:val="FirstParagraph"/>
      </w:pPr>
      <w:r>
        <w:t xml:space="preserve">The Conversation, Not Delegation framework (Borck, 2026) operationalises this distinction for teaching practice. Conversation treats AI as a thinking partner; delegation treats it as an answer machine. The difference is not about tool choice or model quality - a student engaging conversationally with a less capable model may learn more than one delegating passively to a frontier model.</w:t>
      </w:r>
    </w:p>
    <w:p>
      <w:pPr>
        <w:pStyle w:val="BodyText"/>
      </w:pPr>
      <w:r>
        <w:t xml:space="preserve">The intervention is deliberately minimal: a single-line prompt appended to each AI response that makes the conversational path easier to take. It requires no curriculum redesign, no additional class time, and no AI expertise from the teaching team. It works within existing lab sessions using a supplied chat tool. This makes it immediately adoptable by any unit that uses AI in structured tasks.</w:t>
      </w:r>
    </w:p>
    <w:p>
      <w:pPr>
        <w:pStyle w:val="BodyText"/>
      </w:pPr>
      <w:r>
        <w:t xml:space="preserve">Prior work confirms that structured engagement consistently outperforms unstructured use, with effects most pronounced when scaffolding is built into the task design rather than left to student initiative (Frontiers in Psychology, 2025). The theoretical foundation draws on Vygotsky’s (1978) scaffolding framework and Laurillard’s (2002) conversational framework, applied at the interface level as a behavioural nudge (Thaler and Sunstein, 2008).</w:t>
      </w:r>
    </w:p>
    <w:bookmarkEnd w:id="28"/>
    <w:bookmarkStart w:id="29" w:name="readiness"/>
    <w:p>
      <w:pPr>
        <w:pStyle w:val="Heading3"/>
      </w:pPr>
      <w:r>
        <w:t xml:space="preserve">Readiness</w:t>
      </w:r>
    </w:p>
    <w:p>
      <w:pPr>
        <w:pStyle w:val="FirstParagraph"/>
      </w:pPr>
      <w:r>
        <w:t xml:space="preserve">The project builds on infrastructure already in place. The CloudCore Networks environment, used in ISYS6018, provides a proven model for AI-mediated task design with automatic transcript logging. The keep-asking project (github.com/michael-borck/keep-asking) documents the full design and HREC pathway. A working prototype of the nudge tool is already deployed and testable. This grant extends the approach to a cross-disciplinary implementation with rigorous evaluation.</w:t>
      </w:r>
    </w:p>
    <w:p>
      <w:r>
        <w:pict>
          <v:rect style="width:0;height:1.5pt" o:hralign="center" o:hrstd="t" o:hr="t"/>
        </w:pict>
      </w:r>
    </w:p>
    <w:bookmarkEnd w:id="29"/>
    <w:bookmarkEnd w:id="30"/>
    <w:bookmarkStart w:id="37" w:name="project-description"/>
    <w:p>
      <w:pPr>
        <w:pStyle w:val="Heading2"/>
      </w:pPr>
      <w:r>
        <w:t xml:space="preserve">4. Project Description</w:t>
      </w:r>
    </w:p>
    <w:p>
      <w:pPr>
        <w:pStyle w:val="BlockText"/>
      </w:pPr>
      <w:r>
        <w:rPr>
          <w:i/>
          <w:iCs/>
        </w:rPr>
        <w:t xml:space="preserve">Suggested length: 500-700 words.</w:t>
      </w:r>
    </w:p>
    <w:bookmarkStart w:id="31" w:name="the-intervention"/>
    <w:p>
      <w:pPr>
        <w:pStyle w:val="Heading3"/>
      </w:pPr>
      <w:r>
        <w:t xml:space="preserve">4.1 The Intervention</w:t>
      </w:r>
    </w:p>
    <w:p>
      <w:pPr>
        <w:pStyle w:val="FirstParagraph"/>
      </w:pPr>
      <w:r>
        <w:t xml:space="preserve">The project delivers one to two structured AI lab sessions within each of three or more collaborating units across multiple disciplines. Each session follows a consistent format:</w:t>
      </w:r>
    </w:p>
    <w:p>
      <w:pPr>
        <w:pStyle w:val="Compact"/>
        <w:numPr>
          <w:ilvl w:val="0"/>
          <w:numId w:val="1001"/>
        </w:numPr>
      </w:pPr>
      <w:r>
        <w:t xml:space="preserve">Students complete a discipline-relevant task using a supplied AI chat interface</w:t>
      </w:r>
    </w:p>
    <w:p>
      <w:pPr>
        <w:pStyle w:val="Compact"/>
        <w:numPr>
          <w:ilvl w:val="0"/>
          <w:numId w:val="1001"/>
        </w:numPr>
      </w:pPr>
      <w:r>
        <w:t xml:space="preserve">The task is designed to require iterative AI interaction, not a single query</w:t>
      </w:r>
    </w:p>
    <w:p>
      <w:pPr>
        <w:pStyle w:val="Compact"/>
        <w:numPr>
          <w:ilvl w:val="0"/>
          <w:numId w:val="1001"/>
        </w:numPr>
      </w:pPr>
      <w:r>
        <w:t xml:space="preserve">Students are randomly assigned within each session to nudge or control condition</w:t>
      </w:r>
    </w:p>
    <w:p>
      <w:pPr>
        <w:pStyle w:val="Compact"/>
        <w:numPr>
          <w:ilvl w:val="0"/>
          <w:numId w:val="1001"/>
        </w:numPr>
      </w:pPr>
      <w:r>
        <w:t xml:space="preserve">Conversations are logged automatically throughout the session</w:t>
      </w:r>
    </w:p>
    <w:p>
      <w:pPr>
        <w:pStyle w:val="Compact"/>
        <w:numPr>
          <w:ilvl w:val="0"/>
          <w:numId w:val="1001"/>
        </w:numPr>
      </w:pPr>
      <w:r>
        <w:t xml:space="preserve">A 10-minute exit survey is administered on completion</w:t>
      </w:r>
    </w:p>
    <w:p>
      <w:pPr>
        <w:pStyle w:val="FirstParagraph"/>
      </w:pPr>
      <w:r>
        <w:t xml:space="preserve">The AI interface is provided and configured by the research team. Students use lab computers; no personal account or device is required. The environment is zero-cost to students.</w:t>
      </w:r>
    </w:p>
    <w:bookmarkEnd w:id="31"/>
    <w:bookmarkStart w:id="32" w:name="the-conversational-nudge"/>
    <w:p>
      <w:pPr>
        <w:pStyle w:val="Heading3"/>
      </w:pPr>
      <w:r>
        <w:t xml:space="preserve">4.2 The Conversational Nudge</w:t>
      </w:r>
    </w:p>
    <w:p>
      <w:pPr>
        <w:pStyle w:val="FirstParagraph"/>
      </w:pPr>
      <w:r>
        <w:t xml:space="preserve">A short prompt is appended to every AI response in the nudge condition. To reduce habituation (students ignoring a repeated line), the prompt is randomly selected each turn from a pool of 10 variants. All variants follow the same design principles: they invite pushback rather than confirmation, apply equally across disciplines and task types, and do not presuppose any prior AI experience. Example variants include:</w:t>
      </w:r>
    </w:p>
    <w:p>
      <w:pPr>
        <w:pStyle w:val="BlockText"/>
      </w:pPr>
      <w:r>
        <w:rPr>
          <w:i/>
          <w:iCs/>
        </w:rPr>
        <w:t xml:space="preserve">“Does that match what you expected? If something seems off, tell me what seems wrong.”</w:t>
      </w:r>
    </w:p>
    <w:p>
      <w:pPr>
        <w:pStyle w:val="BlockText"/>
      </w:pPr>
      <w:r>
        <w:rPr>
          <w:i/>
          <w:iCs/>
        </w:rPr>
        <w:t xml:space="preserve">“What’s the weakest part of that response?”</w:t>
      </w:r>
    </w:p>
    <w:p>
      <w:pPr>
        <w:pStyle w:val="BlockText"/>
      </w:pPr>
      <w:r>
        <w:rPr>
          <w:i/>
          <w:iCs/>
        </w:rPr>
        <w:t xml:space="preserve">“Does that account for the details in your task, or is it a generic answer?”</w:t>
      </w:r>
    </w:p>
    <w:p>
      <w:pPr>
        <w:pStyle w:val="FirstParagraph"/>
      </w:pPr>
      <w:r>
        <w:t xml:space="preserve">The full variant pool is documented in</w:t>
      </w:r>
      <w:r>
        <w:t xml:space="preserve"> </w:t>
      </w:r>
      <w:r>
        <w:rPr>
          <w:rStyle w:val="VerbatimChar"/>
        </w:rPr>
        <w:t xml:space="preserve">instruments/nudge_variants.md</w:t>
      </w:r>
      <w:r>
        <w:t xml:space="preserve">. Grounded in behavioural scaffolding principles (Thaler and Sunstein, 2008), each variant reduces the cognitive cost of continuing the conversation by making the next action explicit - without directing or constraining the student’s response. The primary analysis treats all variants as equivalent (any nudge vs no nudge).</w:t>
      </w:r>
    </w:p>
    <w:bookmarkEnd w:id="32"/>
    <w:bookmarkStart w:id="33" w:name="ai-infrastructure-and-model-choice"/>
    <w:p>
      <w:pPr>
        <w:pStyle w:val="Heading3"/>
      </w:pPr>
      <w:r>
        <w:t xml:space="preserve">4.3 AI Infrastructure and Model Choice</w:t>
      </w:r>
    </w:p>
    <w:p>
      <w:pPr>
        <w:pStyle w:val="FirstParagraph"/>
      </w:pPr>
      <w:r>
        <w:t xml:space="preserve">All sessions use a frontier-class AI model (Claude or GPT-4 class) accessed via API. This is a deliberate design choice: to isolate the effect of the nudge on interaction behaviour and task outcomes, the underlying model must be capable enough that variation in output quality reflects student interaction rather than model limitations. Using a weak or outdated model would confound the primary finding - any difference in output quality could be attributable to model failure rather than interaction pattern.</w:t>
      </w:r>
    </w:p>
    <w:bookmarkEnd w:id="33"/>
    <w:bookmarkStart w:id="34" w:name="how-we-know-it-works"/>
    <w:p>
      <w:pPr>
        <w:pStyle w:val="Heading3"/>
      </w:pPr>
      <w:r>
        <w:t xml:space="preserve">4.4 How We Know It Works</w:t>
      </w:r>
    </w:p>
    <w:p>
      <w:pPr>
        <w:pStyle w:val="FirstParagraph"/>
      </w:pPr>
      <w:r>
        <w:t xml:space="preserve">The evaluation measures whether the nudge changes how students interact with AI and whether that change improves their work.</w:t>
      </w:r>
    </w:p>
    <w:tbl>
      <w:tblPr>
        <w:tblStyle w:val="Table"/>
        <w:tblW w:type="pct" w:w="5000"/>
        <w:tblLayout w:type="fixed"/>
        <w:tblLook w:firstRow="1" w:lastRow="0" w:firstColumn="0" w:lastColumn="0" w:noHBand="0" w:noVBand="0" w:val="0020"/>
      </w:tblPr>
      <w:tblGrid>
        <w:gridCol w:w="4693"/>
        <w:gridCol w:w="1466"/>
        <w:gridCol w:w="1760"/>
      </w:tblGrid>
      <w:tr>
        <w:trPr>
          <w:tblHeader w:val="on"/>
        </w:trPr>
        <w:tc>
          <w:tcPr/>
          <w:p>
            <w:pPr>
              <w:pStyle w:val="Compact"/>
            </w:pPr>
            <w:r>
              <w:t xml:space="preserve">What we measure</w:t>
            </w:r>
          </w:p>
        </w:tc>
        <w:tc>
          <w:tcPr/>
          <w:p>
            <w:pPr>
              <w:pStyle w:val="Compact"/>
            </w:pPr>
            <w:r>
              <w:t xml:space="preserve">How</w:t>
            </w:r>
          </w:p>
        </w:tc>
        <w:tc>
          <w:tcPr/>
          <w:p>
            <w:pPr>
              <w:pStyle w:val="Compact"/>
            </w:pPr>
            <w:r>
              <w:t xml:space="preserve">When</w:t>
            </w:r>
          </w:p>
        </w:tc>
      </w:tr>
      <w:tr>
        <w:tc>
          <w:tcPr/>
          <w:p>
            <w:pPr>
              <w:pStyle w:val="Compact"/>
            </w:pPr>
            <w:r>
              <w:t xml:space="preserve">Did students engage more deeply?</w:t>
            </w:r>
          </w:p>
        </w:tc>
        <w:tc>
          <w:tcPr/>
          <w:p>
            <w:pPr>
              <w:pStyle w:val="Compact"/>
            </w:pPr>
            <w:r>
              <w:t xml:space="preserve">Turn count and behavioural coding of transcripts</w:t>
            </w:r>
          </w:p>
        </w:tc>
        <w:tc>
          <w:tcPr/>
          <w:p>
            <w:pPr>
              <w:pStyle w:val="Compact"/>
            </w:pPr>
            <w:r>
              <w:t xml:space="preserve">Automatic logging + post-session coding</w:t>
            </w:r>
          </w:p>
        </w:tc>
      </w:tr>
      <w:tr>
        <w:tc>
          <w:tcPr/>
          <w:p>
            <w:pPr>
              <w:pStyle w:val="Compact"/>
            </w:pPr>
            <w:r>
              <w:t xml:space="preserve">Did the quality of interaction improve?</w:t>
            </w:r>
          </w:p>
        </w:tc>
        <w:tc>
          <w:tcPr/>
          <w:p>
            <w:pPr>
              <w:pStyle w:val="Compact"/>
            </w:pPr>
            <w:r>
              <w:t xml:space="preserve">Coding for follow-up questions, challenges, and new ideas introduced</w:t>
            </w:r>
          </w:p>
        </w:tc>
        <w:tc>
          <w:tcPr/>
          <w:p>
            <w:pPr>
              <w:pStyle w:val="Compact"/>
            </w:pPr>
            <w:r>
              <w:t xml:space="preserve">RA codes all transcripts; co-investigators validate a sample from their unit</w:t>
            </w:r>
          </w:p>
        </w:tc>
      </w:tr>
      <w:tr>
        <w:tc>
          <w:tcPr/>
          <w:p>
            <w:pPr>
              <w:pStyle w:val="Compact"/>
            </w:pPr>
            <w:r>
              <w:t xml:space="preserve">Did task outputs improve?</w:t>
            </w:r>
          </w:p>
        </w:tc>
        <w:tc>
          <w:tcPr/>
          <w:p>
            <w:pPr>
              <w:pStyle w:val="Compact"/>
            </w:pPr>
            <w:r>
              <w:t xml:space="preserve">Rubric scoring by co-investigators</w:t>
            </w:r>
          </w:p>
        </w:tc>
        <w:tc>
          <w:tcPr/>
          <w:p>
            <w:pPr>
              <w:pStyle w:val="Compact"/>
            </w:pPr>
            <w:r>
              <w:t xml:space="preserve">Post-session</w:t>
            </w:r>
          </w:p>
        </w:tc>
      </w:tr>
      <w:tr>
        <w:tc>
          <w:tcPr/>
          <w:p>
            <w:pPr>
              <w:pStyle w:val="Compact"/>
            </w:pPr>
            <w:r>
              <w:t xml:space="preserve">Are students aware of their own habits?</w:t>
            </w:r>
          </w:p>
        </w:tc>
        <w:tc>
          <w:tcPr/>
          <w:p>
            <w:pPr>
              <w:pStyle w:val="Compact"/>
            </w:pPr>
            <w:r>
              <w:t xml:space="preserve">Self-reported confidence vs actual performance</w:t>
            </w:r>
          </w:p>
        </w:tc>
        <w:tc>
          <w:tcPr/>
          <w:p>
            <w:pPr>
              <w:pStyle w:val="Compact"/>
            </w:pPr>
            <w:r>
              <w:t xml:space="preserve">Exit survey (Qualtrics)</w:t>
            </w:r>
          </w:p>
        </w:tc>
      </w:tr>
      <w:tr>
        <w:tc>
          <w:tcPr/>
          <w:p>
            <w:pPr>
              <w:pStyle w:val="Compact"/>
            </w:pPr>
            <w:r>
              <w:t xml:space="preserve">Does the benefit differ by equity status?</w:t>
            </w:r>
          </w:p>
        </w:tc>
        <w:tc>
          <w:tcPr/>
          <w:p>
            <w:pPr>
              <w:pStyle w:val="Compact"/>
            </w:pPr>
            <w:r>
              <w:t xml:space="preserve">All measures disaggregated by low SES flag</w:t>
            </w:r>
          </w:p>
        </w:tc>
        <w:tc>
          <w:tcPr/>
          <w:p>
            <w:pPr>
              <w:pStyle w:val="Compact"/>
            </w:pPr>
            <w:r>
              <w:t xml:space="preserve">De-identified linkage via student number; destroyed after matching</w:t>
            </w:r>
          </w:p>
        </w:tc>
      </w:tr>
    </w:tbl>
    <w:p>
      <w:pPr>
        <w:pStyle w:val="BodyText"/>
      </w:pPr>
      <w:r>
        <w:t xml:space="preserve">A casual RA codes all transcripts on three simple behavioural dimensions (follow-up, challenge, extension) that do not require disciplinary knowledge. Each co-investigator independently codes a sample from their own unit to validate consistency. This approach keeps the evaluation rigorous without requiring specialist research training from the teaching team.</w:t>
      </w:r>
    </w:p>
    <w:bookmarkEnd w:id="34"/>
    <w:bookmarkStart w:id="35" w:name="recruitment"/>
    <w:p>
      <w:pPr>
        <w:pStyle w:val="Heading3"/>
      </w:pPr>
      <w:r>
        <w:t xml:space="preserve">4.5 Recruitment</w:t>
      </w:r>
    </w:p>
    <w:p>
      <w:pPr>
        <w:pStyle w:val="FirstParagraph"/>
      </w:pPr>
      <w:r>
        <w:t xml:space="preserve">Each co-investigator recruits students from their unit cohort. Recruitment actively encourages participation from low SES students. Session timing will be varied to accommodate students with work or caring commitments. Participation is voluntary and does not affect unit grades.</w:t>
      </w:r>
    </w:p>
    <w:p>
      <w:pPr>
        <w:pStyle w:val="BodyText"/>
      </w:pPr>
      <w:r>
        <w:t xml:space="preserve">Target sample: Three confirmed units with a combined enrolment of approximately 300 students (ISYS6018 ~50, MGMT6076 ~30, MKTG1000 ~220). Participation is voluntary; estimated 100-200 participants depending on uptake. A power analysis will be completed once co-investigator units and cohort sizes are confirmed.</w:t>
      </w:r>
    </w:p>
    <w:bookmarkEnd w:id="35"/>
    <w:bookmarkStart w:id="36" w:name="ethics-and-data-de-identification"/>
    <w:p>
      <w:pPr>
        <w:pStyle w:val="Heading3"/>
      </w:pPr>
      <w:r>
        <w:t xml:space="preserve">4.6 Ethics and Data De-identification</w:t>
      </w:r>
    </w:p>
    <w:p>
      <w:pPr>
        <w:pStyle w:val="FirstParagraph"/>
      </w:pPr>
      <w:r>
        <w:t xml:space="preserve">HREC application submitted [INSERT DATE] under Curtin’s low-risk review pathway. The study meets the criteria for low-risk classification under the National Statement on Ethical Conduct in Human Research (2023).</w:t>
      </w:r>
    </w:p>
    <w:p>
      <w:pPr>
        <w:pStyle w:val="BodyText"/>
      </w:pPr>
      <w:r>
        <w:rPr>
          <w:b/>
          <w:bCs/>
        </w:rPr>
        <w:t xml:space="preserve">Data flow and de-identification process:</w:t>
      </w:r>
    </w:p>
    <w:p>
      <w:pPr>
        <w:pStyle w:val="Compact"/>
        <w:numPr>
          <w:ilvl w:val="0"/>
          <w:numId w:val="1002"/>
        </w:numPr>
      </w:pPr>
      <w:r>
        <w:t xml:space="preserve">At session login, students enter their student number. The system assigns a random session code and records a temporary linkage (student number to session code).</w:t>
      </w:r>
    </w:p>
    <w:p>
      <w:pPr>
        <w:pStyle w:val="Compact"/>
        <w:numPr>
          <w:ilvl w:val="0"/>
          <w:numId w:val="1002"/>
        </w:numPr>
      </w:pPr>
      <w:r>
        <w:t xml:space="preserve">All research data (conversation transcripts, task outputs, exit survey responses) are tagged with the session code only. The research team works exclusively with session codes during data collection.</w:t>
      </w:r>
    </w:p>
    <w:p>
      <w:pPr>
        <w:pStyle w:val="Compact"/>
        <w:numPr>
          <w:ilvl w:val="0"/>
          <w:numId w:val="1002"/>
        </w:numPr>
      </w:pPr>
      <w:r>
        <w:t xml:space="preserve">After data collection closes, the linkage table is used to match equity flags (low SES status, and first-in-family status for supplementary analysis) from Curtin’s student information system (SIMS) to session codes.</w:t>
      </w:r>
    </w:p>
    <w:p>
      <w:pPr>
        <w:pStyle w:val="Compact"/>
        <w:numPr>
          <w:ilvl w:val="0"/>
          <w:numId w:val="1002"/>
        </w:numPr>
      </w:pPr>
      <w:r>
        <w:t xml:space="preserve">A de-identification script strips student numbers from the dataset, retaining only session codes and equity flags. The linkage table is then permanently destroyed.</w:t>
      </w:r>
    </w:p>
    <w:p>
      <w:pPr>
        <w:pStyle w:val="Compact"/>
        <w:numPr>
          <w:ilvl w:val="0"/>
          <w:numId w:val="1002"/>
        </w:numPr>
      </w:pPr>
      <w:r>
        <w:t xml:space="preserve">The research team receives and analyses a fully de-identified dataset. The destruction of the linkage table is logged and auditable.</w:t>
      </w:r>
    </w:p>
    <w:p>
      <w:pPr>
        <w:pStyle w:val="FirstParagraph"/>
      </w:pPr>
      <w:r>
        <w:t xml:space="preserve">Data is stored on university-controlled infrastructure throughout. The exit survey is administered via Qualtrics (Curtin institutional licence).</w:t>
      </w:r>
    </w:p>
    <w:p>
      <w:r>
        <w:pict>
          <v:rect style="width:0;height:1.5pt" o:hralign="center" o:hrstd="t" o:hr="t"/>
        </w:pict>
      </w:r>
    </w:p>
    <w:bookmarkEnd w:id="36"/>
    <w:bookmarkEnd w:id="37"/>
    <w:bookmarkStart w:id="38" w:name="expected-outcomes-and-impact"/>
    <w:p>
      <w:pPr>
        <w:pStyle w:val="Heading2"/>
      </w:pPr>
      <w:r>
        <w:t xml:space="preserve">5. Expected Outcomes and Impact</w:t>
      </w:r>
    </w:p>
    <w:p>
      <w:pPr>
        <w:pStyle w:val="BlockText"/>
      </w:pPr>
      <w:r>
        <w:rPr>
          <w:i/>
          <w:iCs/>
        </w:rPr>
        <w:t xml:space="preserve">Suggested length: 300-400 words.</w:t>
      </w:r>
    </w:p>
    <w:p>
      <w:pPr>
        <w:pStyle w:val="FirstParagraph"/>
      </w:pPr>
      <w:r>
        <w:t xml:space="preserve">By the end of the project, this initiative will deliver:</w:t>
      </w:r>
    </w:p>
    <w:p>
      <w:pPr>
        <w:pStyle w:val="BodyText"/>
      </w:pPr>
      <w:r>
        <w:rPr>
          <w:b/>
          <w:bCs/>
        </w:rPr>
        <w:t xml:space="preserve">For teaching practice</w:t>
      </w:r>
    </w:p>
    <w:p>
      <w:pPr>
        <w:pStyle w:val="Compact"/>
        <w:numPr>
          <w:ilvl w:val="0"/>
          <w:numId w:val="1003"/>
        </w:numPr>
      </w:pPr>
      <w:r>
        <w:t xml:space="preserve">A tested, low-cost scaffolding approach that any unit can adopt: one chat tool, one nudge, no curriculum redesign required. If it works, it is immediately scalable across Curtin and the sector.</w:t>
      </w:r>
    </w:p>
    <w:p>
      <w:pPr>
        <w:pStyle w:val="Compact"/>
        <w:numPr>
          <w:ilvl w:val="0"/>
          <w:numId w:val="1003"/>
        </w:numPr>
      </w:pPr>
      <w:r>
        <w:t xml:space="preserve">An open-access resource pack - session facilitation guide, nudge variants, task design principles, exit survey instrument - freely available for adoption. Any teaching team can run the same intervention in their own units.</w:t>
      </w:r>
    </w:p>
    <w:p>
      <w:pPr>
        <w:pStyle w:val="Compact"/>
        <w:numPr>
          <w:ilvl w:val="0"/>
          <w:numId w:val="1003"/>
        </w:numPr>
      </w:pPr>
      <w:r>
        <w:t xml:space="preserve">A cross-disciplinary implementation tested across three or four units spanning multiple discipline areas, demonstrating the approach works beyond any single teaching context.</w:t>
      </w:r>
    </w:p>
    <w:p>
      <w:pPr>
        <w:pStyle w:val="FirstParagraph"/>
      </w:pPr>
      <w:r>
        <w:rPr>
          <w:b/>
          <w:bCs/>
        </w:rPr>
        <w:t xml:space="preserve">For equity and NBF reporting</w:t>
      </w:r>
    </w:p>
    <w:p>
      <w:pPr>
        <w:pStyle w:val="Compact"/>
        <w:numPr>
          <w:ilvl w:val="0"/>
          <w:numId w:val="1004"/>
        </w:numPr>
      </w:pPr>
      <w:r>
        <w:t xml:space="preserve">The first direct evidence on whether in-class AI scaffolding benefits low SES students more than others, or whether the benefit is uniform. Either finding is actionable: uniform benefit confirms universal scaffolding is sufficient; differential benefit identifies where in-class support matters most.</w:t>
      </w:r>
    </w:p>
    <w:p>
      <w:pPr>
        <w:pStyle w:val="Compact"/>
        <w:numPr>
          <w:ilvl w:val="0"/>
          <w:numId w:val="1004"/>
        </w:numPr>
      </w:pPr>
      <w:r>
        <w:t xml:space="preserve">Equity-disaggregated outcome data suitable for Curtin’s NBF reporting requirements from 2027 onward.</w:t>
      </w:r>
    </w:p>
    <w:p>
      <w:pPr>
        <w:pStyle w:val="FirstParagraph"/>
      </w:pPr>
      <w:r>
        <w:rPr>
          <w:b/>
          <w:bCs/>
        </w:rPr>
        <w:t xml:space="preserve">For the scholarly record</w:t>
      </w:r>
    </w:p>
    <w:p>
      <w:pPr>
        <w:pStyle w:val="Compact"/>
        <w:numPr>
          <w:ilvl w:val="0"/>
          <w:numId w:val="1005"/>
        </w:numPr>
      </w:pPr>
      <w:r>
        <w:t xml:space="preserve">A peer-reviewed paper submitted to ACIS 2027, positioning Curtin as a contributor to the national conversation on equitable AI-integrated assessment.</w:t>
      </w:r>
    </w:p>
    <w:p>
      <w:pPr>
        <w:pStyle w:val="FirstParagraph"/>
      </w:pPr>
      <w:r>
        <w:rPr>
          <w:b/>
          <w:bCs/>
        </w:rPr>
        <w:t xml:space="preserve">Positioning for future work</w:t>
      </w:r>
    </w:p>
    <w:p>
      <w:pPr>
        <w:pStyle w:val="BodyText"/>
      </w:pPr>
      <w:r>
        <w:t xml:space="preserve">The infrastructure, instruments, ethics framework, and teaching team established by this project will be in place for follow-on work. Potential directions include: whether the nudge effect persists into independent AI use; whether scaffolded interaction with a less capable local model matches unscaffolded use of a frontier model (shifting the equity question from access to interaction habits); and whether the effect is strongest on tasks where AI is most likely to produce confidently wrong answers.</w:t>
      </w:r>
    </w:p>
    <w:p>
      <w:pPr>
        <w:pStyle w:val="BodyText"/>
      </w:pPr>
      <w:r>
        <w:rPr>
          <w:b/>
          <w:bCs/>
        </w:rPr>
        <w:t xml:space="preserve">On null results</w:t>
      </w:r>
    </w:p>
    <w:p>
      <w:pPr>
        <w:pStyle w:val="BodyText"/>
      </w:pPr>
      <w:r>
        <w:t xml:space="preserve">If the nudge produces no effect, that finding is equally valuable. It redirects attention toward more structural interventions - explicit AI interaction instruction, assessment redesign, or targeted student support - and prevents the sector from investing in interface-level nudging that does not work.</w:t>
      </w:r>
    </w:p>
    <w:p>
      <w:r>
        <w:pict>
          <v:rect style="width:0;height:1.5pt" o:hralign="center" o:hrstd="t" o:hr="t"/>
        </w:pict>
      </w:r>
    </w:p>
    <w:bookmarkEnd w:id="38"/>
    <w:bookmarkStart w:id="43" w:name="project-team"/>
    <w:p>
      <w:pPr>
        <w:pStyle w:val="Heading2"/>
      </w:pPr>
      <w:r>
        <w:t xml:space="preserve">6. Project Team</w:t>
      </w:r>
    </w:p>
    <w:p>
      <w:pPr>
        <w:pStyle w:val="BlockText"/>
      </w:pPr>
      <w:r>
        <w:rPr>
          <w:i/>
          <w:iCs/>
        </w:rPr>
        <w:t xml:space="preserve">Suggested length: 100-200 words.</w:t>
      </w:r>
    </w:p>
    <w:bookmarkStart w:id="39" w:name="lead-applicant-michael-borck"/>
    <w:p>
      <w:pPr>
        <w:pStyle w:val="Heading3"/>
      </w:pPr>
      <w:r>
        <w:t xml:space="preserve">Lead Applicant: Michael Borck</w:t>
      </w:r>
    </w:p>
    <w:p>
      <w:pPr>
        <w:pStyle w:val="FirstParagraph"/>
      </w:pPr>
      <w:r>
        <w:t xml:space="preserve">Lecturer, School of Marketing and Management, Curtin University. Creator of the CloudCore Networks simulation and keep-asking research project. Convener of ISYS6018 Information Security Audit and Control. Author of</w:t>
      </w:r>
      <w:r>
        <w:t xml:space="preserve"> </w:t>
      </w:r>
      <w:r>
        <w:rPr>
          <w:i/>
          <w:iCs/>
        </w:rPr>
        <w:t xml:space="preserve">Conversation, Not Delegation</w:t>
      </w:r>
      <w:r>
        <w:t xml:space="preserve"> </w:t>
      </w:r>
      <w:r>
        <w:t xml:space="preserve">(Borck, 2026). Responsible for overall project coordination, intervention design, technical infrastructure, session facilitation in IS context, and lead authorship of the ACIS paper.</w:t>
      </w:r>
    </w:p>
    <w:bookmarkEnd w:id="39"/>
    <w:bookmarkStart w:id="40" w:name="co-investigator-dr-marcela-moraes"/>
    <w:p>
      <w:pPr>
        <w:pStyle w:val="Heading3"/>
      </w:pPr>
      <w:r>
        <w:t xml:space="preserve">Co-Investigator: Dr Marcela Moraes</w:t>
      </w:r>
    </w:p>
    <w:p>
      <w:pPr>
        <w:pStyle w:val="FirstParagraph"/>
      </w:pPr>
      <w:r>
        <w:t xml:space="preserve">Lecturer, School of Marketing and Management (SoMM), Curtin University. Research interests in digital and social media marketing, consumer behaviour, and cross-cultural perspectives. [Specific contribution to this project TBC - pending confirmation. Expected: evaluation instrument development, co-facilitation of Marketing unit sessions, calibration coding of own unit transcripts, and co-authorship.]</w:t>
      </w:r>
    </w:p>
    <w:bookmarkEnd w:id="40"/>
    <w:bookmarkStart w:id="41" w:name="co-investigator-dr-torsten-reiners"/>
    <w:p>
      <w:pPr>
        <w:pStyle w:val="Heading3"/>
      </w:pPr>
      <w:r>
        <w:t xml:space="preserve">Co-Investigator: Dr Torsten Reiners</w:t>
      </w:r>
    </w:p>
    <w:p>
      <w:pPr>
        <w:pStyle w:val="FirstParagraph"/>
      </w:pPr>
      <w:r>
        <w:t xml:space="preserve">Senior Lecturer in Supply Chain Management, School of Marketing and Management, Curtin University. Research background in operations management, optimisation, decision-support, and innovative technology in education, including gamification and immersive learning environments. Prior publication record at ASCILITE. [Specific contribution TBC - pending confirmation. Expected: co-facilitation of Supply Chain Management unit sessions, calibration coding of own unit transcripts, disciplinary interpretation of supply chain task outcomes, and co-authorship.]</w:t>
      </w:r>
    </w:p>
    <w:bookmarkEnd w:id="41"/>
    <w:bookmarkStart w:id="42" w:name="X1978615c9a0d6468ed0e835cef6aad1fef0a6d6"/>
    <w:p>
      <w:pPr>
        <w:pStyle w:val="Heading3"/>
      </w:pPr>
      <w:r>
        <w:t xml:space="preserve">Casual Research Assistant (to be recruited)</w:t>
      </w:r>
    </w:p>
    <w:p>
      <w:pPr>
        <w:pStyle w:val="FirstParagraph"/>
      </w:pPr>
      <w:r>
        <w:t xml:space="preserve">Postgraduate student or early-career researcher. Responsible for coding 100% of transcripts on pre-specified behavioural dimensions, processing and anonymising transcript data, administering exit surveys, and running descriptive statistics. The RA’s full coverage provides the consistent baseline against which co-investigator calibration samples are compared. To be recruited following HREC approval.</w:t>
      </w:r>
    </w:p>
    <w:p>
      <w:r>
        <w:pict>
          <v:rect style="width:0;height:1.5pt" o:hralign="center" o:hrstd="t" o:hr="t"/>
        </w:pict>
      </w:r>
    </w:p>
    <w:bookmarkEnd w:id="42"/>
    <w:bookmarkEnd w:id="43"/>
    <w:bookmarkStart w:id="44" w:name="budget"/>
    <w:p>
      <w:pPr>
        <w:pStyle w:val="Heading2"/>
      </w:pPr>
      <w:r>
        <w:t xml:space="preserve">7. Budget</w:t>
      </w:r>
    </w:p>
    <w:p>
      <w:pPr>
        <w:pStyle w:val="BlockText"/>
      </w:pPr>
      <w:r>
        <w:rPr>
          <w:i/>
          <w:iCs/>
        </w:rPr>
        <w:t xml:space="preserve">All funds to be spent within 2026 calendar year.</w:t>
      </w:r>
    </w:p>
    <w:tbl>
      <w:tblPr>
        <w:tblStyle w:val="Table"/>
        <w:tblW w:type="pct" w:w="5000"/>
        <w:tblLayout w:type="fixed"/>
        <w:tblLook w:firstRow="1" w:lastRow="0" w:firstColumn="0" w:lastColumn="0" w:noHBand="0" w:noVBand="0" w:val="0020"/>
      </w:tblPr>
      <w:tblGrid>
        <w:gridCol w:w="1397"/>
        <w:gridCol w:w="3028"/>
        <w:gridCol w:w="3494"/>
      </w:tblGrid>
      <w:tr>
        <w:trPr>
          <w:tblHeader w:val="on"/>
        </w:trPr>
        <w:tc>
          <w:tcPr/>
          <w:p>
            <w:pPr>
              <w:pStyle w:val="Compact"/>
            </w:pPr>
            <w:r>
              <w:t xml:space="preserve">Item</w:t>
            </w:r>
          </w:p>
        </w:tc>
        <w:tc>
          <w:tcPr/>
          <w:p>
            <w:pPr>
              <w:pStyle w:val="Compact"/>
            </w:pPr>
            <w:r>
              <w:t xml:space="preserve">Amount (AUD)</w:t>
            </w:r>
          </w:p>
        </w:tc>
        <w:tc>
          <w:tcPr/>
          <w:p>
            <w:pPr>
              <w:pStyle w:val="Compact"/>
            </w:pPr>
            <w:r>
              <w:t xml:space="preserve">Justification</w:t>
            </w:r>
          </w:p>
        </w:tc>
      </w:tr>
      <w:tr>
        <w:tc>
          <w:tcPr/>
          <w:p>
            <w:pPr>
              <w:pStyle w:val="Compact"/>
            </w:pPr>
            <w:r>
              <w:t xml:space="preserve">Casual Research Assistant</w:t>
            </w:r>
          </w:p>
        </w:tc>
        <w:tc>
          <w:tcPr/>
          <w:p>
            <w:pPr>
              <w:pStyle w:val="Compact"/>
            </w:pPr>
            <w:r>
              <w:t xml:space="preserve">$8,000</w:t>
            </w:r>
          </w:p>
        </w:tc>
        <w:tc>
          <w:tcPr/>
          <w:p>
            <w:pPr>
              <w:pStyle w:val="Compact"/>
            </w:pPr>
            <w:r>
              <w:t xml:space="preserve">~150 hrs at ~$53/hr (Level A casual). Codes 100% of transcripts on behavioural dimensions, providing consistent full coverage as the analytical baseline. Also handles transcript anonymisation, exit survey administration, and descriptive statistics. Co-investigators independently code a calibration sample from their own unit; the RA’s full coverage is validated against those samples via Cohen’s kappa.</w:t>
            </w:r>
          </w:p>
        </w:tc>
      </w:tr>
      <w:tr>
        <w:tc>
          <w:tcPr/>
          <w:p>
            <w:pPr>
              <w:pStyle w:val="Compact"/>
            </w:pPr>
            <w:r>
              <w:t xml:space="preserve">API access - frontier model</w:t>
            </w:r>
          </w:p>
        </w:tc>
        <w:tc>
          <w:tcPr/>
          <w:p>
            <w:pPr>
              <w:pStyle w:val="Compact"/>
            </w:pPr>
            <w:r>
              <w:t xml:space="preserve">$2,500</w:t>
            </w:r>
          </w:p>
        </w:tc>
        <w:tc>
          <w:tcPr/>
          <w:p>
            <w:pPr>
              <w:pStyle w:val="Compact"/>
            </w:pPr>
            <w:r>
              <w:t xml:space="preserve">Frontier model API (Claude or GPT-4 class) for lab sessions. Estimated at approximately $0.02 per exchange, 200 students, 40 exchanges per session, with 3x buffer for development, testing, and prompt iteration. Frontier models are required for the primary research question to ensure output quality variation reflects student interaction behaviour, not model limitations.</w:t>
            </w:r>
          </w:p>
        </w:tc>
      </w:tr>
      <w:tr>
        <w:tc>
          <w:tcPr/>
          <w:p>
            <w:pPr>
              <w:pStyle w:val="Compact"/>
            </w:pPr>
            <w:r>
              <w:t xml:space="preserve">Evaluation instrument development</w:t>
            </w:r>
          </w:p>
        </w:tc>
        <w:tc>
          <w:tcPr/>
          <w:p>
            <w:pPr>
              <w:pStyle w:val="Compact"/>
            </w:pPr>
            <w:r>
              <w:t xml:space="preserve">$2,500</w:t>
            </w:r>
          </w:p>
        </w:tc>
        <w:tc>
          <w:tcPr/>
          <w:p>
            <w:pPr>
              <w:pStyle w:val="Compact"/>
            </w:pPr>
            <w:r>
              <w:t xml:space="preserve">Co-investigator time offset for discipline-specific task brief development, exit survey design, and coding rubric validation across three or more unit contexts.</w:t>
            </w:r>
          </w:p>
        </w:tc>
      </w:tr>
      <w:tr>
        <w:tc>
          <w:tcPr/>
          <w:p>
            <w:pPr>
              <w:pStyle w:val="Compact"/>
            </w:pPr>
            <w:r>
              <w:t xml:space="preserve">Lab session delivery and facilitation</w:t>
            </w:r>
          </w:p>
        </w:tc>
        <w:tc>
          <w:tcPr/>
          <w:p>
            <w:pPr>
              <w:pStyle w:val="Compact"/>
            </w:pPr>
            <w:r>
              <w:t xml:space="preserve">$2,000</w:t>
            </w:r>
          </w:p>
        </w:tc>
        <w:tc>
          <w:tcPr/>
          <w:p>
            <w:pPr>
              <w:pStyle w:val="Compact"/>
            </w:pPr>
            <w:r>
              <w:t xml:space="preserve">Session coordination across multiple units and campuses, room preparation, and travel between session locations if required.</w:t>
            </w:r>
          </w:p>
        </w:tc>
      </w:tr>
      <w:tr>
        <w:tc>
          <w:tcPr/>
          <w:p>
            <w:pPr>
              <w:pStyle w:val="Compact"/>
            </w:pPr>
            <w:r>
              <w:t xml:space="preserve">Cross-disciplinary scaling and adaptation</w:t>
            </w:r>
          </w:p>
        </w:tc>
        <w:tc>
          <w:tcPr/>
          <w:p>
            <w:pPr>
              <w:pStyle w:val="Compact"/>
            </w:pPr>
            <w:r>
              <w:t xml:space="preserve">$2,000</w:t>
            </w:r>
          </w:p>
        </w:tc>
        <w:tc>
          <w:tcPr/>
          <w:p>
            <w:pPr>
              <w:pStyle w:val="Compact"/>
            </w:pPr>
            <w:r>
              <w:t xml:space="preserve">Interface configuration per unit context, co-investigator onboarding and briefing, and iterative task brief refinement based on pilot feedback.</w:t>
            </w:r>
          </w:p>
        </w:tc>
      </w:tr>
      <w:tr>
        <w:tc>
          <w:tcPr/>
          <w:p>
            <w:pPr>
              <w:pStyle w:val="Compact"/>
            </w:pPr>
            <w:r>
              <w:t xml:space="preserve">ACIS 2027 conference - registration and travel</w:t>
            </w:r>
          </w:p>
        </w:tc>
        <w:tc>
          <w:tcPr/>
          <w:p>
            <w:pPr>
              <w:pStyle w:val="Compact"/>
            </w:pPr>
            <w:r>
              <w:t xml:space="preserve">$1,500</w:t>
            </w:r>
          </w:p>
        </w:tc>
        <w:tc>
          <w:tcPr/>
          <w:p>
            <w:pPr>
              <w:pStyle w:val="Compact"/>
            </w:pPr>
            <w:r>
              <w:t xml:space="preserve">Conference registration plus travel and accommodation if ACIS 2027 is held interstate. [Check location and adjust if held in Perth.]</w:t>
            </w:r>
          </w:p>
        </w:tc>
      </w:tr>
      <w:tr>
        <w:tc>
          <w:tcPr/>
          <w:p>
            <w:pPr>
              <w:pStyle w:val="Compact"/>
            </w:pPr>
            <w:r>
              <w:t xml:space="preserve">Open-access resource production</w:t>
            </w:r>
          </w:p>
        </w:tc>
        <w:tc>
          <w:tcPr/>
          <w:p>
            <w:pPr>
              <w:pStyle w:val="Compact"/>
            </w:pPr>
            <w:r>
              <w:t xml:space="preserve">$1,500</w:t>
            </w:r>
          </w:p>
        </w:tc>
        <w:tc>
          <w:tcPr/>
          <w:p>
            <w:pPr>
              <w:pStyle w:val="Compact"/>
            </w:pPr>
            <w:r>
              <w:t xml:space="preserve">Facilitation guide, nudge variant library, task design principles, and exit survey instrument. Design and hosting via Curtin repository and The AI Exchange platform.</w:t>
            </w:r>
          </w:p>
        </w:tc>
      </w:tr>
      <w:tr>
        <w:tc>
          <w:tcPr/>
          <w:p>
            <w:pPr>
              <w:pStyle w:val="Compact"/>
            </w:pPr>
            <w:r>
              <w:t xml:space="preserve">Contingency</w:t>
            </w:r>
          </w:p>
        </w:tc>
        <w:tc>
          <w:tcPr/>
          <w:p>
            <w:pPr>
              <w:pStyle w:val="Compact"/>
            </w:pPr>
            <w:r>
              <w:t xml:space="preserve">$500</w:t>
            </w:r>
          </w:p>
        </w:tc>
        <w:tc>
          <w:tcPr/>
          <w:p>
            <w:pPr>
              <w:pStyle w:val="Compact"/>
            </w:pPr>
            <w:r>
              <w:t xml:space="preserve">Ethics costs, minor infrastructure, unanticipated session costs.</w:t>
            </w:r>
          </w:p>
        </w:tc>
      </w:tr>
      <w:tr>
        <w:tc>
          <w:tcPr/>
          <w:p>
            <w:pPr>
              <w:pStyle w:val="Compact"/>
            </w:pPr>
            <w:r>
              <w:rPr>
                <w:b/>
                <w:bCs/>
              </w:rPr>
              <w:t xml:space="preserve">TOTAL</w:t>
            </w:r>
          </w:p>
        </w:tc>
        <w:tc>
          <w:tcPr/>
          <w:p>
            <w:pPr>
              <w:pStyle w:val="Compact"/>
            </w:pPr>
            <w:r>
              <w:rPr>
                <w:b/>
                <w:bCs/>
              </w:rPr>
              <w:t xml:space="preserve">$20,000</w:t>
            </w:r>
          </w:p>
        </w:tc>
        <w:tc>
          <w:tcPr/>
          <w:p>
            <w:pPr>
              <w:pStyle w:val="Compact"/>
            </w:pPr>
          </w:p>
        </w:tc>
      </w:tr>
    </w:tbl>
    <w:p>
      <w:r>
        <w:pict>
          <v:rect style="width:0;height:1.5pt" o:hralign="center" o:hrstd="t" o:hr="t"/>
        </w:pict>
      </w:r>
    </w:p>
    <w:bookmarkEnd w:id="44"/>
    <w:bookmarkStart w:id="45" w:name="timeline"/>
    <w:p>
      <w:pPr>
        <w:pStyle w:val="Heading2"/>
      </w:pPr>
      <w:r>
        <w:t xml:space="preserve">8. Timeline</w:t>
      </w:r>
    </w:p>
    <w:tbl>
      <w:tblPr>
        <w:tblStyle w:val="Table"/>
        <w:tblW w:type="pct" w:w="5000"/>
        <w:tblLayout w:type="fixed"/>
        <w:tblLook w:firstRow="1" w:lastRow="0" w:firstColumn="0" w:lastColumn="0" w:noHBand="0" w:noVBand="0" w:val="0020"/>
      </w:tblPr>
      <w:tblGrid>
        <w:gridCol w:w="2346"/>
        <w:gridCol w:w="2053"/>
        <w:gridCol w:w="3520"/>
      </w:tblGrid>
      <w:tr>
        <w:trPr>
          <w:tblHeader w:val="on"/>
        </w:trPr>
        <w:tc>
          <w:tcPr/>
          <w:p>
            <w:pPr>
              <w:pStyle w:val="Compact"/>
            </w:pPr>
            <w:r>
              <w:t xml:space="preserve">Period</w:t>
            </w:r>
          </w:p>
        </w:tc>
        <w:tc>
          <w:tcPr/>
          <w:p>
            <w:pPr>
              <w:pStyle w:val="Compact"/>
            </w:pPr>
            <w:r>
              <w:t xml:space="preserve">Phase</w:t>
            </w:r>
          </w:p>
        </w:tc>
        <w:tc>
          <w:tcPr/>
          <w:p>
            <w:pPr>
              <w:pStyle w:val="Compact"/>
            </w:pPr>
            <w:r>
              <w:t xml:space="preserve">Activities</w:t>
            </w:r>
          </w:p>
        </w:tc>
      </w:tr>
      <w:tr>
        <w:tc>
          <w:tcPr/>
          <w:p>
            <w:pPr>
              <w:pStyle w:val="Compact"/>
            </w:pPr>
            <w:r>
              <w:rPr>
                <w:b/>
                <w:bCs/>
              </w:rPr>
              <w:t xml:space="preserve">March-April 2026</w:t>
            </w:r>
          </w:p>
        </w:tc>
        <w:tc>
          <w:tcPr/>
          <w:p>
            <w:pPr>
              <w:pStyle w:val="Compact"/>
            </w:pPr>
            <w:r>
              <w:t xml:space="preserve">Foundation</w:t>
            </w:r>
          </w:p>
        </w:tc>
        <w:tc>
          <w:tcPr/>
          <w:p>
            <w:pPr>
              <w:pStyle w:val="Compact"/>
            </w:pPr>
            <w:r>
              <w:t xml:space="preserve">Finalise and submit HREC application. Confirm co-investigators and units. Finalise nudge wording. Configure AI interface per unit. Recruit casual RA.</w:t>
            </w:r>
          </w:p>
        </w:tc>
      </w:tr>
      <w:tr>
        <w:tc>
          <w:tcPr/>
          <w:p>
            <w:pPr>
              <w:pStyle w:val="Compact"/>
            </w:pPr>
            <w:r>
              <w:rPr>
                <w:b/>
                <w:bCs/>
              </w:rPr>
              <w:t xml:space="preserve">May-June 2026</w:t>
            </w:r>
          </w:p>
        </w:tc>
        <w:tc>
          <w:tcPr/>
          <w:p>
            <w:pPr>
              <w:pStyle w:val="Compact"/>
            </w:pPr>
            <w:r>
              <w:t xml:space="preserve">Instrument development</w:t>
            </w:r>
          </w:p>
        </w:tc>
        <w:tc>
          <w:tcPr/>
          <w:p>
            <w:pPr>
              <w:pStyle w:val="Compact"/>
            </w:pPr>
            <w:r>
              <w:t xml:space="preserve">Finalise discipline-specific task briefs with co-investigators. Develop and pilot exit survey. Establish coding scheme on existing CloudCore transcripts. Brief and onboard RA. Run power analysis.</w:t>
            </w:r>
          </w:p>
        </w:tc>
      </w:tr>
      <w:tr>
        <w:tc>
          <w:tcPr/>
          <w:p>
            <w:pPr>
              <w:pStyle w:val="Compact"/>
            </w:pPr>
            <w:r>
              <w:rPr>
                <w:b/>
                <w:bCs/>
              </w:rPr>
              <w:t xml:space="preserve">July-Oct 2026</w:t>
            </w:r>
          </w:p>
        </w:tc>
        <w:tc>
          <w:tcPr/>
          <w:p>
            <w:pPr>
              <w:pStyle w:val="Compact"/>
            </w:pPr>
            <w:r>
              <w:t xml:space="preserve">Data collection</w:t>
            </w:r>
          </w:p>
        </w:tc>
        <w:tc>
          <w:tcPr/>
          <w:p>
            <w:pPr>
              <w:pStyle w:val="Compact"/>
            </w:pPr>
            <w:r>
              <w:t xml:space="preserve">Deliver 1-2 lab sessions per unit (Semester 2). Monitor transcript logging per condition. Administer exit surveys.</w:t>
            </w:r>
          </w:p>
        </w:tc>
      </w:tr>
      <w:tr>
        <w:tc>
          <w:tcPr/>
          <w:p>
            <w:pPr>
              <w:pStyle w:val="Compact"/>
            </w:pPr>
            <w:r>
              <w:rPr>
                <w:b/>
                <w:bCs/>
              </w:rPr>
              <w:t xml:space="preserve">Nov-Dec 2026</w:t>
            </w:r>
          </w:p>
        </w:tc>
        <w:tc>
          <w:tcPr/>
          <w:p>
            <w:pPr>
              <w:pStyle w:val="Compact"/>
            </w:pPr>
            <w:r>
              <w:t xml:space="preserve">Coding and analysis</w:t>
            </w:r>
          </w:p>
        </w:tc>
        <w:tc>
          <w:tcPr/>
          <w:p>
            <w:pPr>
              <w:pStyle w:val="Compact"/>
            </w:pPr>
            <w:r>
              <w:t xml:space="preserve">Run de-identification script; destroy linkage table. RA codes full transcript set on behavioural dimensions. Co-investigators independently code calibration samples from their own units. Inter-rater reliability calculated per unit (Cohen’s kappa). Lead investigator adjudicates divergences. Quantitative analysis including equity-disaggregated reporting.</w:t>
            </w:r>
          </w:p>
        </w:tc>
      </w:tr>
      <w:tr>
        <w:tc>
          <w:tcPr/>
          <w:p>
            <w:pPr>
              <w:pStyle w:val="Compact"/>
            </w:pPr>
            <w:r>
              <w:rPr>
                <w:b/>
                <w:bCs/>
              </w:rPr>
              <w:t xml:space="preserve">Jan-Mar 2027</w:t>
            </w:r>
          </w:p>
        </w:tc>
        <w:tc>
          <w:tcPr/>
          <w:p>
            <w:pPr>
              <w:pStyle w:val="Compact"/>
            </w:pPr>
            <w:r>
              <w:t xml:space="preserve">Writing and dissemination</w:t>
            </w:r>
          </w:p>
        </w:tc>
        <w:tc>
          <w:tcPr/>
          <w:p>
            <w:pPr>
              <w:pStyle w:val="Compact"/>
            </w:pPr>
            <w:r>
              <w:t xml:space="preserve">Draft ACIS 2027 paper. Produce open-access resource pack. Internal SoMM presentation.</w:t>
            </w:r>
          </w:p>
        </w:tc>
      </w:tr>
      <w:tr>
        <w:tc>
          <w:tcPr/>
          <w:p>
            <w:pPr>
              <w:pStyle w:val="Compact"/>
            </w:pPr>
            <w:r>
              <w:rPr>
                <w:b/>
                <w:bCs/>
              </w:rPr>
              <w:t xml:space="preserve">Apr-Jun 2027</w:t>
            </w:r>
          </w:p>
        </w:tc>
        <w:tc>
          <w:tcPr/>
          <w:p>
            <w:pPr>
              <w:pStyle w:val="Compact"/>
            </w:pPr>
            <w:r>
              <w:t xml:space="preserve">Reporting and completion</w:t>
            </w:r>
          </w:p>
        </w:tc>
        <w:tc>
          <w:tcPr/>
          <w:p>
            <w:pPr>
              <w:pStyle w:val="Compact"/>
            </w:pPr>
            <w:r>
              <w:t xml:space="preserve">NBF final report. Equity outcome reporting. Resource pack published. Scope follow-on study.</w:t>
            </w:r>
          </w:p>
        </w:tc>
      </w:tr>
    </w:tbl>
    <w:p>
      <w:r>
        <w:pict>
          <v:rect style="width:0;height:1.5pt" o:hralign="center" o:hrstd="t" o:hr="t"/>
        </w:pict>
      </w:r>
    </w:p>
    <w:bookmarkEnd w:id="45"/>
    <w:bookmarkStart w:id="46" w:name="Xa1ac5f1c027b4b14dbb16ee4b8f037b8ea4766c"/>
    <w:p>
      <w:pPr>
        <w:pStyle w:val="Heading2"/>
      </w:pPr>
      <w:r>
        <w:t xml:space="preserve">9. Relationship to Existing Work and Curtin Strategy</w:t>
      </w:r>
    </w:p>
    <w:p>
      <w:pPr>
        <w:pStyle w:val="BlockText"/>
      </w:pPr>
      <w:r>
        <w:rPr>
          <w:i/>
          <w:iCs/>
        </w:rPr>
        <w:t xml:space="preserve">Suggested length: 200-300 words.</w:t>
      </w:r>
    </w:p>
    <w:p>
      <w:pPr>
        <w:pStyle w:val="FirstParagraph"/>
      </w:pPr>
      <w:r>
        <w:t xml:space="preserve">This project builds on teaching practice and infrastructure already in place, not on a blank slate.</w:t>
      </w:r>
    </w:p>
    <w:p>
      <w:pPr>
        <w:pStyle w:val="BodyText"/>
      </w:pPr>
      <w:r>
        <w:t xml:space="preserve">The CloudCore Networks environment, already used in ISYS6018, provides a proven model for AI-mediated task design with automatic transcript logging. A working prototype of the nudge tool is deployed and testable. The Conversation, Not Delegation framework (Borck, 2026) provides the pedagogical grounding and has been developed through direct teaching experience with AI-integrated assessment.</w:t>
      </w:r>
    </w:p>
    <w:p>
      <w:pPr>
        <w:pStyle w:val="BodyText"/>
      </w:pPr>
      <w:r>
        <w:t xml:space="preserve">The project aligns with Curtin’s Learning and Teaching Strategy commitments to student-centred learning, equity of access, and scholarship of learning and teaching. It supports NBF reporting obligations by generating equity-disaggregated evidence on student outcomes. It contributes to the Assessment 2030 agenda through its emphasis on process-over-product assessment design that is more resistant to passive AI delegation.</w:t>
      </w:r>
    </w:p>
    <w:p>
      <w:pPr>
        <w:pStyle w:val="BodyText"/>
      </w:pPr>
      <w:r>
        <w:t xml:space="preserve">Findings will feed into the AI Skills Passport programme and The AI Exchange platform - both live institutional infrastructure for AI professional development at Curtin - ensuring the approach reaches teaching staff across the university, not only the research record. The open-access resource pack means any unit can adopt the intervention without needing to build its own infrastructure.</w:t>
      </w:r>
    </w:p>
    <w:p>
      <w:r>
        <w:pict>
          <v:rect style="width:0;height:1.5pt" o:hralign="center" o:hrstd="t" o:hr="t"/>
        </w:pict>
      </w:r>
    </w:p>
    <w:bookmarkEnd w:id="46"/>
    <w:bookmarkStart w:id="47" w:name="evaluation-and-reporting"/>
    <w:p>
      <w:pPr>
        <w:pStyle w:val="Heading2"/>
      </w:pPr>
      <w:r>
        <w:t xml:space="preserve">10. Evaluation and Reporting</w:t>
      </w:r>
    </w:p>
    <w:p>
      <w:pPr>
        <w:pStyle w:val="BlockText"/>
      </w:pPr>
      <w:r>
        <w:rPr>
          <w:i/>
          <w:iCs/>
        </w:rPr>
        <w:t xml:space="preserve">Suggested length: 150-250 words.</w:t>
      </w:r>
    </w:p>
    <w:p>
      <w:pPr>
        <w:pStyle w:val="FirstParagraph"/>
      </w:pPr>
      <w:r>
        <w:t xml:space="preserve">The evaluation asks three questions: Did the nudge change how students interacted with AI? Did it improve their work? Did it matter more for low SES students?</w:t>
      </w:r>
    </w:p>
    <w:p>
      <w:pPr>
        <w:pStyle w:val="BodyText"/>
      </w:pPr>
      <w:r>
        <w:rPr>
          <w:b/>
          <w:bCs/>
        </w:rPr>
        <w:t xml:space="preserve">How we answer them</w:t>
      </w:r>
    </w:p>
    <w:p>
      <w:pPr>
        <w:pStyle w:val="Compact"/>
        <w:numPr>
          <w:ilvl w:val="0"/>
          <w:numId w:val="1006"/>
        </w:numPr>
      </w:pPr>
      <w:r>
        <w:t xml:space="preserve">Compare interaction quality and task outcomes between nudge and control groups, accounting for the fact that students are nested within different units</w:t>
      </w:r>
    </w:p>
    <w:p>
      <w:pPr>
        <w:pStyle w:val="Compact"/>
        <w:numPr>
          <w:ilvl w:val="0"/>
          <w:numId w:val="1006"/>
        </w:numPr>
      </w:pPr>
      <w:r>
        <w:t xml:space="preserve">Disaggregate all results by low SES status to test whether the benefit is uniform or differential</w:t>
      </w:r>
    </w:p>
    <w:p>
      <w:pPr>
        <w:pStyle w:val="Compact"/>
        <w:numPr>
          <w:ilvl w:val="0"/>
          <w:numId w:val="1006"/>
        </w:numPr>
      </w:pPr>
      <w:r>
        <w:t xml:space="preserve">Review a sample of transcripts to illustrate how the nudge works in practice - particularly cases where it caught and corrected a plausible but incorrect AI response</w:t>
      </w:r>
    </w:p>
    <w:p>
      <w:pPr>
        <w:pStyle w:val="Compact"/>
        <w:numPr>
          <w:ilvl w:val="0"/>
          <w:numId w:val="1006"/>
        </w:numPr>
      </w:pPr>
      <w:r>
        <w:t xml:space="preserve">Prior AI experience is checked as a baseline factor; confidence calibration is analysed within each unit</w:t>
      </w:r>
    </w:p>
    <w:p>
      <w:pPr>
        <w:pStyle w:val="FirstParagraph"/>
      </w:pPr>
      <w:r>
        <w:rPr>
          <w:b/>
          <w:bCs/>
        </w:rPr>
        <w:t xml:space="preserve">Reporting</w:t>
      </w:r>
    </w:p>
    <w:p>
      <w:pPr>
        <w:pStyle w:val="BodyText"/>
      </w:pPr>
      <w:r>
        <w:t xml:space="preserve">An NBF progress report will be submitted in Semester 1 2027 covering: session delivery, participation and attainment outcomes by equity cohort, resource pack publication status, and peer-reviewed paper submission. The report will address directly whether outcomes differed for low SES students and what the findings imply for future teaching practice.</w:t>
      </w:r>
    </w:p>
    <w:p>
      <w:pPr>
        <w:pStyle w:val="BodyText"/>
      </w:pPr>
      <w:r>
        <w:t xml:space="preserve">The ACIS 2027 paper submission provides an external peer-review checkpoint.</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Borck, M. (2026).</w:t>
      </w:r>
      <w:r>
        <w:t xml:space="preserve"> </w:t>
      </w:r>
      <w:r>
        <w:rPr>
          <w:i/>
          <w:iCs/>
        </w:rPr>
        <w:t xml:space="preserve">Conversation, Not Delegation.</w:t>
      </w:r>
      <w:r>
        <w:t xml:space="preserve"> </w:t>
      </w:r>
      <w:r>
        <w:t xml:space="preserve">KDP. ISBN 979-8252824550.</w:t>
      </w:r>
    </w:p>
    <w:p>
      <w:pPr>
        <w:pStyle w:val="BodyText"/>
      </w:pPr>
      <w:r>
        <w:t xml:space="preserve">Frontiers in Psychology. (2025). Optimizing academic engagement and mental health through AI: An experimental study on LLM integration in higher education.</w:t>
      </w:r>
      <w:r>
        <w:t xml:space="preserve"> </w:t>
      </w:r>
      <w:r>
        <w:rPr>
          <w:i/>
          <w:iCs/>
        </w:rPr>
        <w:t xml:space="preserve">Frontiers in Psychology, 16.</w:t>
      </w:r>
      <w:r>
        <w:t xml:space="preserve"> </w:t>
      </w:r>
      <w:r>
        <w:t xml:space="preserve">https://doi.org/10.3389/fpsyg.2025.1641212</w:t>
      </w:r>
    </w:p>
    <w:p>
      <w:pPr>
        <w:pStyle w:val="BodyText"/>
      </w:pPr>
      <w:r>
        <w:t xml:space="preserve">Kasneci, E., Sessler, K., Küchemann, S., Bannert, M., Dementieva, D., Fischer, F., … and Kasneci, G. (2023). ChatGPT for good? On opportunities and challenges of large language models for education.</w:t>
      </w:r>
      <w:r>
        <w:t xml:space="preserve"> </w:t>
      </w:r>
      <w:r>
        <w:rPr>
          <w:i/>
          <w:iCs/>
        </w:rPr>
        <w:t xml:space="preserve">Learning and Individual Differences, 103,</w:t>
      </w:r>
      <w:r>
        <w:t xml:space="preserve"> </w:t>
      </w:r>
      <w:r>
        <w:t xml:space="preserve">102274. https://doi.org/10.1016/j.lindif.2023.102274</w:t>
      </w:r>
    </w:p>
    <w:p>
      <w:pPr>
        <w:pStyle w:val="BodyText"/>
      </w:pPr>
      <w:r>
        <w:t xml:space="preserve">Laurillard, D. (2002).</w:t>
      </w:r>
      <w:r>
        <w:t xml:space="preserve"> </w:t>
      </w:r>
      <w:r>
        <w:rPr>
          <w:i/>
          <w:iCs/>
        </w:rPr>
        <w:t xml:space="preserve">Rethinking University Teaching: A Conversational Framework for the Effective Use of Learning Technologies</w:t>
      </w:r>
      <w:r>
        <w:t xml:space="preserve"> </w:t>
      </w:r>
      <w:r>
        <w:t xml:space="preserve">(2nd ed.). RoutledgeFalmer.</w:t>
      </w:r>
    </w:p>
    <w:p>
      <w:pPr>
        <w:pStyle w:val="BodyText"/>
      </w:pPr>
      <w:r>
        <w:t xml:space="preserve">Mollick, E. R., and Mollick, L. (2023). Assigning AI: Seven approaches for students, with prompts.</w:t>
      </w:r>
      <w:r>
        <w:t xml:space="preserve"> </w:t>
      </w:r>
      <w:r>
        <w:rPr>
          <w:i/>
          <w:iCs/>
        </w:rPr>
        <w:t xml:space="preserve">The Wharton School Research Paper.</w:t>
      </w:r>
      <w:r>
        <w:t xml:space="preserve"> </w:t>
      </w:r>
      <w:r>
        <w:t xml:space="preserve">https://ssrn.com/abstract=4475995</w:t>
      </w:r>
    </w:p>
    <w:p>
      <w:pPr>
        <w:pStyle w:val="BodyText"/>
      </w:pPr>
      <w:r>
        <w:t xml:space="preserve">National Health and Medical Research Council. (2023).</w:t>
      </w:r>
      <w:r>
        <w:t xml:space="preserve"> </w:t>
      </w:r>
      <w:r>
        <w:rPr>
          <w:i/>
          <w:iCs/>
        </w:rPr>
        <w:t xml:space="preserve">National Statement on Ethical Conduct in Human Research</w:t>
      </w:r>
      <w:r>
        <w:t xml:space="preserve"> </w:t>
      </w:r>
      <w:r>
        <w:t xml:space="preserve">(2023 update). Australian Government.</w:t>
      </w:r>
    </w:p>
    <w:p>
      <w:pPr>
        <w:pStyle w:val="BodyText"/>
      </w:pPr>
      <w:r>
        <w:t xml:space="preserve">Stojanov, A., Grønbæk, N., and Kulahci, M. (2024). Can we delegate learning to automation? A comparative study of LLM chatbots, search engines, and books.</w:t>
      </w:r>
      <w:r>
        <w:t xml:space="preserve"> </w:t>
      </w:r>
      <w:r>
        <w:rPr>
          <w:i/>
          <w:iCs/>
        </w:rPr>
        <w:t xml:space="preserve">arXiv preprint.</w:t>
      </w:r>
      <w:r>
        <w:t xml:space="preserve"> </w:t>
      </w:r>
      <w:r>
        <w:t xml:space="preserve">https://arxiv.org/abs/2410.01396</w:t>
      </w:r>
    </w:p>
    <w:p>
      <w:pPr>
        <w:pStyle w:val="BodyText"/>
      </w:pPr>
      <w:r>
        <w:t xml:space="preserve">Thaler, R. H., and Sunstein, C. R. (2008).</w:t>
      </w:r>
      <w:r>
        <w:t xml:space="preserve"> </w:t>
      </w:r>
      <w:r>
        <w:rPr>
          <w:i/>
          <w:iCs/>
        </w:rPr>
        <w:t xml:space="preserve">Nudge: Improving Decisions About Health, Wealth, and Happiness.</w:t>
      </w:r>
      <w:r>
        <w:t xml:space="preserve"> </w:t>
      </w:r>
      <w:r>
        <w:t xml:space="preserve">Yale University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Harvard University Press.</w:t>
      </w:r>
    </w:p>
    <w:p>
      <w:r>
        <w:pict>
          <v:rect style="width:0;height:1.5pt" o:hralign="center" o:hrstd="t" o:hr="t"/>
        </w:pict>
      </w:r>
    </w:p>
    <w:bookmarkEnd w:id="48"/>
    <w:bookmarkStart w:id="49" w:name="applicant-checklist-before-submission"/>
    <w:p>
      <w:pPr>
        <w:pStyle w:val="Heading2"/>
      </w:pPr>
      <w:r>
        <w:t xml:space="preserve">Applicant Checklist Before Submission</w:t>
      </w:r>
    </w:p>
    <w:p>
      <w:pPr>
        <w:pStyle w:val="Compact"/>
        <w:numPr>
          <w:ilvl w:val="0"/>
          <w:numId w:val="1007"/>
        </w:numPr>
      </w:pPr>
      <w:r>
        <w:t xml:space="preserve">HREC application submitted - insert date in Cover Information and Section 4.6</w:t>
      </w:r>
    </w:p>
    <w:p>
      <w:pPr>
        <w:pStyle w:val="Compact"/>
        <w:numPr>
          <w:ilvl w:val="0"/>
          <w:numId w:val="1008"/>
        </w:numPr>
      </w:pPr>
      <w:r>
        <w:t xml:space="preserve">Equity cohort data confirmed - % low SES and % first-in-family across participating units (from Curtin SIMS)</w:t>
      </w:r>
    </w:p>
    <w:p>
      <w:pPr>
        <w:pStyle w:val="Compact"/>
        <w:numPr>
          <w:ilvl w:val="0"/>
          <w:numId w:val="1009"/>
        </w:numPr>
      </w:pPr>
      <w:r>
        <w:t xml:space="preserve">Marcela confirmed - full name, role, one-sentence contribution</w:t>
      </w:r>
    </w:p>
    <w:p>
      <w:pPr>
        <w:pStyle w:val="Compact"/>
        <w:numPr>
          <w:ilvl w:val="0"/>
          <w:numId w:val="1010"/>
        </w:numPr>
      </w:pPr>
      <w:r>
        <w:t xml:space="preserve">Torsten confirmed - full name, role, school, unit name</w:t>
      </w:r>
    </w:p>
    <w:p>
      <w:pPr>
        <w:pStyle w:val="Compact"/>
        <w:numPr>
          <w:ilvl w:val="0"/>
          <w:numId w:val="1011"/>
        </w:numPr>
      </w:pPr>
      <w:r>
        <w:t xml:space="preserve">Potential fourth co-investigator (People and Culture / HR) - awaiting response</w:t>
      </w:r>
    </w:p>
    <w:p>
      <w:pPr>
        <w:pStyle w:val="Compact"/>
        <w:numPr>
          <w:ilvl w:val="0"/>
          <w:numId w:val="1012"/>
        </w:numPr>
      </w:pPr>
      <w:r>
        <w:t xml:space="preserve">Aboriginal and/or Torres Strait Islander section - active decision to include or remove Section 2.4</w:t>
      </w:r>
    </w:p>
    <w:p>
      <w:pPr>
        <w:pStyle w:val="Compact"/>
        <w:numPr>
          <w:ilvl w:val="0"/>
          <w:numId w:val="1013"/>
        </w:numPr>
      </w:pPr>
      <w:r>
        <w:t xml:space="preserve">Power analysis completed once cohort sizes confirmed</w:t>
      </w:r>
    </w:p>
    <w:p>
      <w:pPr>
        <w:pStyle w:val="Compact"/>
        <w:numPr>
          <w:ilvl w:val="0"/>
          <w:numId w:val="1014"/>
        </w:numPr>
      </w:pPr>
      <w:r>
        <w:t xml:space="preserve">Discipline lead informed separately before submission</w:t>
      </w:r>
    </w:p>
    <w:p>
      <w:pPr>
        <w:pStyle w:val="Compact"/>
        <w:numPr>
          <w:ilvl w:val="0"/>
          <w:numId w:val="1015"/>
        </w:numPr>
      </w:pPr>
      <w:r>
        <w:t xml:space="preserve">Borck (2026) ISBN inserted (979-8252824550)</w:t>
      </w:r>
    </w:p>
    <w:p>
      <w:pPr>
        <w:pStyle w:val="Compact"/>
        <w:numPr>
          <w:ilvl w:val="0"/>
          <w:numId w:val="1016"/>
        </w:numPr>
      </w:pPr>
      <w:r>
        <w:t xml:space="preserve">ACIS 2027 location confirmed - adjust travel line in budget if held in Perth</w:t>
      </w:r>
    </w:p>
    <w:p>
      <w:pPr>
        <w:pStyle w:val="Compact"/>
        <w:numPr>
          <w:ilvl w:val="0"/>
          <w:numId w:val="1017"/>
        </w:numPr>
      </w:pPr>
      <w:r>
        <w:t xml:space="preserve">Talk to Business and Law RDA (Dr Joanne McEwan) before submission</w:t>
      </w:r>
    </w:p>
    <w:p>
      <w:r>
        <w:pict>
          <v:rect style="width:0;height:1.5pt" o:hralign="center" o:hrstd="t" o:hr="t"/>
        </w:pict>
      </w:r>
    </w:p>
    <w:p>
      <w:pPr>
        <w:pStyle w:val="FirstParagraph"/>
      </w:pPr>
      <w:r>
        <w:rPr>
          <w:i/>
          <w:iCs/>
        </w:rPr>
        <w:t xml:space="preserve">Draft v6.0, March 2026. keep-asking project: github.com/michael-borck/keep-asking</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3"/>
  </w:num>
  <w:num w:numId="1016">
    <w:abstractNumId w:val="992"/>
  </w:num>
  <w:num w:numId="101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NBF Grant Application 2026</dc:title>
  <dc:creator/>
  <cp:keywords/>
  <dcterms:created xsi:type="dcterms:W3CDTF">2026-03-25T06:28:56Z</dcterms:created>
  <dcterms:modified xsi:type="dcterms:W3CDTF">2026-03-25T06:28:56Z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Application Draft - Version 6.0, March 2026</vt:lpwstr>
  </property>
  <property fmtid="{D5CDD505-2E9C-101B-9397-08002B2CF9AE}" pid="8" name="toc-title">
    <vt:lpwstr>Table of contents</vt:lpwstr>
  </property>
</Properties>
</file>