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Methodology</w:t>
      </w:r>
    </w:p>
    <w:p>
      <w:pPr>
        <w:pStyle w:val="Subtitle"/>
      </w:pPr>
      <w:r>
        <w:t xml:space="preserve">Study Design and Procedures</w:t>
      </w:r>
    </w:p>
    <w:bookmarkStart w:id="20" w:name="research-design"/>
    <w:p>
      <w:pPr>
        <w:pStyle w:val="Heading2"/>
      </w:pPr>
      <w:r>
        <w:t xml:space="preserve">Research Design</w:t>
      </w:r>
    </w:p>
    <w:p>
      <w:pPr>
        <w:pStyle w:val="FirstParagraph"/>
      </w:pPr>
      <w:r>
        <w:t xml:space="preserve">Randomised controlled experiment. Individual-level randomisation to nudge vs control condition within structured lab sessions across three or more university units spanning Information Systems, Supply Chain Management, and Marketing.</w:t>
      </w:r>
    </w:p>
    <w:p>
      <w:pPr>
        <w:pStyle w:val="BodyText"/>
      </w:pPr>
      <w:r>
        <w:t xml:space="preserve">All sessions use a frontier-class AI model (Claude or GPT-4 class) accessed via API. This is a deliberate design choice: to isolate the effect of the nudge, the underlying model must be capable enough that variation in output quality reflects student interaction rather than model limitations.</w:t>
      </w:r>
    </w:p>
    <w:bookmarkEnd w:id="20"/>
    <w:bookmarkStart w:id="21" w:name="participants-and-recruitment"/>
    <w:p>
      <w:pPr>
        <w:pStyle w:val="Heading2"/>
      </w:pPr>
      <w:r>
        <w:t xml:space="preserve">Participants and Recruitment</w:t>
      </w:r>
    </w:p>
    <w:p>
      <w:pPr>
        <w:pStyle w:val="FirstParagraph"/>
      </w:pPr>
      <w:r>
        <w:rPr>
          <w:b/>
          <w:bCs/>
        </w:rPr>
        <w:t xml:space="preserve">Population:</w:t>
      </w:r>
      <w:r>
        <w:t xml:space="preserve"> </w:t>
      </w:r>
      <w:r>
        <w:t xml:space="preserve">Curtin students enrolled in participating units (ISYS6018 Information Security Audit and Control, MGMT6076 Supply Chain Digitalisation and Innovation, MKTG1000 Discovering Marketing). Participation is voluntary and does not affect grades.</w:t>
      </w:r>
    </w:p>
    <w:p>
      <w:pPr>
        <w:pStyle w:val="BodyText"/>
      </w:pPr>
      <w:r>
        <w:rPr>
          <w:b/>
          <w:bCs/>
        </w:rPr>
        <w:t xml:space="preserve">Target sample:</w:t>
      </w:r>
      <w:r>
        <w:t xml:space="preserve"> </w:t>
      </w:r>
      <w:r>
        <w:t xml:space="preserve">Combined enrolment across three units is approximately 300 students (ISYS6018 ~50, MGMT6076 ~30, MKTG1000 ~220). Estimated 100-200 voluntary participants. A power analysis will be finalised once participation rates are confirmed.</w:t>
      </w:r>
    </w:p>
    <w:p>
      <w:pPr>
        <w:pStyle w:val="BodyText"/>
      </w:pPr>
      <w:r>
        <w:rPr>
          <w:b/>
          <w:bCs/>
        </w:rPr>
        <w:t xml:space="preserve">Recruitment:</w:t>
      </w:r>
      <w:r>
        <w:t xml:space="preserve"> </w:t>
      </w:r>
      <w:r>
        <w:t xml:space="preserve">Via PI and co-investigators with plain-language invitations on LMS and email. Session timing varied to accommodate students with work or caring commitments. Purposive encouragement of participation from low SES and first-in-family students.</w:t>
      </w:r>
    </w:p>
    <w:p>
      <w:pPr>
        <w:pStyle w:val="BodyText"/>
      </w:pPr>
      <w:r>
        <w:rPr>
          <w:b/>
          <w:bCs/>
        </w:rPr>
        <w:t xml:space="preserve">Inclusion:</w:t>
      </w:r>
      <w:r>
        <w:t xml:space="preserve"> </w:t>
      </w:r>
      <w:r>
        <w:t xml:space="preserve">Enrolled students in participating units; aged 18+; able to attend scheduled lab sessions.</w:t>
      </w:r>
    </w:p>
    <w:p>
      <w:pPr>
        <w:pStyle w:val="BodyText"/>
      </w:pPr>
      <w:r>
        <w:rPr>
          <w:b/>
          <w:bCs/>
        </w:rPr>
        <w:t xml:space="preserve">Exclusion:</w:t>
      </w:r>
      <w:r>
        <w:t xml:space="preserve"> </w:t>
      </w:r>
      <w:r>
        <w:t xml:space="preserve">Students under 18; students who do not consent; students without capacity to consent.</w:t>
      </w:r>
    </w:p>
    <w:bookmarkEnd w:id="21"/>
    <w:bookmarkStart w:id="31" w:name="the-intervention"/>
    <w:p>
      <w:pPr>
        <w:pStyle w:val="Heading2"/>
      </w:pPr>
      <w:r>
        <w:t xml:space="preserve">The Intervention</w:t>
      </w:r>
    </w:p>
    <w:bookmarkStart w:id="22" w:name="session-format"/>
    <w:p>
      <w:pPr>
        <w:pStyle w:val="Heading3"/>
      </w:pPr>
      <w:r>
        <w:t xml:space="preserve">Session Format</w:t>
      </w:r>
    </w:p>
    <w:p>
      <w:pPr>
        <w:pStyle w:val="FirstParagraph"/>
      </w:pPr>
      <w:r>
        <w:t xml:space="preserve">Each session follows a consistent format (45-60 minutes):</w:t>
      </w:r>
    </w:p>
    <w:p>
      <w:pPr>
        <w:pStyle w:val="Compact"/>
        <w:numPr>
          <w:ilvl w:val="0"/>
          <w:numId w:val="1001"/>
        </w:numPr>
      </w:pPr>
      <w:r>
        <w:t xml:space="preserve">Student logs in with student number (assigned a random session code)</w:t>
      </w:r>
    </w:p>
    <w:p>
      <w:pPr>
        <w:pStyle w:val="Compact"/>
        <w:numPr>
          <w:ilvl w:val="0"/>
          <w:numId w:val="1001"/>
        </w:numPr>
      </w:pPr>
      <w:r>
        <w:t xml:space="preserve">Student is randomly assigned to nudge or control condition</w:t>
      </w:r>
    </w:p>
    <w:p>
      <w:pPr>
        <w:pStyle w:val="Compact"/>
        <w:numPr>
          <w:ilvl w:val="0"/>
          <w:numId w:val="1001"/>
        </w:numPr>
      </w:pPr>
      <w:r>
        <w:t xml:space="preserve">Student completes a discipline-relevant task using the AI chat interface</w:t>
      </w:r>
    </w:p>
    <w:p>
      <w:pPr>
        <w:pStyle w:val="Compact"/>
        <w:numPr>
          <w:ilvl w:val="0"/>
          <w:numId w:val="1001"/>
        </w:numPr>
      </w:pPr>
      <w:r>
        <w:t xml:space="preserve">Conversations are logged automatically throughout</w:t>
      </w:r>
    </w:p>
    <w:p>
      <w:pPr>
        <w:pStyle w:val="Compact"/>
        <w:numPr>
          <w:ilvl w:val="0"/>
          <w:numId w:val="1001"/>
        </w:numPr>
      </w:pPr>
      <w:r>
        <w:t xml:space="preserve">10-minute exit survey via Qualtrics on completion</w:t>
      </w:r>
    </w:p>
    <w:p>
      <w:pPr>
        <w:pStyle w:val="FirstParagraph"/>
      </w:pPr>
      <w:r>
        <w:t xml:space="preserve">The AI interface is provided and configured by the research team. Students use lab computers; no personal account or device is required.</w:t>
      </w:r>
    </w:p>
    <w:bookmarkEnd w:id="22"/>
    <w:bookmarkStart w:id="24" w:name="the-conversational-nudge"/>
    <w:p>
      <w:pPr>
        <w:pStyle w:val="Heading3"/>
      </w:pPr>
      <w:r>
        <w:t xml:space="preserve">The Conversational Nudge</w:t>
      </w:r>
    </w:p>
    <w:p>
      <w:pPr>
        <w:pStyle w:val="FirstParagraph"/>
      </w:pPr>
      <w:r>
        <w:t xml:space="preserve">In the nudge condition, a short prompt is appended to every AI response. To reduce habituation, the prompt is randomly selected each turn from a pool of 10 variants. All variants follow the same design principles:</w:t>
      </w:r>
    </w:p>
    <w:p>
      <w:pPr>
        <w:pStyle w:val="Compact"/>
        <w:numPr>
          <w:ilvl w:val="0"/>
          <w:numId w:val="1002"/>
        </w:numPr>
      </w:pPr>
      <w:r>
        <w:t xml:space="preserve">Invite pushback, not confirmation</w:t>
      </w:r>
    </w:p>
    <w:p>
      <w:pPr>
        <w:pStyle w:val="Compact"/>
        <w:numPr>
          <w:ilvl w:val="0"/>
          <w:numId w:val="1002"/>
        </w:numPr>
      </w:pPr>
      <w:r>
        <w:t xml:space="preserve">Domain-agnostic (work across all disciplines)</w:t>
      </w:r>
    </w:p>
    <w:p>
      <w:pPr>
        <w:pStyle w:val="Compact"/>
        <w:numPr>
          <w:ilvl w:val="0"/>
          <w:numId w:val="1002"/>
        </w:numPr>
      </w:pPr>
      <w:r>
        <w:t xml:space="preserve">No prior AI experience assumed</w:t>
      </w:r>
    </w:p>
    <w:p>
      <w:pPr>
        <w:pStyle w:val="Compact"/>
        <w:numPr>
          <w:ilvl w:val="0"/>
          <w:numId w:val="1002"/>
        </w:numPr>
      </w:pPr>
      <w:r>
        <w:t xml:space="preserve">Make the conversational path easier, not mandatory</w:t>
      </w:r>
    </w:p>
    <w:p>
      <w:pPr>
        <w:pStyle w:val="FirstParagraph"/>
      </w:pPr>
      <w:r>
        <w:t xml:space="preserve">Example variants:</w:t>
      </w:r>
    </w:p>
    <w:p>
      <w:pPr>
        <w:pStyle w:val="BlockText"/>
      </w:pPr>
      <w:r>
        <w:rPr>
          <w:i/>
          <w:iCs/>
        </w:rPr>
        <w:t xml:space="preserve">“Does that match what you expected? If something seems off, tell me what seems wrong.”</w:t>
      </w:r>
    </w:p>
    <w:p>
      <w:pPr>
        <w:pStyle w:val="BlockText"/>
      </w:pPr>
      <w:r>
        <w:rPr>
          <w:i/>
          <w:iCs/>
        </w:rPr>
        <w:t xml:space="preserve">“What’s the weakest part of that response?”</w:t>
      </w:r>
    </w:p>
    <w:p>
      <w:pPr>
        <w:pStyle w:val="BlockText"/>
      </w:pPr>
      <w:r>
        <w:rPr>
          <w:i/>
          <w:iCs/>
        </w:rPr>
        <w:t xml:space="preserve">“Does that account for the details in your task, or is it a generic answer?”</w:t>
      </w:r>
    </w:p>
    <w:p>
      <w:pPr>
        <w:pStyle w:val="FirstParagraph"/>
      </w:pPr>
      <w:r>
        <w:t xml:space="preserve">The nudge is appended</w:t>
      </w:r>
      <w:r>
        <w:t xml:space="preserve"> </w:t>
      </w:r>
      <w:r>
        <w:rPr>
          <w:b/>
          <w:bCs/>
        </w:rPr>
        <w:t xml:space="preserve">server-side</w:t>
      </w:r>
      <w:r>
        <w:t xml:space="preserve"> </w:t>
      </w:r>
      <w:r>
        <w:t xml:space="preserve">after the AI response. The AI model never sees the nudge text - it is not included in the conversation history sent to the API. This ensures the AI’s behaviour is identical across conditions.</w:t>
      </w:r>
    </w:p>
    <w:p>
      <w:pPr>
        <w:pStyle w:val="BodyText"/>
      </w:pPr>
      <w:r>
        <w:t xml:space="preserve">See</w:t>
      </w:r>
      <w:r>
        <w:t xml:space="preserve"> </w:t>
      </w:r>
      <w:hyperlink r:id="rId23">
        <w:r>
          <w:rPr>
            <w:rStyle w:val="Hyperlink"/>
          </w:rPr>
          <w:t xml:space="preserve">Nudge Variants</w:t>
        </w:r>
      </w:hyperlink>
      <w:r>
        <w:t xml:space="preserve"> </w:t>
      </w:r>
      <w:r>
        <w:t xml:space="preserve">for the full pool.</w:t>
      </w:r>
    </w:p>
    <w:bookmarkEnd w:id="24"/>
    <w:bookmarkStart w:id="25" w:name="system-prompt"/>
    <w:p>
      <w:pPr>
        <w:pStyle w:val="Heading3"/>
      </w:pPr>
      <w:r>
        <w:t xml:space="preserve">System Prompt</w:t>
      </w:r>
    </w:p>
    <w:p>
      <w:pPr>
        <w:pStyle w:val="FirstParagraph"/>
      </w:pPr>
      <w:r>
        <w:t xml:space="preserve">A system prompt instructs the AI model to answer directly without follow-up suggestions, engagement hooks, or offers to elaborate. This prevents the model’s default behaviour from contaminating the control condition (frontier models are trained to keep users engaged, which would create pseudo-nudges in both conditions).</w:t>
      </w:r>
    </w:p>
    <w:bookmarkEnd w:id="25"/>
    <w:bookmarkStart w:id="30" w:name="task-briefs"/>
    <w:p>
      <w:pPr>
        <w:pStyle w:val="Heading3"/>
      </w:pPr>
      <w:r>
        <w:t xml:space="preserve">Task Briefs</w:t>
      </w:r>
    </w:p>
    <w:p>
      <w:pPr>
        <w:pStyle w:val="FirstParagraph"/>
      </w:pPr>
      <w:r>
        <w:t xml:space="preserve">Each discipline has a primary conversational task requiring iterative dialogue to develop a recommendation or analysis:</w:t>
      </w:r>
    </w:p>
    <w:p>
      <w:pPr>
        <w:pStyle w:val="Compact"/>
        <w:numPr>
          <w:ilvl w:val="0"/>
          <w:numId w:val="1003"/>
        </w:numPr>
      </w:pPr>
      <w:hyperlink r:id="rId26">
        <w:r>
          <w:rPr>
            <w:rStyle w:val="Hyperlink"/>
          </w:rPr>
          <w:t xml:space="preserve">Information Systems</w:t>
        </w:r>
      </w:hyperlink>
      <w:r>
        <w:t xml:space="preserve"> </w:t>
      </w:r>
      <w:r>
        <w:t xml:space="preserve">- AI demand forecasting recommendation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Supply Chain Management</w:t>
        </w:r>
      </w:hyperlink>
      <w:r>
        <w:t xml:space="preserve"> </w:t>
      </w:r>
      <w:r>
        <w:t xml:space="preserve">- supply chain resilience briefing</w:t>
      </w:r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Marketing</w:t>
        </w:r>
      </w:hyperlink>
      <w:r>
        <w:t xml:space="preserve"> </w:t>
      </w:r>
      <w:r>
        <w:t xml:space="preserve">- retail channel strategy assessment</w:t>
      </w:r>
    </w:p>
    <w:p>
      <w:pPr>
        <w:pStyle w:val="FirstParagraph"/>
      </w:pPr>
      <w:r>
        <w:t xml:space="preserve">Retrieval-framed task variants are designed for a</w:t>
      </w:r>
      <w:r>
        <w:t xml:space="preserve"> </w:t>
      </w:r>
      <w:hyperlink r:id="rId29">
        <w:r>
          <w:rPr>
            <w:rStyle w:val="Hyperlink"/>
          </w:rPr>
          <w:t xml:space="preserve">planned follow-on study</w:t>
        </w:r>
      </w:hyperlink>
      <w:r>
        <w:t xml:space="preserve">.</w:t>
      </w:r>
    </w:p>
    <w:bookmarkEnd w:id="30"/>
    <w:bookmarkEnd w:id="31"/>
    <w:bookmarkStart w:id="38" w:name="measures"/>
    <w:p>
      <w:pPr>
        <w:pStyle w:val="Heading2"/>
      </w:pPr>
      <w:r>
        <w:t xml:space="preserve">Measures</w:t>
      </w:r>
    </w:p>
    <w:bookmarkStart w:id="32" w:name="automated-measures"/>
    <w:p>
      <w:pPr>
        <w:pStyle w:val="Heading3"/>
      </w:pPr>
      <w:r>
        <w:t xml:space="preserve">Automated Measures</w:t>
      </w:r>
    </w:p>
    <w:p>
      <w:pPr>
        <w:pStyle w:val="FirstParagraph"/>
      </w:pPr>
      <w:r>
        <w:t xml:space="preserve">Computed directly from transcript logs via script. No human coding required.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turns_total</w:t>
            </w:r>
          </w:p>
        </w:tc>
        <w:tc>
          <w:tcPr/>
          <w:p>
            <w:pPr>
              <w:pStyle w:val="Compact"/>
            </w:pPr>
            <w:r>
              <w:t xml:space="preserve">Total student 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turns_coded</w:t>
            </w:r>
          </w:p>
        </w:tc>
        <w:tc>
          <w:tcPr/>
          <w:p>
            <w:pPr>
              <w:pStyle w:val="Compact"/>
            </w:pPr>
            <w:r>
              <w:t xml:space="preserve">Turns coded on behavioural dimensions (Turn 2+)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words_mean_student</w:t>
            </w:r>
          </w:p>
        </w:tc>
        <w:tc>
          <w:tcPr/>
          <w:p>
            <w:pPr>
              <w:pStyle w:val="Compact"/>
            </w:pPr>
            <w:r>
              <w:t xml:space="preserve">Average words per student 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question_marks_proportion</w:t>
            </w:r>
          </w:p>
        </w:tc>
        <w:tc>
          <w:tcPr/>
          <w:p>
            <w:pPr>
              <w:pStyle w:val="Compact"/>
            </w:pPr>
            <w:r>
              <w:t xml:space="preserve">Proportion of turns with a question 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duration_minutes</w:t>
            </w:r>
          </w:p>
        </w:tc>
        <w:tc>
          <w:tcPr/>
          <w:p>
            <w:pPr>
              <w:pStyle w:val="Compact"/>
            </w:pPr>
            <w:r>
              <w:t xml:space="preserve">Session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response_latency_mean</w:t>
            </w:r>
          </w:p>
        </w:tc>
        <w:tc>
          <w:tcPr/>
          <w:p>
            <w:pPr>
              <w:pStyle w:val="Compact"/>
            </w:pPr>
            <w:r>
              <w:t xml:space="preserve">Mean time between AI response and student reply</w:t>
            </w:r>
          </w:p>
        </w:tc>
      </w:tr>
    </w:tbl>
    <w:bookmarkEnd w:id="32"/>
    <w:bookmarkStart w:id="33" w:name="human-coded-behavioural-dimensions"/>
    <w:p>
      <w:pPr>
        <w:pStyle w:val="Heading3"/>
      </w:pPr>
      <w:r>
        <w:t xml:space="preserve">Human-Coded Behavioural Dimensions</w:t>
      </w:r>
    </w:p>
    <w:p>
      <w:pPr>
        <w:pStyle w:val="FirstParagraph"/>
      </w:pPr>
      <w:r>
        <w:t xml:space="preserve">The RA codes 100% of transcripts from</w:t>
      </w:r>
      <w:r>
        <w:t xml:space="preserve"> </w:t>
      </w:r>
      <w:r>
        <w:rPr>
          <w:b/>
          <w:bCs/>
        </w:rPr>
        <w:t xml:space="preserve">Turn 2 onward</w:t>
      </w:r>
      <w:r>
        <w:t xml:space="preserve"> </w:t>
      </w:r>
      <w:r>
        <w:t xml:space="preserve">(Turn 1 is excluded as it cannot be a follow-up, challenge, or extension). Three binary dimensions per turn: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1697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 (FU)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  <w:r>
              <w:t xml:space="preserve">Did the student ask a question that continues the conversation?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 (CH)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  <w:r>
              <w:t xml:space="preserve">Did the student push back on, doubt, or correct the AI?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(EX)</w:t>
            </w:r>
          </w:p>
        </w:tc>
        <w:tc>
          <w:tcPr/>
          <w:p>
            <w:pPr>
              <w:pStyle w:val="Compact"/>
            </w:pPr>
            <w:r>
              <w:t xml:space="preserve">0/1</w:t>
            </w:r>
          </w:p>
        </w:tc>
        <w:tc>
          <w:tcPr/>
          <w:p>
            <w:pPr>
              <w:pStyle w:val="Compact"/>
            </w:pPr>
            <w:r>
              <w:t xml:space="preserve">Did the student introduce new information or a new angle?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Delegation</w:t>
      </w:r>
      <w:r>
        <w:t xml:space="preserve"> </w:t>
      </w:r>
      <w:r>
        <w:t xml:space="preserve">is derived in analysis (FU=0, CH=0, EX=0), not coded separately. This eliminates the possibility of contradictory data.</w:t>
      </w:r>
    </w:p>
    <w:bookmarkEnd w:id="33"/>
    <w:bookmarkStart w:id="34" w:name="turn-level-scoring-dual"/>
    <w:p>
      <w:pPr>
        <w:pStyle w:val="Heading3"/>
      </w:pPr>
      <w:r>
        <w:t xml:space="preserve">Turn-Level Scoring (Dual)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096"/>
        <w:gridCol w:w="1630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Unweighted</w:t>
            </w:r>
          </w:p>
        </w:tc>
        <w:tc>
          <w:tcPr/>
          <w:p>
            <w:pPr>
              <w:pStyle w:val="Compact"/>
            </w:pPr>
            <w:r>
              <w:t xml:space="preserve">FU + CH + EX</w:t>
            </w:r>
          </w:p>
        </w:tc>
        <w:tc>
          <w:tcPr/>
          <w:p>
            <w:pPr>
              <w:pStyle w:val="Compact"/>
            </w:pPr>
            <w:r>
              <w:t xml:space="preserve">0-3</w:t>
            </w:r>
          </w:p>
        </w:tc>
        <w:tc>
          <w:tcPr/>
          <w:p>
            <w:pPr>
              <w:pStyle w:val="Compact"/>
            </w:pPr>
            <w:r>
              <w:t xml:space="preserve">Treats all dimensions equally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Challenge-weighted</w:t>
            </w:r>
          </w:p>
        </w:tc>
        <w:tc>
          <w:tcPr/>
          <w:p>
            <w:pPr>
              <w:pStyle w:val="Compact"/>
            </w:pPr>
            <w:r>
              <w:t xml:space="preserve">FU + 2xCH + EX</w:t>
            </w:r>
          </w:p>
        </w:tc>
        <w:tc>
          <w:tcPr/>
          <w:p>
            <w:pPr>
              <w:pStyle w:val="Compact"/>
            </w:pPr>
            <w:r>
              <w:t xml:space="preserve">0-4</w:t>
            </w:r>
          </w:p>
        </w:tc>
        <w:tc>
          <w:tcPr/>
          <w:p>
            <w:pPr>
              <w:pStyle w:val="Compact"/>
            </w:pPr>
            <w:r>
              <w:t xml:space="preserve">Emphasises Challenge, the dimension most directly targeted by the nudge</w:t>
            </w:r>
          </w:p>
        </w:tc>
      </w:tr>
    </w:tbl>
    <w:p>
      <w:pPr>
        <w:pStyle w:val="BodyText"/>
      </w:pPr>
      <w:r>
        <w:t xml:space="preserve">Both scores are reported. If they converge, the finding is robust to scoring assumptions. If they diverge, it reveals whether the nudge primarily drives challenge behaviour or broader engagement.</w:t>
      </w:r>
    </w:p>
    <w:bookmarkEnd w:id="34"/>
    <w:bookmarkStart w:id="35" w:name="task-completion-score"/>
    <w:p>
      <w:pPr>
        <w:pStyle w:val="Heading3"/>
      </w:pPr>
      <w:r>
        <w:t xml:space="preserve">Task Completion Score</w:t>
      </w:r>
    </w:p>
    <w:p>
      <w:pPr>
        <w:pStyle w:val="FirstParagraph"/>
      </w:pPr>
      <w:r>
        <w:t xml:space="preserve">Scored by co-investigators on their own unit’s transcripts. Scale 1-5 (minimal output to comprehensive analysis).</w:t>
      </w:r>
      <w:r>
        <w:t xml:space="preserve"> </w:t>
      </w:r>
      <w:r>
        <w:rPr>
          <w:b/>
          <w:bCs/>
        </w:rPr>
        <w:t xml:space="preserve">Not comparable across units</w:t>
      </w:r>
      <w:r>
        <w:t xml:space="preserve"> </w:t>
      </w:r>
      <w:r>
        <w:t xml:space="preserve">- discipline-specific rubric anchors.</w:t>
      </w:r>
    </w:p>
    <w:bookmarkEnd w:id="35"/>
    <w:bookmarkStart w:id="37" w:name="exit-survey"/>
    <w:p>
      <w:pPr>
        <w:pStyle w:val="Heading3"/>
      </w:pPr>
      <w:r>
        <w:t xml:space="preserve">Exit Survey</w:t>
      </w:r>
    </w:p>
    <w:p>
      <w:pPr>
        <w:pStyle w:val="FirstParagraph"/>
      </w:pPr>
      <w:r>
        <w:t xml:space="preserve">Administered via Qualtrics. Captures:</w:t>
      </w:r>
    </w:p>
    <w:p>
      <w:pPr>
        <w:pStyle w:val="Compact"/>
        <w:numPr>
          <w:ilvl w:val="0"/>
          <w:numId w:val="1004"/>
        </w:numPr>
      </w:pPr>
      <w:r>
        <w:t xml:space="preserve">Confidence calibration (Q2 vs task score - within-unit only)</w:t>
      </w:r>
    </w:p>
    <w:p>
      <w:pPr>
        <w:pStyle w:val="Compact"/>
        <w:numPr>
          <w:ilvl w:val="0"/>
          <w:numId w:val="1004"/>
        </w:numPr>
      </w:pPr>
      <w:r>
        <w:t xml:space="preserve">Self-reported vs observed interaction style (Q5/Q6 vs coded transcript)</w:t>
      </w:r>
    </w:p>
    <w:p>
      <w:pPr>
        <w:pStyle w:val="Compact"/>
        <w:numPr>
          <w:ilvl w:val="0"/>
          <w:numId w:val="1004"/>
        </w:numPr>
      </w:pPr>
      <w:r>
        <w:t xml:space="preserve">Condition awareness (Q8a - did nudge students notice the nudge?)</w:t>
      </w:r>
    </w:p>
    <w:p>
      <w:pPr>
        <w:pStyle w:val="Compact"/>
        <w:numPr>
          <w:ilvl w:val="0"/>
          <w:numId w:val="1004"/>
        </w:numPr>
      </w:pPr>
      <w:r>
        <w:t xml:space="preserve">Prior AI experience (Q9/Q10 - baseline covariate)</w:t>
      </w:r>
    </w:p>
    <w:p>
      <w:pPr>
        <w:pStyle w:val="FirstParagraph"/>
      </w:pP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Exit Survey</w:t>
        </w:r>
      </w:hyperlink>
      <w:r>
        <w:t xml:space="preserve"> </w:t>
      </w:r>
      <w:r>
        <w:t xml:space="preserve">for the full instrument.</w:t>
      </w:r>
    </w:p>
    <w:bookmarkEnd w:id="37"/>
    <w:bookmarkEnd w:id="38"/>
    <w:bookmarkStart w:id="39" w:name="data-collection-and-de-identification"/>
    <w:p>
      <w:pPr>
        <w:pStyle w:val="Heading2"/>
      </w:pPr>
      <w:r>
        <w:t xml:space="preserve">Data Collection and De-identification</w:t>
      </w:r>
    </w:p>
    <w:p>
      <w:pPr>
        <w:pStyle w:val="Compact"/>
        <w:numPr>
          <w:ilvl w:val="0"/>
          <w:numId w:val="1005"/>
        </w:numPr>
      </w:pPr>
      <w:r>
        <w:t xml:space="preserve">Student enters student number at session login. System assigns a random session code and records a temporary linkage.</w:t>
      </w:r>
    </w:p>
    <w:p>
      <w:pPr>
        <w:pStyle w:val="Compact"/>
        <w:numPr>
          <w:ilvl w:val="0"/>
          <w:numId w:val="1005"/>
        </w:numPr>
      </w:pPr>
      <w:r>
        <w:t xml:space="preserve">All research data (transcripts, task outputs, survey) tagged with session code only.</w:t>
      </w:r>
    </w:p>
    <w:p>
      <w:pPr>
        <w:pStyle w:val="Compact"/>
        <w:numPr>
          <w:ilvl w:val="0"/>
          <w:numId w:val="1005"/>
        </w:numPr>
      </w:pPr>
      <w:r>
        <w:t xml:space="preserve">After data collection closes, the linkage table is used to match equity flags (low SES, first-in-family) from Curtin SIMS.</w:t>
      </w:r>
    </w:p>
    <w:p>
      <w:pPr>
        <w:pStyle w:val="Compact"/>
        <w:numPr>
          <w:ilvl w:val="0"/>
          <w:numId w:val="1005"/>
        </w:numPr>
      </w:pPr>
      <w:r>
        <w:t xml:space="preserve">A de-identification script strips student numbers. The linkage table is permanently destroyed. Destruction is logged and auditable.</w:t>
      </w:r>
    </w:p>
    <w:p>
      <w:pPr>
        <w:pStyle w:val="Compact"/>
        <w:numPr>
          <w:ilvl w:val="0"/>
          <w:numId w:val="1005"/>
        </w:numPr>
      </w:pPr>
      <w:r>
        <w:t xml:space="preserve">The research team analyses a fully de-identified dataset.</w:t>
      </w:r>
    </w:p>
    <w:bookmarkEnd w:id="39"/>
    <w:bookmarkStart w:id="46" w:name="analysis-plan"/>
    <w:p>
      <w:pPr>
        <w:pStyle w:val="Heading2"/>
      </w:pPr>
      <w:r>
        <w:t xml:space="preserve">Analysis Plan</w:t>
      </w:r>
    </w:p>
    <w:bookmarkStart w:id="40" w:name="primary-analysis"/>
    <w:p>
      <w:pPr>
        <w:pStyle w:val="Heading3"/>
      </w:pPr>
      <w:r>
        <w:t xml:space="preserve">Primary Analysis</w:t>
      </w:r>
    </w:p>
    <w:p>
      <w:pPr>
        <w:pStyle w:val="FirstParagraph"/>
      </w:pPr>
      <w:r>
        <w:t xml:space="preserve">Linear mixed-effects model accounting for the nested structure (students within units):</w:t>
      </w:r>
    </w:p>
    <w:p>
      <w:pPr>
        <w:pStyle w:val="SourceCode"/>
      </w:pPr>
      <w:r>
        <w:rPr>
          <w:rStyle w:val="VerbatimChar"/>
        </w:rPr>
        <w:t xml:space="preserve">outcome ~ condition + (1 | unit)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outcome</w:t>
      </w:r>
      <w:r>
        <w:t xml:space="preserve">: session-level measure (e.g.,</w:t>
      </w:r>
      <w:r>
        <w:t xml:space="preserve"> </w:t>
      </w:r>
      <w:r>
        <w:rPr>
          <w:rStyle w:val="VerbatimChar"/>
        </w:rPr>
        <w:t xml:space="preserve">mean_turn_score_raw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proportion_challenge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condition</w:t>
      </w:r>
      <w:r>
        <w:t xml:space="preserve">: fixed effect (Nudge vs Control)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(1 | unit)</w:t>
      </w:r>
      <w:r>
        <w:t xml:space="preserve">: random intercept for unit</w:t>
      </w:r>
    </w:p>
    <w:p>
      <w:pPr>
        <w:pStyle w:val="FirstParagraph"/>
      </w:pPr>
      <w:r>
        <w:rPr>
          <w:b/>
          <w:bCs/>
        </w:rPr>
        <w:t xml:space="preserve">Why mixed-effects:</w:t>
      </w:r>
      <w:r>
        <w:t xml:space="preserve"> </w:t>
      </w:r>
      <w:r>
        <w:t xml:space="preserve">Students are not independent across units. Each unit has a different task, discipline, and facilitator. Simple ANOVA ignores this nesting and underestimates standard errors.</w:t>
      </w:r>
    </w:p>
    <w:p>
      <w:pPr>
        <w:pStyle w:val="BodyText"/>
      </w:pPr>
      <w:r>
        <w:rPr>
          <w:b/>
          <w:bCs/>
        </w:rPr>
        <w:t xml:space="preserve">Covariate:</w:t>
      </w:r>
      <w:r>
        <w:t xml:space="preserve"> </w:t>
      </w:r>
      <w:r>
        <w:t xml:space="preserve">Prior AI experience (Q10) included as a fixed effect if groups differ at baseline.</w:t>
      </w:r>
    </w:p>
    <w:bookmarkEnd w:id="40"/>
    <w:bookmarkStart w:id="41" w:name="equity-disaggregated-analysis"/>
    <w:p>
      <w:pPr>
        <w:pStyle w:val="Heading3"/>
      </w:pPr>
      <w:r>
        <w:t xml:space="preserve">Equity-Disaggregated Analysis</w:t>
      </w:r>
    </w:p>
    <w:p>
      <w:pPr>
        <w:pStyle w:val="SourceCode"/>
      </w:pPr>
      <w:r>
        <w:rPr>
          <w:rStyle w:val="VerbatimChar"/>
        </w:rPr>
        <w:t xml:space="preserve">outcome ~ condition * equity_flag + (1 | unit)</w:t>
      </w:r>
    </w:p>
    <w:p>
      <w:pPr>
        <w:pStyle w:val="FirstParagraph"/>
      </w:pPr>
      <w:r>
        <w:t xml:space="preserve">A significant interaction indicates the nudge effect differs by equity cohort (differential benefit). A non-significant interaction with a significant main effect indicates uniform benefit. Both findings are reported.</w:t>
      </w:r>
    </w:p>
    <w:bookmarkEnd w:id="41"/>
    <w:bookmarkStart w:id="42" w:name="confidence-calibration"/>
    <w:p>
      <w:pPr>
        <w:pStyle w:val="Heading3"/>
      </w:pPr>
      <w:r>
        <w:t xml:space="preserve">Confidence Calibration</w:t>
      </w:r>
    </w:p>
    <w:p>
      <w:pPr>
        <w:pStyle w:val="FirstParagraph"/>
      </w:pPr>
      <w:r>
        <w:t xml:space="preserve">Conducted</w:t>
      </w:r>
      <w:r>
        <w:t xml:space="preserve"> </w:t>
      </w:r>
      <w:r>
        <w:rPr>
          <w:b/>
          <w:bCs/>
        </w:rPr>
        <w:t xml:space="preserve">within unit only</w:t>
      </w:r>
      <w:r>
        <w:t xml:space="preserve"> </w:t>
      </w:r>
      <w:r>
        <w:t xml:space="preserve">(task scores not comparable across disciplines):</w:t>
      </w:r>
    </w:p>
    <w:p>
      <w:pPr>
        <w:pStyle w:val="Compact"/>
        <w:numPr>
          <w:ilvl w:val="0"/>
          <w:numId w:val="1007"/>
        </w:numPr>
      </w:pPr>
      <w:r>
        <w:t xml:space="preserve">Spearman correlation between self-reported confidence and task score</w:t>
      </w:r>
    </w:p>
    <w:p>
      <w:pPr>
        <w:pStyle w:val="Compact"/>
        <w:numPr>
          <w:ilvl w:val="0"/>
          <w:numId w:val="1007"/>
        </w:numPr>
      </w:pPr>
      <w:r>
        <w:t xml:space="preserve">Comparison of the confidence-performance gap between conditions</w:t>
      </w:r>
    </w:p>
    <w:p>
      <w:pPr>
        <w:pStyle w:val="Compact"/>
        <w:numPr>
          <w:ilvl w:val="0"/>
          <w:numId w:val="1007"/>
        </w:numPr>
      </w:pPr>
      <w:r>
        <w:t xml:space="preserve">Identification of the</w:t>
      </w:r>
      <w:r>
        <w:t xml:space="preserve"> </w:t>
      </w:r>
      <w:r>
        <w:t xml:space="preserve">“overconfident delegator”</w:t>
      </w:r>
      <w:r>
        <w:t xml:space="preserve"> </w:t>
      </w:r>
      <w:r>
        <w:t xml:space="preserve">pattern</w:t>
      </w:r>
    </w:p>
    <w:bookmarkEnd w:id="42"/>
    <w:bookmarkStart w:id="44" w:name="inter-rater-reliability"/>
    <w:p>
      <w:pPr>
        <w:pStyle w:val="Heading3"/>
      </w:pPr>
      <w:r>
        <w:t xml:space="preserve">Inter-Rater Reliability</w:t>
      </w:r>
    </w:p>
    <w:p>
      <w:pPr>
        <w:pStyle w:val="Compact"/>
        <w:numPr>
          <w:ilvl w:val="0"/>
          <w:numId w:val="1008"/>
        </w:numPr>
      </w:pPr>
      <w:r>
        <w:t xml:space="preserve">RA codes 100% of transcripts on FU, CH, EX</w:t>
      </w:r>
    </w:p>
    <w:p>
      <w:pPr>
        <w:pStyle w:val="Compact"/>
        <w:numPr>
          <w:ilvl w:val="0"/>
          <w:numId w:val="1008"/>
        </w:numPr>
      </w:pPr>
      <w:r>
        <w:t xml:space="preserve">Each co-investigator independently codes a 20-30% stratified sample from their unit</w:t>
      </w:r>
    </w:p>
    <w:p>
      <w:pPr>
        <w:pStyle w:val="Compact"/>
        <w:numPr>
          <w:ilvl w:val="0"/>
          <w:numId w:val="1008"/>
        </w:numPr>
      </w:pPr>
      <w:r>
        <w:t xml:space="preserve">Cohen’s kappa calculated per unit</w:t>
      </w:r>
    </w:p>
    <w:p>
      <w:pPr>
        <w:pStyle w:val="Compact"/>
        <w:numPr>
          <w:ilvl w:val="0"/>
          <w:numId w:val="1008"/>
        </w:numPr>
      </w:pPr>
      <w:r>
        <w:t xml:space="preserve">Kappa &lt; 0.70 triggers scheme revision before full analysis</w:t>
      </w:r>
    </w:p>
    <w:p>
      <w:pPr>
        <w:pStyle w:val="FirstParagraph"/>
      </w:pPr>
      <w:r>
        <w:t xml:space="preserve">See</w:t>
      </w:r>
      <w:r>
        <w:t xml:space="preserve"> </w:t>
      </w:r>
      <w:hyperlink r:id="rId43">
        <w:r>
          <w:rPr>
            <w:rStyle w:val="Hyperlink"/>
          </w:rPr>
          <w:t xml:space="preserve">Coding Scheme</w:t>
        </w:r>
      </w:hyperlink>
      <w:r>
        <w:t xml:space="preserve"> </w:t>
      </w:r>
      <w:r>
        <w:t xml:space="preserve">for the complete specification.</w:t>
      </w:r>
    </w:p>
    <w:bookmarkEnd w:id="44"/>
    <w:bookmarkStart w:id="45" w:name="reporting"/>
    <w:p>
      <w:pPr>
        <w:pStyle w:val="Heading3"/>
      </w:pPr>
      <w:r>
        <w:t xml:space="preserve">Reporting</w:t>
      </w:r>
    </w:p>
    <w:p>
      <w:pPr>
        <w:pStyle w:val="FirstParagraph"/>
      </w:pPr>
      <w:r>
        <w:t xml:space="preserve">All analyses reported with:</w:t>
      </w:r>
    </w:p>
    <w:p>
      <w:pPr>
        <w:pStyle w:val="Compact"/>
        <w:numPr>
          <w:ilvl w:val="0"/>
          <w:numId w:val="1009"/>
        </w:numPr>
      </w:pPr>
      <w:r>
        <w:t xml:space="preserve">Effect sizes (Cohen’s d; marginal R-squared for mixed models)</w:t>
      </w:r>
    </w:p>
    <w:p>
      <w:pPr>
        <w:pStyle w:val="Compact"/>
        <w:numPr>
          <w:ilvl w:val="0"/>
          <w:numId w:val="1009"/>
        </w:numPr>
      </w:pPr>
      <w:r>
        <w:t xml:space="preserve">95% confidence intervals</w:t>
      </w:r>
    </w:p>
    <w:p>
      <w:pPr>
        <w:pStyle w:val="Compact"/>
        <w:numPr>
          <w:ilvl w:val="0"/>
          <w:numId w:val="1009"/>
        </w:numPr>
      </w:pPr>
      <w:r>
        <w:t xml:space="preserve">Both unweighted and weighted scoring results</w:t>
      </w:r>
    </w:p>
    <w:p>
      <w:pPr>
        <w:pStyle w:val="Compact"/>
        <w:numPr>
          <w:ilvl w:val="0"/>
          <w:numId w:val="1009"/>
        </w:numPr>
      </w:pPr>
      <w:r>
        <w:t xml:space="preserve">Equity-disaggregated results regardless of significance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R with</w:t>
      </w:r>
      <w:r>
        <w:t xml:space="preserve"> </w:t>
      </w:r>
      <w:r>
        <w:rPr>
          <w:rStyle w:val="VerbatimChar"/>
        </w:rPr>
        <w:t xml:space="preserve">lme4</w:t>
      </w:r>
      <w:r>
        <w:t xml:space="preserve">, or Python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.</w:t>
      </w:r>
    </w:p>
    <w:bookmarkEnd w:id="45"/>
    <w:bookmarkEnd w:id="46"/>
    <w:bookmarkStart w:id="48" w:name="ethical-considerations"/>
    <w:p>
      <w:pPr>
        <w:pStyle w:val="Heading2"/>
      </w:pPr>
      <w:r>
        <w:t xml:space="preserve">Ethical Considerations</w:t>
      </w:r>
    </w:p>
    <w:p>
      <w:pPr>
        <w:pStyle w:val="FirstParagraph"/>
      </w:pPr>
      <w:r>
        <w:t xml:space="preserve">HREC application submitted under Curtin’s low-risk review pathway. See the</w:t>
      </w:r>
      <w:r>
        <w:t xml:space="preserve"> </w:t>
      </w:r>
      <w:hyperlink r:id="rId47">
        <w:r>
          <w:rPr>
            <w:rStyle w:val="Hyperlink"/>
          </w:rPr>
          <w:t xml:space="preserve">Ethics Package</w:t>
        </w:r>
      </w:hyperlink>
      <w:r>
        <w:t xml:space="preserve"> </w:t>
      </w:r>
      <w:r>
        <w:t xml:space="preserve">for the full application and supporting documents.</w:t>
      </w:r>
    </w:p>
    <w:p>
      <w:pPr>
        <w:pStyle w:val="BodyText"/>
      </w:pPr>
      <w:r>
        <w:t xml:space="preserve">Key protections:</w:t>
      </w:r>
    </w:p>
    <w:p>
      <w:pPr>
        <w:pStyle w:val="Compact"/>
        <w:numPr>
          <w:ilvl w:val="0"/>
          <w:numId w:val="1010"/>
        </w:numPr>
      </w:pPr>
      <w:r>
        <w:t xml:space="preserve">Student numbers collected at login for equity linkage only; destroyed after de-identification</w:t>
      </w:r>
    </w:p>
    <w:p>
      <w:pPr>
        <w:pStyle w:val="Compact"/>
        <w:numPr>
          <w:ilvl w:val="0"/>
          <w:numId w:val="1010"/>
        </w:numPr>
      </w:pPr>
      <w:r>
        <w:t xml:space="preserve">All research data uses session codes (no names, no student IDs)</w:t>
      </w:r>
    </w:p>
    <w:p>
      <w:pPr>
        <w:pStyle w:val="Compact"/>
        <w:numPr>
          <w:ilvl w:val="0"/>
          <w:numId w:val="1010"/>
        </w:numPr>
      </w:pPr>
      <w:r>
        <w:t xml:space="preserve">Participation voluntary, does not affect grades</w:t>
      </w:r>
    </w:p>
    <w:p>
      <w:pPr>
        <w:pStyle w:val="Compact"/>
        <w:numPr>
          <w:ilvl w:val="0"/>
          <w:numId w:val="1010"/>
        </w:numPr>
      </w:pPr>
      <w:r>
        <w:t xml:space="preserve">No-penalty alternative activity available</w:t>
      </w:r>
    </w:p>
    <w:p>
      <w:pPr>
        <w:pStyle w:val="Compact"/>
        <w:numPr>
          <w:ilvl w:val="0"/>
          <w:numId w:val="1010"/>
        </w:numPr>
      </w:pPr>
      <w:r>
        <w:t xml:space="preserve">Withdrawal possible until de-identification</w:t>
      </w:r>
    </w:p>
    <w:p>
      <w:pPr>
        <w:pStyle w:val="Compact"/>
        <w:numPr>
          <w:ilvl w:val="0"/>
          <w:numId w:val="1010"/>
        </w:numPr>
      </w:pPr>
      <w:r>
        <w:t xml:space="preserve">Nudge transparently described in PIS (no deception)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ethics/index.qmd" TargetMode="External" /><Relationship Type="http://schemas.openxmlformats.org/officeDocument/2006/relationships/hyperlink" Id="rId43" Target="instruments/coding-scheme.qmd" TargetMode="External" /><Relationship Type="http://schemas.openxmlformats.org/officeDocument/2006/relationships/hyperlink" Id="rId36" Target="instruments/exit-survey.qmd" TargetMode="External" /><Relationship Type="http://schemas.openxmlformats.org/officeDocument/2006/relationships/hyperlink" Id="rId23" Target="instruments/nudge-variants.qmd" TargetMode="External" /><Relationship Type="http://schemas.openxmlformats.org/officeDocument/2006/relationships/hyperlink" Id="rId26" Target="instruments/task-brief-information-systems.qmd" TargetMode="External" /><Relationship Type="http://schemas.openxmlformats.org/officeDocument/2006/relationships/hyperlink" Id="rId28" Target="instruments/task-brief-marketing.qmd" TargetMode="External" /><Relationship Type="http://schemas.openxmlformats.org/officeDocument/2006/relationships/hyperlink" Id="rId29" Target="instruments/task-brief-retrieval-framed.qmd" TargetMode="External" /><Relationship Type="http://schemas.openxmlformats.org/officeDocument/2006/relationships/hyperlink" Id="rId27" Target="instruments/task-brief-supply-chai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ethics/index.qmd" TargetMode="External" /><Relationship Type="http://schemas.openxmlformats.org/officeDocument/2006/relationships/hyperlink" Id="rId43" Target="instruments/coding-scheme.qmd" TargetMode="External" /><Relationship Type="http://schemas.openxmlformats.org/officeDocument/2006/relationships/hyperlink" Id="rId36" Target="instruments/exit-survey.qmd" TargetMode="External" /><Relationship Type="http://schemas.openxmlformats.org/officeDocument/2006/relationships/hyperlink" Id="rId23" Target="instruments/nudge-variants.qmd" TargetMode="External" /><Relationship Type="http://schemas.openxmlformats.org/officeDocument/2006/relationships/hyperlink" Id="rId26" Target="instruments/task-brief-information-systems.qmd" TargetMode="External" /><Relationship Type="http://schemas.openxmlformats.org/officeDocument/2006/relationships/hyperlink" Id="rId28" Target="instruments/task-brief-marketing.qmd" TargetMode="External" /><Relationship Type="http://schemas.openxmlformats.org/officeDocument/2006/relationships/hyperlink" Id="rId29" Target="instruments/task-brief-retrieval-framed.qmd" TargetMode="External" /><Relationship Type="http://schemas.openxmlformats.org/officeDocument/2006/relationships/hyperlink" Id="rId27" Target="instruments/task-brief-supply-chai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Methodology</dc:title>
  <dc:creator/>
  <cp:keywords/>
  <dcterms:created xsi:type="dcterms:W3CDTF">2026-03-25T06:28:54Z</dcterms:created>
  <dcterms:modified xsi:type="dcterms:W3CDTF">2026-03-25T06:28:54Z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Study Design and Procedures</vt:lpwstr>
  </property>
  <property fmtid="{D5CDD505-2E9C-101B-9397-08002B2CF9AE}" pid="8" name="toc-title">
    <vt:lpwstr>Table of contents</vt:lpwstr>
  </property>
</Properties>
</file>