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Management Plan</w:t>
      </w:r>
    </w:p>
    <w:p>
      <w:pPr>
        <w:pStyle w:val="Subtitle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Data types:</w:t>
      </w:r>
      <w:r>
        <w:t xml:space="preserve"> </w:t>
      </w:r>
      <w:r>
        <w:t xml:space="preserve">AI chat transcripts (session ID), task outputs, exit survey responses, and equity flags (low SES; first-in-family) added by Curtin analytics and delivered de-identified. No PII collected by research team.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Curtin SharePoint/Network drive (restricted access, encryption at rest). Access limited to PI, named co-Is, and RA.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RA codes 100% of transcripts; co-Is code 20-30% calibration per unit; Cohen’s kappa computed; kappa &lt; 0.70 triggers scheme refinement.</w:t>
      </w:r>
    </w:p>
    <w:p>
      <w:pPr>
        <w:pStyle w:val="BodyText"/>
      </w:pPr>
      <w:r>
        <w:rPr>
          <w:b/>
          <w:bCs/>
        </w:rPr>
        <w:t xml:space="preserve">Sharing:</w:t>
      </w:r>
      <w:r>
        <w:t xml:space="preserve"> </w:t>
      </w:r>
      <w:r>
        <w:t xml:space="preserve">De-identified aggregates and anonymised excerpts only; no raw transcripts externalised.</w:t>
      </w:r>
    </w:p>
    <w:p>
      <w:pPr>
        <w:pStyle w:val="BodyText"/>
      </w:pPr>
      <w:r>
        <w:rPr>
          <w:b/>
          <w:bCs/>
        </w:rPr>
        <w:t xml:space="preserve">Retention and destruction:</w:t>
      </w:r>
      <w:r>
        <w:t xml:space="preserve"> </w:t>
      </w:r>
      <w:r>
        <w:t xml:space="preserve">Retain 5 years post-publication; then secure deletion. Backups per Curtin IT policy.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Management Plan</dc:title>
  <dc:creator/>
  <cp:keywords/>
  <dcterms:created xsi:type="dcterms:W3CDTF">2026-03-25T06:53:06Z</dcterms:created>
  <dcterms:modified xsi:type="dcterms:W3CDTF">2026-03-25T06:53:06Z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Summary</vt:lpwstr>
  </property>
  <property fmtid="{D5CDD505-2E9C-101B-9397-08002B2CF9AE}" pid="8" name="toc-title">
    <vt:lpwstr>Table of contents</vt:lpwstr>
  </property>
</Properties>
</file>