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ACIS 2027 Paper Outline</w:t>
      </w:r>
    </w:p>
    <w:p>
      <w:pPr>
        <w:pStyle w:val="Subtitle"/>
      </w:pPr>
      <w:r>
        <w:t xml:space="preserve">Working Document</w:t>
      </w:r>
    </w:p>
    <w:bookmarkStart w:id="23" w:name="target-venue"/>
    <w:p>
      <w:pPr>
        <w:pStyle w:val="Heading2"/>
      </w:pPr>
      <w:r>
        <w:t xml:space="preserve">Target Venue</w:t>
      </w:r>
    </w:p>
    <w:p>
      <w:pPr>
        <w:pStyle w:val="FirstParagraph"/>
      </w:pPr>
      <w:r>
        <w:t xml:space="preserve">Australasian Conference on Information Systems (ACIS) 2026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Deadline and location TBC. Adjust travel budget line if held in Perth.</w:t>
            </w:r>
          </w:p>
          <w:p/>
        </w:tc>
      </w:tr>
    </w:tbl>
    <w:bookmarkEnd w:id="23"/>
    <w:bookmarkStart w:id="24" w:name="working-title"/>
    <w:p>
      <w:pPr>
        <w:pStyle w:val="Heading2"/>
      </w:pPr>
      <w:r>
        <w:t xml:space="preserve">Working Title</w:t>
      </w:r>
    </w:p>
    <w:p>
      <w:pPr>
        <w:pStyle w:val="FirstParagraph"/>
      </w:pPr>
      <w:r>
        <w:rPr>
          <w:b/>
          <w:bCs/>
        </w:rPr>
        <w:t xml:space="preserve">“Does a Conversational Nudge Close the AI Literacy Gap? A Controlled Study of Scaffolded AI Interaction in Higher Education Assessment”</w:t>
      </w:r>
    </w:p>
    <w:bookmarkEnd w:id="24"/>
    <w:bookmarkStart w:id="25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Michael Borck, Marcela Moraes, Torsten Reiners</w:t>
      </w:r>
    </w:p>
    <w:p>
      <w:r>
        <w:pict>
          <v:rect style="width:0;height:1.5pt" o:hralign="center" o:hrstd="t" o:hr="t"/>
        </w:pict>
      </w:r>
    </w:p>
    <w:bookmarkEnd w:id="25"/>
    <w:bookmarkStart w:id="26" w:name="introduction"/>
    <w:p>
      <w:pPr>
        <w:pStyle w:val="Heading2"/>
      </w:pPr>
      <w:r>
        <w:t xml:space="preserve">1. Introduction</w:t>
      </w:r>
    </w:p>
    <w:p>
      <w:pPr>
        <w:pStyle w:val="Compact"/>
        <w:numPr>
          <w:ilvl w:val="0"/>
          <w:numId w:val="1001"/>
        </w:numPr>
      </w:pPr>
      <w:r>
        <w:t xml:space="preserve">AI tools in HE assessment are creating a new form of structural disadvantage</w:t>
      </w:r>
    </w:p>
    <w:p>
      <w:pPr>
        <w:pStyle w:val="Compact"/>
        <w:numPr>
          <w:ilvl w:val="0"/>
          <w:numId w:val="1001"/>
        </w:numPr>
      </w:pPr>
      <w:r>
        <w:t xml:space="preserve">The skills required to use AI effectively are not equally distributed</w:t>
      </w:r>
    </w:p>
    <w:p>
      <w:pPr>
        <w:pStyle w:val="Compact"/>
        <w:numPr>
          <w:ilvl w:val="0"/>
          <w:numId w:val="1001"/>
        </w:numPr>
      </w:pPr>
      <w:r>
        <w:t xml:space="preserve">Passive delegation vs active conversation: not the same thing, not the same outcomes</w:t>
      </w:r>
    </w:p>
    <w:p>
      <w:pPr>
        <w:pStyle w:val="Compact"/>
        <w:numPr>
          <w:ilvl w:val="0"/>
          <w:numId w:val="1001"/>
        </w:numPr>
      </w:pPr>
      <w:r>
        <w:t xml:space="preserve">The equity dimension: students with fewer informal support networks are more dependent on in-class scaffolding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questions:</w:t>
      </w:r>
    </w:p>
    <w:p>
      <w:pPr>
        <w:pStyle w:val="Compact"/>
        <w:numPr>
          <w:ilvl w:val="1"/>
          <w:numId w:val="1002"/>
        </w:numPr>
      </w:pPr>
      <w:r>
        <w:t xml:space="preserve">Does a minimal conversational nudge improve AI interaction quality and task outcomes?</w:t>
      </w:r>
    </w:p>
    <w:p>
      <w:pPr>
        <w:pStyle w:val="Compact"/>
        <w:numPr>
          <w:ilvl w:val="1"/>
          <w:numId w:val="1002"/>
        </w:numPr>
      </w:pPr>
      <w:r>
        <w:t xml:space="preserve">Is the effect uniform across student cohorts, or differential by SES and first-in-family status?</w:t>
      </w:r>
    </w:p>
    <w:bookmarkEnd w:id="26"/>
    <w:bookmarkStart w:id="28" w:name="literature-review"/>
    <w:p>
      <w:pPr>
        <w:pStyle w:val="Heading2"/>
      </w:pPr>
      <w:r>
        <w:t xml:space="preserve">2. Literature Review</w:t>
      </w:r>
    </w:p>
    <w:p>
      <w:pPr>
        <w:pStyle w:val="Compact"/>
        <w:numPr>
          <w:ilvl w:val="0"/>
          <w:numId w:val="1003"/>
        </w:numPr>
      </w:pPr>
      <w:r>
        <w:t xml:space="preserve">AI in higher education assessment (Kasneci et al., 2023; Stojanov et al., 2024; Mollick &amp; Mollick, 2023)</w:t>
      </w:r>
    </w:p>
    <w:p>
      <w:pPr>
        <w:pStyle w:val="Compact"/>
        <w:numPr>
          <w:ilvl w:val="0"/>
          <w:numId w:val="1003"/>
        </w:numPr>
      </w:pPr>
      <w:r>
        <w:t xml:space="preserve">The delegation problem: passive AI use may produce worse outcomes than no AI use</w:t>
      </w:r>
    </w:p>
    <w:p>
      <w:pPr>
        <w:pStyle w:val="Compact"/>
        <w:numPr>
          <w:ilvl w:val="0"/>
          <w:numId w:val="1003"/>
        </w:numPr>
      </w:pPr>
      <w:r>
        <w:t xml:space="preserve">Scaffolding and ZPD (Vygotsky, 1978)</w:t>
      </w:r>
    </w:p>
    <w:p>
      <w:pPr>
        <w:pStyle w:val="Compact"/>
        <w:numPr>
          <w:ilvl w:val="0"/>
          <w:numId w:val="1003"/>
        </w:numPr>
      </w:pPr>
      <w:r>
        <w:t xml:space="preserve">Conversational framework for learning (Laurillard, 2002)</w:t>
      </w:r>
    </w:p>
    <w:p>
      <w:pPr>
        <w:pStyle w:val="Compact"/>
        <w:numPr>
          <w:ilvl w:val="0"/>
          <w:numId w:val="1003"/>
        </w:numPr>
      </w:pPr>
      <w:r>
        <w:t xml:space="preserve">Nudge theory applied to learning environments (Thaler &amp; Sunstein, 2008)</w:t>
      </w:r>
    </w:p>
    <w:p>
      <w:pPr>
        <w:pStyle w:val="Compact"/>
        <w:numPr>
          <w:ilvl w:val="0"/>
          <w:numId w:val="1003"/>
        </w:numPr>
      </w:pPr>
      <w:r>
        <w:t xml:space="preserve">Guided vs unguided LLM use (Frontiers in Psychology, 2025)</w:t>
      </w:r>
    </w:p>
    <w:p>
      <w:pPr>
        <w:pStyle w:val="Compact"/>
        <w:numPr>
          <w:ilvl w:val="0"/>
          <w:numId w:val="1003"/>
        </w:numPr>
      </w:pPr>
      <w:r>
        <w:t xml:space="preserve">Equity and digital literacy gaps in higher education</w:t>
      </w:r>
    </w:p>
    <w:p>
      <w:pPr>
        <w:pStyle w:val="Compact"/>
        <w:numPr>
          <w:ilvl w:val="0"/>
          <w:numId w:val="1003"/>
        </w:numPr>
      </w:pPr>
      <w:r>
        <w:t xml:space="preserve">See</w:t>
      </w:r>
      <w:r>
        <w:t xml:space="preserve"> </w:t>
      </w:r>
      <w:hyperlink r:id="rId27">
        <w:r>
          <w:rPr>
            <w:rStyle w:val="Hyperlink"/>
          </w:rPr>
          <w:t xml:space="preserve">Literature Review</w:t>
        </w:r>
      </w:hyperlink>
      <w:r>
        <w:t xml:space="preserve"> </w:t>
      </w:r>
      <w:r>
        <w:t xml:space="preserve">for expanded treatment</w:t>
      </w:r>
    </w:p>
    <w:bookmarkEnd w:id="28"/>
    <w:bookmarkStart w:id="29" w:name="theoretical-framework"/>
    <w:p>
      <w:pPr>
        <w:pStyle w:val="Heading2"/>
      </w:pPr>
      <w:r>
        <w:t xml:space="preserve">3. Theoretical Framework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Conversation, Not Delegation</w:t>
      </w:r>
      <w:r>
        <w:t xml:space="preserve"> </w:t>
      </w:r>
      <w:r>
        <w:t xml:space="preserve">(Borck, 2026) as the organising framework</w:t>
      </w:r>
    </w:p>
    <w:p>
      <w:pPr>
        <w:pStyle w:val="Compact"/>
        <w:numPr>
          <w:ilvl w:val="0"/>
          <w:numId w:val="1004"/>
        </w:numPr>
      </w:pPr>
      <w:r>
        <w:t xml:space="preserve">Scaffolding theory grounding the nudge mechanism</w:t>
      </w:r>
    </w:p>
    <w:p>
      <w:pPr>
        <w:pStyle w:val="Compact"/>
        <w:numPr>
          <w:ilvl w:val="0"/>
          <w:numId w:val="1004"/>
        </w:numPr>
      </w:pPr>
      <w:r>
        <w:t xml:space="preserve">Nudge theory grounding the interface design choice</w:t>
      </w:r>
    </w:p>
    <w:p>
      <w:pPr>
        <w:pStyle w:val="Compact"/>
        <w:numPr>
          <w:ilvl w:val="0"/>
          <w:numId w:val="1004"/>
        </w:numPr>
      </w:pPr>
      <w:r>
        <w:t xml:space="preserve">The misinformation friction effect: the nudge surfaces errors before they are accepted</w:t>
      </w:r>
    </w:p>
    <w:bookmarkEnd w:id="29"/>
    <w:bookmarkStart w:id="31" w:name="method"/>
    <w:p>
      <w:pPr>
        <w:pStyle w:val="Heading2"/>
      </w:pPr>
      <w:r>
        <w:t xml:space="preserve">4. Method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Randomised controlled lab sessions across 3+ units (IS, Marketing, Supply Chain)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Participants:</w:t>
      </w:r>
      <w:r>
        <w:t xml:space="preserve"> </w:t>
      </w:r>
      <w:r>
        <w:t xml:space="preserve">~60-120 students; equity cohort flags (low SES, first-in-family) via de-identified linkage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Intervention:</w:t>
      </w:r>
      <w:r>
        <w:t xml:space="preserve"> </w:t>
      </w:r>
      <w:r>
        <w:t xml:space="preserve">10-variant nudge pool appended to AI responses; randomly selected per turn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Measures:</w:t>
      </w:r>
    </w:p>
    <w:p>
      <w:pPr>
        <w:pStyle w:val="Compact"/>
        <w:numPr>
          <w:ilvl w:val="1"/>
          <w:numId w:val="1006"/>
        </w:numPr>
      </w:pPr>
      <w:r>
        <w:t xml:space="preserve">Automated: turn count, word count, response latency</w:t>
      </w:r>
    </w:p>
    <w:p>
      <w:pPr>
        <w:pStyle w:val="Compact"/>
        <w:numPr>
          <w:ilvl w:val="1"/>
          <w:numId w:val="1006"/>
        </w:numPr>
      </w:pPr>
      <w:r>
        <w:t xml:space="preserve">Human-coded: Follow-Up (FU), Challenge (CH), Extension (EX); delegation derived</w:t>
      </w:r>
    </w:p>
    <w:p>
      <w:pPr>
        <w:pStyle w:val="Compact"/>
        <w:numPr>
          <w:ilvl w:val="1"/>
          <w:numId w:val="1006"/>
        </w:numPr>
      </w:pPr>
      <w:r>
        <w:t xml:space="preserve">Task completion: 1-5 rubric scored by co-investigators within unit</w:t>
      </w:r>
    </w:p>
    <w:p>
      <w:pPr>
        <w:pStyle w:val="Compact"/>
        <w:numPr>
          <w:ilvl w:val="1"/>
          <w:numId w:val="1006"/>
        </w:numPr>
      </w:pPr>
      <w:r>
        <w:t xml:space="preserve">Exit survey: confidence calibration, self-reported interaction style, condition awareness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Linear mixed-effects models (condition as fixed effect, unit as random intercept); both unweighted and challenge-weighted scoring; equity interaction terms</w:t>
      </w:r>
    </w:p>
    <w:p>
      <w:pPr>
        <w:pStyle w:val="Compact"/>
        <w:numPr>
          <w:ilvl w:val="0"/>
          <w:numId w:val="1005"/>
        </w:numPr>
      </w:pP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Methodology</w:t>
        </w:r>
      </w:hyperlink>
      <w:r>
        <w:t xml:space="preserve"> </w:t>
      </w:r>
      <w:r>
        <w:t xml:space="preserve">for full detail</w:t>
      </w:r>
    </w:p>
    <w:bookmarkEnd w:id="31"/>
    <w:bookmarkStart w:id="35" w:name="results"/>
    <w:p>
      <w:pPr>
        <w:pStyle w:val="Heading2"/>
      </w:pPr>
      <w:r>
        <w:t xml:space="preserve">5.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be completed after data collection (July-August 2026).</w:t>
            </w:r>
          </w:p>
          <w:p/>
        </w:tc>
      </w:tr>
    </w:tbl>
    <w:p>
      <w:pPr>
        <w:pStyle w:val="BodyText"/>
      </w:pPr>
      <w:r>
        <w:t xml:space="preserve">Key results to report:</w:t>
      </w:r>
    </w:p>
    <w:p>
      <w:pPr>
        <w:pStyle w:val="Compact"/>
        <w:numPr>
          <w:ilvl w:val="0"/>
          <w:numId w:val="1007"/>
        </w:numPr>
      </w:pPr>
      <w:r>
        <w:t xml:space="preserve">Nudge effect on primary measures (proportion_challenge, mean_turn_score)</w:t>
      </w:r>
    </w:p>
    <w:p>
      <w:pPr>
        <w:pStyle w:val="Compact"/>
        <w:numPr>
          <w:ilvl w:val="0"/>
          <w:numId w:val="1007"/>
        </w:numPr>
      </w:pPr>
      <w:r>
        <w:t xml:space="preserve">Effect sizes (Cohen’s d, marginal R-squared)</w:t>
      </w:r>
    </w:p>
    <w:p>
      <w:pPr>
        <w:pStyle w:val="Compact"/>
        <w:numPr>
          <w:ilvl w:val="0"/>
          <w:numId w:val="1007"/>
        </w:numPr>
      </w:pPr>
      <w:r>
        <w:t xml:space="preserve">Equity-disaggregated results (interaction terms)</w:t>
      </w:r>
    </w:p>
    <w:p>
      <w:pPr>
        <w:pStyle w:val="Compact"/>
        <w:numPr>
          <w:ilvl w:val="0"/>
          <w:numId w:val="1007"/>
        </w:numPr>
      </w:pPr>
      <w:r>
        <w:t xml:space="preserve">Confidence calibration analysis (within-unit)</w:t>
      </w:r>
    </w:p>
    <w:p>
      <w:pPr>
        <w:pStyle w:val="Compact"/>
        <w:numPr>
          <w:ilvl w:val="0"/>
          <w:numId w:val="1007"/>
        </w:numPr>
      </w:pPr>
      <w:r>
        <w:t xml:space="preserve">Condition awareness (Q8a) and mechanism interpretation</w:t>
      </w:r>
    </w:p>
    <w:p>
      <w:pPr>
        <w:pStyle w:val="Compact"/>
        <w:numPr>
          <w:ilvl w:val="0"/>
          <w:numId w:val="1007"/>
        </w:numPr>
      </w:pPr>
      <w:r>
        <w:t xml:space="preserve">Unweighted vs weighted scoring comparison</w:t>
      </w:r>
    </w:p>
    <w:bookmarkEnd w:id="35"/>
    <w:bookmarkStart w:id="36" w:name="discussion"/>
    <w:p>
      <w:pPr>
        <w:pStyle w:val="Heading2"/>
      </w:pPr>
      <w:r>
        <w:t xml:space="preserve">6. Discussion</w:t>
      </w:r>
    </w:p>
    <w:p>
      <w:pPr>
        <w:pStyle w:val="Compact"/>
        <w:numPr>
          <w:ilvl w:val="0"/>
          <w:numId w:val="1008"/>
        </w:numPr>
      </w:pPr>
      <w:r>
        <w:t xml:space="preserve">Interpretation against the Conversation, Not Delegation framework</w:t>
      </w:r>
    </w:p>
    <w:p>
      <w:pPr>
        <w:pStyle w:val="Compact"/>
        <w:numPr>
          <w:ilvl w:val="0"/>
          <w:numId w:val="1008"/>
        </w:numPr>
      </w:pPr>
      <w:r>
        <w:t xml:space="preserve">Equity implications: uniform benefit vs differential benefit</w:t>
      </w:r>
    </w:p>
    <w:p>
      <w:pPr>
        <w:pStyle w:val="Compact"/>
        <w:numPr>
          <w:ilvl w:val="0"/>
          <w:numId w:val="1008"/>
        </w:numPr>
      </w:pPr>
      <w:r>
        <w:t xml:space="preserve">Misinformation friction effect (if observed in transcripts)</w:t>
      </w:r>
    </w:p>
    <w:p>
      <w:pPr>
        <w:pStyle w:val="Compact"/>
        <w:numPr>
          <w:ilvl w:val="0"/>
          <w:numId w:val="1008"/>
        </w:numPr>
      </w:pPr>
      <w:r>
        <w:t xml:space="preserve">Confidence calibration: do delegators overestimate their output quality?</w:t>
      </w:r>
    </w:p>
    <w:p>
      <w:pPr>
        <w:pStyle w:val="Compact"/>
        <w:numPr>
          <w:ilvl w:val="0"/>
          <w:numId w:val="1008"/>
        </w:numPr>
      </w:pPr>
      <w:r>
        <w:t xml:space="preserve">Limitations:</w:t>
      </w:r>
    </w:p>
    <w:p>
      <w:pPr>
        <w:pStyle w:val="Compact"/>
        <w:numPr>
          <w:ilvl w:val="1"/>
          <w:numId w:val="1009"/>
        </w:numPr>
      </w:pPr>
      <w:r>
        <w:t xml:space="preserve">Sample size and power</w:t>
      </w:r>
    </w:p>
    <w:p>
      <w:pPr>
        <w:pStyle w:val="Compact"/>
        <w:numPr>
          <w:ilvl w:val="1"/>
          <w:numId w:val="1009"/>
        </w:numPr>
      </w:pPr>
      <w:r>
        <w:t xml:space="preserve">Single-session design (persistence unknown)</w:t>
      </w:r>
    </w:p>
    <w:p>
      <w:pPr>
        <w:pStyle w:val="Compact"/>
        <w:numPr>
          <w:ilvl w:val="1"/>
          <w:numId w:val="1009"/>
        </w:numPr>
      </w:pPr>
      <w:r>
        <w:t xml:space="preserve">Lab setting vs naturalistic AI use</w:t>
      </w:r>
    </w:p>
    <w:p>
      <w:pPr>
        <w:pStyle w:val="Compact"/>
        <w:numPr>
          <w:ilvl w:val="1"/>
          <w:numId w:val="1009"/>
        </w:numPr>
      </w:pPr>
      <w:r>
        <w:t xml:space="preserve">Hawthorne effect (students know they are observed)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Null result scenario:</w:t>
      </w:r>
      <w:r>
        <w:t xml:space="preserve"> </w:t>
      </w:r>
      <w:r>
        <w:t xml:space="preserve">equally valuable, redirects toward more structural interventions</w:t>
      </w:r>
    </w:p>
    <w:bookmarkEnd w:id="36"/>
    <w:bookmarkStart w:id="37" w:name="implications-for-practice"/>
    <w:p>
      <w:pPr>
        <w:pStyle w:val="Heading2"/>
      </w:pPr>
      <w:r>
        <w:t xml:space="preserve">7. Implications for Practice</w:t>
      </w:r>
    </w:p>
    <w:p>
      <w:pPr>
        <w:pStyle w:val="Compact"/>
        <w:numPr>
          <w:ilvl w:val="0"/>
          <w:numId w:val="1010"/>
        </w:numPr>
      </w:pPr>
      <w:r>
        <w:t xml:space="preserve">Scalable, low-cost intervention for any AI-integrated unit</w:t>
      </w:r>
    </w:p>
    <w:p>
      <w:pPr>
        <w:pStyle w:val="Compact"/>
        <w:numPr>
          <w:ilvl w:val="0"/>
          <w:numId w:val="1010"/>
        </w:numPr>
      </w:pPr>
      <w:r>
        <w:t xml:space="preserve">Open-access resource pack (facilitation guide, nudge variants, task design, survey instrument)</w:t>
      </w:r>
    </w:p>
    <w:p>
      <w:pPr>
        <w:pStyle w:val="Compact"/>
        <w:numPr>
          <w:ilvl w:val="0"/>
          <w:numId w:val="1010"/>
        </w:numPr>
      </w:pPr>
      <w:r>
        <w:t xml:space="preserve">Contribution to Curtin’s Assessment 2030 agenda</w:t>
      </w:r>
    </w:p>
    <w:p>
      <w:pPr>
        <w:pStyle w:val="Compact"/>
        <w:numPr>
          <w:ilvl w:val="0"/>
          <w:numId w:val="1010"/>
        </w:numPr>
      </w:pPr>
      <w:r>
        <w:t xml:space="preserve">Evidence base for NBF equity reporting from 2027</w:t>
      </w:r>
    </w:p>
    <w:bookmarkEnd w:id="37"/>
    <w:bookmarkStart w:id="38" w:name="conclusion"/>
    <w:p>
      <w:pPr>
        <w:pStyle w:val="Heading2"/>
      </w:pPr>
      <w:r>
        <w:t xml:space="preserve">8. Conclusion</w:t>
      </w:r>
    </w:p>
    <w:p>
      <w:r>
        <w:pict>
          <v:rect style="width:0;height:1.5pt" o:hralign="center" o:hrstd="t" o:hr="t"/>
        </w:pict>
      </w:r>
    </w:p>
    <w:bookmarkEnd w:id="38"/>
    <w:bookmarkStart w:id="39" w:name="paper-timeline"/>
    <w:p>
      <w:pPr>
        <w:pStyle w:val="Heading2"/>
      </w:pPr>
      <w:r>
        <w:t xml:space="preserve">Paper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July-October 2026 (Semester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 and analysis</w:t>
            </w:r>
          </w:p>
        </w:tc>
        <w:tc>
          <w:tcPr/>
          <w:p>
            <w:pPr>
              <w:pStyle w:val="Compact"/>
            </w:pPr>
            <w:r>
              <w:t xml:space="preserve">November-December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draft</w:t>
            </w:r>
          </w:p>
        </w:tc>
        <w:tc>
          <w:tcPr/>
          <w:p>
            <w:pPr>
              <w:pStyle w:val="Compact"/>
            </w:pPr>
            <w:r>
              <w:t xml:space="preserve">January-February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Co-author review</w:t>
            </w:r>
          </w:p>
        </w:tc>
        <w:tc>
          <w:tcPr/>
          <w:p>
            <w:pPr>
              <w:pStyle w:val="Compact"/>
            </w:pPr>
            <w:r>
              <w:t xml:space="preserve">March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ACIS 2027</w:t>
            </w:r>
          </w:p>
        </w:tc>
      </w:tr>
    </w:tbl>
    <w:bookmarkEnd w:id="39"/>
    <w:bookmarkStart w:id="4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See</w:t>
      </w:r>
      <w:r>
        <w:t xml:space="preserve"> </w:t>
      </w:r>
      <w:hyperlink r:id="rId27">
        <w:r>
          <w:rPr>
            <w:rStyle w:val="Hyperlink"/>
          </w:rPr>
          <w:t xml:space="preserve">Literature Review</w:t>
        </w:r>
      </w:hyperlink>
      <w:r>
        <w:t xml:space="preserve"> </w:t>
      </w:r>
      <w:r>
        <w:t xml:space="preserve">for the developing reference list.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hyperlink" Id="rId27" Target="literature-review.qmd" TargetMode="External" /><Relationship Type="http://schemas.openxmlformats.org/officeDocument/2006/relationships/hyperlink" Id="rId30" Target="methodolog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literature-review.qmd" TargetMode="External" /><Relationship Type="http://schemas.openxmlformats.org/officeDocument/2006/relationships/hyperlink" Id="rId30" Target="methodolog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ACIS 2027 Paper Outline</dc:title>
  <dc:creator/>
  <cp:keywords/>
  <dcterms:created xsi:type="dcterms:W3CDTF">2026-03-25T06:53:06Z</dcterms:created>
  <dcterms:modified xsi:type="dcterms:W3CDTF">2026-03-25T06:53:06Z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Working Document</vt:lpwstr>
  </property>
  <property fmtid="{D5CDD505-2E9C-101B-9397-08002B2CF9AE}" pid="8" name="toc-title">
    <vt:lpwstr>Table of contents</vt:lpwstr>
  </property>
</Properties>
</file>