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sources-further-reading"/>
    <w:p>
      <w:pPr>
        <w:pStyle w:val="Heading1"/>
      </w:pPr>
      <w:r>
        <w:t xml:space="preserve">Resources &amp; Further Reading</w:t>
      </w:r>
    </w:p>
    <w:bookmarkStart w:id="20" w:name="key-sources"/>
    <w:p>
      <w:pPr>
        <w:pStyle w:val="Heading3"/>
      </w:pPr>
      <w:r>
        <w:rPr>
          <w:bCs/>
          <w:b/>
        </w:rPr>
        <w:t xml:space="preserve">Key Sources</w:t>
      </w:r>
    </w:p>
    <w:p>
      <w:pPr>
        <w:pStyle w:val="FirstParagraph"/>
      </w:pPr>
      <w:r>
        <w:rPr>
          <w:bCs/>
          <w:b/>
        </w:rPr>
        <w:t xml:space="preserve">Academic Research:</w:t>
      </w:r>
    </w:p>
    <w:p>
      <w:pPr>
        <w:numPr>
          <w:ilvl w:val="0"/>
          <w:numId w:val="1001"/>
        </w:numPr>
      </w:pPr>
      <w:r>
        <w:t xml:space="preserve">Haywood, S., Padurean, L., Ralph, R., &amp; Mortlock, J. T. (2025). From Intimidation to Innovation: Cross-Continental Multiple Case Studies on How to Harness AI to Elevate Engagement, Comprehension, and Retention.</w:t>
      </w:r>
      <w:r>
        <w:t xml:space="preserve"> </w:t>
      </w:r>
      <w:r>
        <w:rPr>
          <w:iCs/>
          <w:i/>
        </w:rPr>
        <w:t xml:space="preserve">Education Sciences</w:t>
      </w:r>
      <w:r>
        <w:t xml:space="preserve">, 15(7), 902. https://doi.org/10.3390/educsci15070902</w:t>
      </w:r>
    </w:p>
    <w:p>
      <w:pPr>
        <w:numPr>
          <w:ilvl w:val="0"/>
          <w:numId w:val="1001"/>
        </w:numPr>
      </w:pPr>
      <w:r>
        <w:t xml:space="preserve">Sabzalieva, E., &amp; Valentini, A. (2023). ChatGPT and artificial intelligence in higher education: Quick start guide. UNESCO International Institute for Higher Education in Latin America and the Caribbean (IESALC). https://unesdoc.unesco.org/ark:/48223/pf0000385146</w:t>
      </w:r>
    </w:p>
    <w:p>
      <w:pPr>
        <w:numPr>
          <w:ilvl w:val="0"/>
          <w:numId w:val="1001"/>
        </w:numPr>
      </w:pPr>
      <w:r>
        <w:t xml:space="preserve">Russell Group. (2023). Russell Group principles on the use of generative AI tools in education. https://www.russellgroup.ac.uk/policy/policy-briefings/principles-use-generative-ai-tools-education</w:t>
      </w:r>
    </w:p>
    <w:p>
      <w:pPr>
        <w:numPr>
          <w:ilvl w:val="0"/>
          <w:numId w:val="1001"/>
        </w:numPr>
      </w:pPr>
      <w:r>
        <w:t xml:space="preserve">Giray, L. (2024). AI Shaming: The Silent Stigma among Academic Writers and Researchers.</w:t>
      </w:r>
      <w:r>
        <w:t xml:space="preserve"> </w:t>
      </w:r>
      <w:r>
        <w:rPr>
          <w:iCs/>
          <w:i/>
        </w:rPr>
        <w:t xml:space="preserve">Annals of Biomedical Engineering</w:t>
      </w:r>
      <w:r>
        <w:t xml:space="preserve">, 52(9), 2319–2324. https://doi.org/10.1007/s10439-024-03582-1</w:t>
      </w:r>
    </w:p>
    <w:p>
      <w:pPr>
        <w:numPr>
          <w:ilvl w:val="0"/>
          <w:numId w:val="1001"/>
        </w:numPr>
      </w:pPr>
      <w:r>
        <w:t xml:space="preserve">McNealis, R. (2025). Shame in the machine: affective accountability and the ethics of AI.</w:t>
      </w:r>
      <w:r>
        <w:t xml:space="preserve"> </w:t>
      </w:r>
      <w:r>
        <w:rPr>
          <w:iCs/>
          <w:i/>
        </w:rPr>
        <w:t xml:space="preserve">AI &amp; Society</w:t>
      </w:r>
      <w:r>
        <w:t xml:space="preserve">. https://doi.org/10.1007/s00146-025-02472-x</w:t>
      </w:r>
    </w:p>
    <w:p>
      <w:pPr>
        <w:numPr>
          <w:ilvl w:val="0"/>
          <w:numId w:val="1001"/>
        </w:numPr>
      </w:pPr>
      <w:r>
        <w:t xml:space="preserve">Bloom, B. S. (1984). The 2 sigma problem: The search for methods of group instruction as effective as one-to-one tutoring.</w:t>
      </w:r>
      <w:r>
        <w:t xml:space="preserve"> </w:t>
      </w:r>
      <w:r>
        <w:rPr>
          <w:iCs/>
          <w:i/>
        </w:rPr>
        <w:t xml:space="preserve">Educational Researcher</w:t>
      </w:r>
      <w:r>
        <w:t xml:space="preserve">, 13(6), 4-16.</w:t>
      </w:r>
    </w:p>
    <w:p>
      <w:pPr>
        <w:pStyle w:val="FirstParagraph"/>
      </w:pPr>
      <w:r>
        <w:rPr>
          <w:bCs/>
          <w:b/>
        </w:rPr>
        <w:t xml:space="preserve">Industry Reports &amp; News:</w:t>
      </w:r>
    </w:p>
    <w:p>
      <w:pPr>
        <w:numPr>
          <w:ilvl w:val="0"/>
          <w:numId w:val="1002"/>
        </w:numPr>
      </w:pPr>
      <w:r>
        <w:t xml:space="preserve">Heaven, W. (2023, April 6). ChatGPT is going to change education, not destroy it.</w:t>
      </w:r>
      <w:r>
        <w:t xml:space="preserve"> </w:t>
      </w:r>
      <w:r>
        <w:rPr>
          <w:iCs/>
          <w:i/>
        </w:rPr>
        <w:t xml:space="preserve">MIT Technology Review</w:t>
      </w:r>
      <w:r>
        <w:t xml:space="preserve">. https://www.technologyreview.com/2023/04/06/1071059/chatgpt-change-not-destroy-education-openai/</w:t>
      </w:r>
    </w:p>
    <w:p>
      <w:pPr>
        <w:numPr>
          <w:ilvl w:val="0"/>
          <w:numId w:val="1002"/>
        </w:numPr>
      </w:pPr>
      <w:r>
        <w:t xml:space="preserve">Lichtenberg, N. (2025, August 29).</w:t>
      </w:r>
      <w:r>
        <w:t xml:space="preserve"> </w:t>
      </w:r>
      <w:r>
        <w:t xml:space="preserve">“</w:t>
      </w:r>
      <w:r>
        <w:t xml:space="preserve">AI shame</w:t>
      </w:r>
      <w:r>
        <w:t xml:space="preserve">”</w:t>
      </w:r>
      <w:r>
        <w:t xml:space="preserve"> </w:t>
      </w:r>
      <w:r>
        <w:t xml:space="preserve">is running rampant in the corporate sector—and C-suite leaders are most worried about getting caught, survey says.</w:t>
      </w:r>
      <w:r>
        <w:t xml:space="preserve"> </w:t>
      </w:r>
      <w:r>
        <w:rPr>
          <w:iCs/>
          <w:i/>
        </w:rPr>
        <w:t xml:space="preserve">Fortune</w:t>
      </w:r>
      <w:r>
        <w:t xml:space="preserve">. https://fortune.com/2025/08/29/what-is-ai-shame-readiness-gap-training-artificial-intelligence/</w:t>
      </w:r>
    </w:p>
    <w:p>
      <w:pPr>
        <w:numPr>
          <w:ilvl w:val="0"/>
          <w:numId w:val="1002"/>
        </w:numPr>
      </w:pPr>
      <w:r>
        <w:t xml:space="preserve">WalkMe. (2025, August 27). Employees left behind in workplace AI boom, new WalkMe survey finds. https://www.walkme.com/news-releases/employees-left-behind-in-workplace-ai-boom-new-walkme-survey-finds/</w:t>
      </w:r>
    </w:p>
    <w:p>
      <w:pPr>
        <w:numPr>
          <w:ilvl w:val="0"/>
          <w:numId w:val="1002"/>
        </w:numPr>
      </w:pPr>
      <w:r>
        <w:t xml:space="preserve">Canva Workplace Study on AI Adoption (2025)</w:t>
      </w:r>
    </w:p>
    <w:p>
      <w:pPr>
        <w:pStyle w:val="FirstParagraph"/>
      </w:pPr>
      <w:r>
        <w:rPr>
          <w:bCs/>
          <w:b/>
        </w:rPr>
        <w:t xml:space="preserve">Regulatory &amp; Policy:</w:t>
      </w:r>
    </w:p>
    <w:p>
      <w:pPr>
        <w:numPr>
          <w:ilvl w:val="0"/>
          <w:numId w:val="1003"/>
        </w:numPr>
        <w:pStyle w:val="Compact"/>
      </w:pPr>
      <w:r>
        <w:t xml:space="preserve">TEQSA. (2024). Generative AI Knowledge Hub. https://www.teqsa.gov.au/guides-resources/higher-education-good-practice-hub/gen-ai-knowledge-hub</w:t>
      </w:r>
    </w:p>
    <w:p>
      <w:r>
        <w:pict>
          <v:rect style="width:0;height:1.5pt" o:hralign="center" o:hrstd="t" o:hr="t"/>
        </w:pict>
      </w:r>
    </w:p>
    <w:bookmarkEnd w:id="20"/>
    <w:bookmarkStart w:id="21" w:name="recommended-reading"/>
    <w:p>
      <w:pPr>
        <w:pStyle w:val="Heading3"/>
      </w:pPr>
      <w:r>
        <w:rPr>
          <w:bCs/>
          <w:b/>
        </w:rPr>
        <w:t xml:space="preserve">Recommended Reading</w:t>
      </w:r>
    </w:p>
    <w:p>
      <w:pPr>
        <w:pStyle w:val="FirstParagraph"/>
      </w:pPr>
      <w:r>
        <w:rPr>
          <w:bCs/>
          <w:b/>
        </w:rPr>
        <w:t xml:space="preserve">For Leaders &amp; Decision-Makers:</w:t>
      </w:r>
    </w:p>
    <w:p>
      <w:pPr>
        <w:numPr>
          <w:ilvl w:val="0"/>
          <w:numId w:val="1004"/>
        </w:numPr>
        <w:pStyle w:val="Compact"/>
      </w:pPr>
      <w:r>
        <w:t xml:space="preserve">Mollick, E. (2024).</w:t>
      </w:r>
      <w:r>
        <w:t xml:space="preserve"> </w:t>
      </w:r>
      <w:r>
        <w:rPr>
          <w:iCs/>
          <w:i/>
        </w:rPr>
        <w:t xml:space="preserve">Co-Intelligence: Living and Working with AI</w:t>
      </w:r>
      <w:r>
        <w:t xml:space="preserve">. Portfolio.</w:t>
      </w:r>
    </w:p>
    <w:p>
      <w:pPr>
        <w:numPr>
          <w:ilvl w:val="1"/>
          <w:numId w:val="1005"/>
        </w:numPr>
        <w:pStyle w:val="Compact"/>
      </w:pPr>
      <w:r>
        <w:t xml:space="preserve">Practical guide for leaders on AI integration in organizations</w:t>
      </w:r>
    </w:p>
    <w:p>
      <w:pPr>
        <w:numPr>
          <w:ilvl w:val="0"/>
          <w:numId w:val="1004"/>
        </w:numPr>
        <w:pStyle w:val="Compact"/>
      </w:pPr>
      <w:r>
        <w:t xml:space="preserve">Aoun, J. E. (2017).</w:t>
      </w:r>
      <w:r>
        <w:t xml:space="preserve"> </w:t>
      </w:r>
      <w:r>
        <w:rPr>
          <w:iCs/>
          <w:i/>
        </w:rPr>
        <w:t xml:space="preserve">Robot-Proof: Higher Education in the Age of Artificial Intelligence</w:t>
      </w:r>
      <w:r>
        <w:t xml:space="preserve">. MIT Press.</w:t>
      </w:r>
    </w:p>
    <w:p>
      <w:pPr>
        <w:numPr>
          <w:ilvl w:val="1"/>
          <w:numId w:val="1006"/>
        </w:numPr>
        <w:pStyle w:val="Compact"/>
      </w:pPr>
      <w:r>
        <w:t xml:space="preserve">Framework for education in AI era (still highly relevant)</w:t>
      </w:r>
    </w:p>
    <w:p>
      <w:pPr>
        <w:pStyle w:val="FirstParagraph"/>
      </w:pPr>
      <w:r>
        <w:rPr>
          <w:bCs/>
          <w:b/>
        </w:rPr>
        <w:t xml:space="preserve">For Educators:</w:t>
      </w:r>
    </w:p>
    <w:p>
      <w:pPr>
        <w:numPr>
          <w:ilvl w:val="0"/>
          <w:numId w:val="1007"/>
        </w:numPr>
      </w:pPr>
      <w:r>
        <w:t xml:space="preserve">Sabzalieva &amp; Valentini UNESCO guide (linked above) - practical implementation strategies</w:t>
      </w:r>
    </w:p>
    <w:p>
      <w:pPr>
        <w:numPr>
          <w:ilvl w:val="0"/>
          <w:numId w:val="1007"/>
        </w:numPr>
      </w:pPr>
      <w:r>
        <w:t xml:space="preserve">Sullivan, M., Kelly, A., &amp; McLaughlan, P. (2023). ChatGPT in higher education: Considerations for academic integrity and student learning.</w:t>
      </w:r>
      <w:r>
        <w:t xml:space="preserve"> </w:t>
      </w:r>
      <w:r>
        <w:rPr>
          <w:iCs/>
          <w:i/>
        </w:rPr>
        <w:t xml:space="preserve">Journal of Applied Learning &amp; Teaching</w:t>
      </w:r>
      <w:r>
        <w:t xml:space="preserve">, 6(1).</w:t>
      </w:r>
    </w:p>
    <w:p>
      <w:pPr>
        <w:pStyle w:val="FirstParagraph"/>
      </w:pPr>
      <w:r>
        <w:rPr>
          <w:bCs/>
          <w:b/>
        </w:rPr>
        <w:t xml:space="preserve">For Understanding AI Capabilities &amp; Limitations:</w:t>
      </w:r>
    </w:p>
    <w:p>
      <w:pPr>
        <w:numPr>
          <w:ilvl w:val="0"/>
          <w:numId w:val="1008"/>
        </w:numPr>
        <w:pStyle w:val="Compact"/>
      </w:pPr>
      <w:r>
        <w:t xml:space="preserve">Marcus, G., &amp; Davis, E. (2019).</w:t>
      </w:r>
      <w:r>
        <w:t xml:space="preserve"> </w:t>
      </w:r>
      <w:r>
        <w:rPr>
          <w:iCs/>
          <w:i/>
        </w:rPr>
        <w:t xml:space="preserve">Rebooting AI: Building Artificial Intelligence We Can Trust</w:t>
      </w:r>
      <w:r>
        <w:t xml:space="preserve">. Pantheon.</w:t>
      </w:r>
    </w:p>
    <w:p>
      <w:pPr>
        <w:numPr>
          <w:ilvl w:val="1"/>
          <w:numId w:val="1009"/>
        </w:numPr>
        <w:pStyle w:val="Compact"/>
      </w:pPr>
      <w:r>
        <w:t xml:space="preserve">Clear-eyed assessment of what AI can and cannot do</w:t>
      </w:r>
    </w:p>
    <w:p>
      <w:pPr>
        <w:numPr>
          <w:ilvl w:val="0"/>
          <w:numId w:val="1008"/>
        </w:numPr>
        <w:pStyle w:val="Compact"/>
      </w:pPr>
      <w:r>
        <w:t xml:space="preserve">Christian, B. (2020).</w:t>
      </w:r>
      <w:r>
        <w:t xml:space="preserve"> </w:t>
      </w:r>
      <w:r>
        <w:rPr>
          <w:iCs/>
          <w:i/>
        </w:rPr>
        <w:t xml:space="preserve">The Alignment Problem: Machine Learning and Human Values</w:t>
      </w:r>
      <w:r>
        <w:t xml:space="preserve">. W. W. Norton.</w:t>
      </w:r>
    </w:p>
    <w:p>
      <w:pPr>
        <w:numPr>
          <w:ilvl w:val="1"/>
          <w:numId w:val="1010"/>
        </w:numPr>
        <w:pStyle w:val="Compact"/>
      </w:pPr>
      <w:r>
        <w:t xml:space="preserve">Understanding bias, ethics, and AI decision-making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color w:val="d73a49"/>
      <w:b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color w:val="ff5555"/>
      <w:b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2025-10-13T12:53:36Z</dcterms:created>
  <dcterms:modified xsi:type="dcterms:W3CDTF">2025-10-13T12:53:36Z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