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HREC Narrative</w:t>
      </w:r>
    </w:p>
    <w:p>
      <w:pPr>
        <w:pStyle w:val="FirstParagraph"/>
      </w:pPr>
      <w:r>
        <w:rPr>
          <w:b/>
          <w:bCs/>
        </w:rPr>
        <w:t xml:space="preserve">Project Title:</w:t>
      </w:r>
      <w:r>
        <w:t xml:space="preserve"> </w:t>
      </w:r>
      <w:r>
        <w:t xml:space="preserve">Closing the AI Literacy Gap: Scaffolding Equitable Participation in AI-Integrated Assessment</w:t>
      </w:r>
    </w:p>
    <w:p>
      <w:pPr>
        <w:pStyle w:val="BodyText"/>
      </w:pPr>
      <w:r>
        <w:rPr>
          <w:b/>
          <w:bCs/>
        </w:rPr>
        <w:t xml:space="preserve">Principal Investigator:</w:t>
      </w:r>
      <w:r>
        <w:t xml:space="preserve"> </w:t>
      </w:r>
      <w:r>
        <w:t xml:space="preserve">Michael Borck, Lecturer, School of Marketing and Management (SoMM)</w:t>
      </w:r>
    </w:p>
    <w:p>
      <w:pPr>
        <w:pStyle w:val="BodyText"/>
      </w:pPr>
      <w:r>
        <w:rPr>
          <w:b/>
          <w:bCs/>
        </w:rPr>
        <w:t xml:space="preserve">Co-Investigators:</w:t>
      </w:r>
    </w:p>
    <w:p>
      <w:pPr>
        <w:pStyle w:val="Compact"/>
        <w:numPr>
          <w:ilvl w:val="0"/>
          <w:numId w:val="1001"/>
        </w:numPr>
      </w:pPr>
      <w:r>
        <w:t xml:space="preserve">Dr Marcela Moraes (SoMM) - confirmation pending</w:t>
      </w:r>
    </w:p>
    <w:p>
      <w:pPr>
        <w:pStyle w:val="Compact"/>
        <w:numPr>
          <w:ilvl w:val="0"/>
          <w:numId w:val="1001"/>
        </w:numPr>
      </w:pPr>
      <w:r>
        <w:t xml:space="preserve">Dr Torsten Reiners (SoMM) - confirmation pending</w:t>
      </w:r>
    </w:p>
    <w:p>
      <w:pPr>
        <w:pStyle w:val="FirstParagraph"/>
      </w:pPr>
      <w:r>
        <w:rPr>
          <w:b/>
          <w:bCs/>
        </w:rPr>
        <w:t xml:space="preserve">Participating Units:</w:t>
      </w:r>
    </w:p>
    <w:p>
      <w:pPr>
        <w:pStyle w:val="Compact"/>
        <w:numPr>
          <w:ilvl w:val="0"/>
          <w:numId w:val="1002"/>
        </w:numPr>
      </w:pPr>
      <w:r>
        <w:t xml:space="preserve">ISYS6018 Information Security Audit and Control (~50 students)</w:t>
      </w:r>
    </w:p>
    <w:p>
      <w:pPr>
        <w:pStyle w:val="Compact"/>
        <w:numPr>
          <w:ilvl w:val="0"/>
          <w:numId w:val="1002"/>
        </w:numPr>
      </w:pPr>
      <w:r>
        <w:t xml:space="preserve">MKTG1000 Discovering Marketing (~220 students)</w:t>
      </w:r>
    </w:p>
    <w:p>
      <w:pPr>
        <w:pStyle w:val="Compact"/>
        <w:numPr>
          <w:ilvl w:val="0"/>
          <w:numId w:val="1002"/>
        </w:numPr>
      </w:pPr>
      <w:r>
        <w:t xml:space="preserve">MGMT6076 Supply Chain Digitalisation and Innovation (~30 students)</w:t>
      </w:r>
    </w:p>
    <w:p>
      <w:r>
        <w:pict>
          <v:rect style="width:0;height:1.5pt" o:hralign="center" o:hrstd="t" o:hr="t"/>
        </w:pict>
      </w:r>
    </w:p>
    <w:bookmarkStart w:id="20" w:name="plain-language-summary"/>
    <w:p>
      <w:pPr>
        <w:pStyle w:val="Heading2"/>
      </w:pPr>
      <w:r>
        <w:t xml:space="preserve">Plain Language Summary</w:t>
      </w:r>
    </w:p>
    <w:p>
      <w:pPr>
        <w:pStyle w:val="FirstParagraph"/>
      </w:pPr>
      <w:r>
        <w:t xml:space="preserve">This study evaluates whether a simple conversational nudge improves how students interact with AI during structured lab sessions. Students complete a short, discipline-relevant task using a supplied AI chat tool. Half of students (randomised) see a one-line reminder appended to the AI’s replies:</w:t>
      </w:r>
      <w:r>
        <w:t xml:space="preserve"> </w:t>
      </w:r>
      <w:r>
        <w:t xml:space="preserve">“Does that match what you expected? If something seems off, tell me what seems wrong.”</w:t>
      </w:r>
      <w:r>
        <w:t xml:space="preserve"> </w:t>
      </w:r>
      <w:r>
        <w:t xml:space="preserve">The other half do not. We compare interaction quality, task outcomes, and confidence. Student numbers are collected at session login for equity flag linkage only; a de-identification script removes them after matching, and the linkage table is permanently destroyed. The research team analyses only de-identified data (session codes and equity flags). Participation is voluntary, does not affect grades, and students may withdraw at any time before data aggregation. Findings will support equitable AI-integrated assessment at Curtin.</w:t>
      </w:r>
    </w:p>
    <w:p>
      <w:r>
        <w:pict>
          <v:rect style="width:0;height:1.5pt" o:hralign="center" o:hrstd="t" o:hr="t"/>
        </w:pict>
      </w:r>
    </w:p>
    <w:bookmarkEnd w:id="20"/>
    <w:bookmarkStart w:id="21" w:name="aims-and-significance"/>
    <w:p>
      <w:pPr>
        <w:pStyle w:val="Heading2"/>
      </w:pPr>
      <w:r>
        <w:t xml:space="preserve">Aims and Significance</w:t>
      </w:r>
    </w:p>
    <w:p>
      <w:pPr>
        <w:pStyle w:val="Compact"/>
        <w:numPr>
          <w:ilvl w:val="0"/>
          <w:numId w:val="1003"/>
        </w:numPr>
      </w:pPr>
      <w:r>
        <w:t xml:space="preserve">Determine whether a minimal conversational nudge increases critical, iterative AI interaction.</w:t>
      </w:r>
    </w:p>
    <w:p>
      <w:pPr>
        <w:pStyle w:val="Compact"/>
        <w:numPr>
          <w:ilvl w:val="0"/>
          <w:numId w:val="1003"/>
        </w:numPr>
      </w:pPr>
      <w:r>
        <w:t xml:space="preserve">Examine whether benefits are uniform or differential for low SES and first-in-family students using de-identified matched data.</w:t>
      </w:r>
    </w:p>
    <w:p>
      <w:pPr>
        <w:pStyle w:val="FirstParagraph"/>
      </w:pPr>
      <w:r>
        <w:rPr>
          <w:b/>
          <w:bCs/>
        </w:rPr>
        <w:t xml:space="preserve">Significance:</w:t>
      </w:r>
      <w:r>
        <w:t xml:space="preserve"> </w:t>
      </w:r>
      <w:r>
        <w:t xml:space="preserve">Provides low-cost, scalable in-class scaffolding to address structural disparities in AI literacy and supports Curtin’s NBF reporting.</w:t>
      </w:r>
    </w:p>
    <w:p>
      <w:r>
        <w:pict>
          <v:rect style="width:0;height:1.5pt" o:hralign="center" o:hrstd="t" o:hr="t"/>
        </w:pict>
      </w:r>
    </w:p>
    <w:bookmarkEnd w:id="21"/>
    <w:bookmarkStart w:id="22" w:name="methods"/>
    <w:p>
      <w:pPr>
        <w:pStyle w:val="Heading2"/>
      </w:pPr>
      <w:r>
        <w:t xml:space="preserve">Methods</w:t>
      </w:r>
    </w:p>
    <w:p>
      <w:pPr>
        <w:pStyle w:val="FirstParagraph"/>
      </w:pPr>
      <w:r>
        <w:rPr>
          <w:b/>
          <w:bCs/>
        </w:rPr>
        <w:t xml:space="preserve">Design:</w:t>
      </w:r>
      <w:r>
        <w:t xml:space="preserve"> </w:t>
      </w:r>
      <w:r>
        <w:t xml:space="preserve">Randomised controlled lab sessions within 3 or more units; assignment to Nudge vs Control. All sessions use a frontier-class AI model via API.</w:t>
      </w:r>
    </w:p>
    <w:p>
      <w:pPr>
        <w:pStyle w:val="BodyText"/>
      </w:pPr>
      <w:r>
        <w:rPr>
          <w:b/>
          <w:bCs/>
        </w:rPr>
        <w:t xml:space="preserve">Setting and Procedure:</w:t>
      </w:r>
      <w:r>
        <w:t xml:space="preserve"> </w:t>
      </w:r>
      <w:r>
        <w:t xml:space="preserve">45-60 minute on-campus sessions using Curtin lab computers; iterative AI task; automatic transcript logging (session IDs); 10-minute digital exit survey.</w:t>
      </w:r>
    </w:p>
    <w:p>
      <w:pPr>
        <w:pStyle w:val="BodyText"/>
      </w:pPr>
      <w:r>
        <w:rPr>
          <w:b/>
          <w:bCs/>
        </w:rPr>
        <w:t xml:space="preserve">Recruitment:</w:t>
      </w:r>
      <w:r>
        <w:t xml:space="preserve"> </w:t>
      </w:r>
      <w:r>
        <w:t xml:space="preserve">LMS/email invitations with plain-language PIS; participation voluntary; alternative activity available; no effect on grades.</w:t>
      </w:r>
    </w:p>
    <w:p>
      <w:pPr>
        <w:pStyle w:val="BodyText"/>
      </w:pPr>
      <w:r>
        <w:rPr>
          <w:b/>
          <w:bCs/>
        </w:rPr>
        <w:t xml:space="preserve">Participants:</w:t>
      </w:r>
      <w:r>
        <w:t xml:space="preserve"> </w:t>
      </w:r>
      <w:r>
        <w:t xml:space="preserve">Enrolled students (18+) in participating units; exclude under-18s and non-consenting students.</w:t>
      </w:r>
    </w:p>
    <w:p>
      <w:pPr>
        <w:pStyle w:val="BodyText"/>
      </w:pPr>
      <w:r>
        <w:rPr>
          <w:b/>
          <w:bCs/>
        </w:rPr>
        <w:t xml:space="preserve">Sample:</w:t>
      </w:r>
      <w:r>
        <w:t xml:space="preserve"> </w:t>
      </w:r>
      <w:r>
        <w:t xml:space="preserve">Combined enrolment ~300 students across three units; estimated 100-200 voluntary participants. Power analysis to be finalised once participation rates are confirmed.</w:t>
      </w:r>
    </w:p>
    <w:p>
      <w:pPr>
        <w:pStyle w:val="BodyText"/>
      </w:pPr>
      <w:r>
        <w:rPr>
          <w:b/>
          <w:bCs/>
        </w:rPr>
        <w:t xml:space="preserve">Data:</w:t>
      </w:r>
      <w:r>
        <w:t xml:space="preserve"> </w:t>
      </w:r>
      <w:r>
        <w:t xml:space="preserve">Student numbers collected at login for equity linkage only (destroyed after de-identification). AI transcripts (session code), task outputs, Qualtrics exit survey responses. Equity flags matched via temporary linkage table, then de-identified.</w:t>
      </w:r>
    </w:p>
    <w:p>
      <w:pPr>
        <w:pStyle w:val="BodyText"/>
      </w:pPr>
      <w:r>
        <w:rPr>
          <w:b/>
          <w:bCs/>
        </w:rPr>
        <w:t xml:space="preserve">Analysis:</w:t>
      </w:r>
      <w:r>
        <w:t xml:space="preserve"> </w:t>
      </w:r>
      <w:r>
        <w:t xml:space="preserve">Linear mixed-effects models (condition as fixed effect, unit as random intercept); effect sizes; equity-disaggregated subgroup analysis with interaction terms; confidence calibration within-unit only. RA codes 100% of transcripts (Turn 2 onward); co-Is code 20-30% per unit; Cohen’s kappa with kappa &lt; 0.70 triggering refinement.</w:t>
      </w:r>
    </w:p>
    <w:p>
      <w:r>
        <w:pict>
          <v:rect style="width:0;height:1.5pt" o:hralign="center" o:hrstd="t" o:hr="t"/>
        </w:pict>
      </w:r>
    </w:p>
    <w:bookmarkEnd w:id="22"/>
    <w:bookmarkStart w:id="23" w:name="X226fb3c938ae7204eb8fce7253b808f4fd3fa47"/>
    <w:p>
      <w:pPr>
        <w:pStyle w:val="Heading2"/>
      </w:pPr>
      <w:r>
        <w:t xml:space="preserve">Risks and Mitigation (Low-Risk Justification)</w:t>
      </w:r>
    </w:p>
    <w:p>
      <w:pPr>
        <w:pStyle w:val="FirstParagraph"/>
      </w:pPr>
      <w:r>
        <w:t xml:space="preserve">Physical risks: none. Psychological discomfort: minimal; mitigations include voluntariness, option to pause/withdraw, supportive facilitation. Power dynamics: neutral recruitment, alternatives to participation. Privacy: student numbers collected at login for equity linkage only; stored in a restricted temporary linkage table; destroyed after de-identification script runs. Research data uses session codes only. Data stored on Curtin systems with restricted access.</w:t>
      </w:r>
    </w:p>
    <w:p>
      <w:r>
        <w:pict>
          <v:rect style="width:0;height:1.5pt" o:hralign="center" o:hrstd="t" o:hr="t"/>
        </w:pict>
      </w:r>
    </w:p>
    <w:bookmarkEnd w:id="23"/>
    <w:bookmarkStart w:id="24" w:name="consent-digital-only"/>
    <w:p>
      <w:pPr>
        <w:pStyle w:val="Heading2"/>
      </w:pPr>
      <w:r>
        <w:t xml:space="preserve">Consent (Digital Only)</w:t>
      </w:r>
    </w:p>
    <w:p>
      <w:pPr>
        <w:pStyle w:val="FirstParagraph"/>
      </w:pPr>
      <w:r>
        <w:t xml:space="preserve">Digital consent via Qualtrics (Curtin institutional licence) prior to sessions. No deception. Withdrawal permitted any time before data aggregation using session codes.</w:t>
      </w:r>
    </w:p>
    <w:p>
      <w:r>
        <w:pict>
          <v:rect style="width:0;height:1.5pt" o:hralign="center" o:hrstd="t" o:hr="t"/>
        </w:pict>
      </w:r>
    </w:p>
    <w:bookmarkEnd w:id="24"/>
    <w:bookmarkStart w:id="25" w:name="Xa68b920fef1383615704ce1f99c29c7a01a4a0b"/>
    <w:p>
      <w:pPr>
        <w:pStyle w:val="Heading2"/>
      </w:pPr>
      <w:r>
        <w:t xml:space="preserve">Privacy, Confidentiality and Data Security</w:t>
      </w:r>
    </w:p>
    <w:p>
      <w:pPr>
        <w:pStyle w:val="FirstParagraph"/>
      </w:pPr>
      <w:r>
        <w:t xml:space="preserve">Student numbers held in temporary linkage table only; destroyed after equity flag matching. All research data uses session codes. Storage on Curtin network/SharePoint with role-based access and encryption at rest. Retention: 5 years post-publication; secure deletion thereafter. No raw transcripts shared externally.</w:t>
      </w:r>
    </w:p>
    <w:p>
      <w:r>
        <w:pict>
          <v:rect style="width:0;height:1.5pt" o:hralign="center" o:hrstd="t" o:hr="t"/>
        </w:pict>
      </w:r>
    </w:p>
    <w:bookmarkEnd w:id="25"/>
    <w:bookmarkStart w:id="26" w:name="use-of-ai-external-services"/>
    <w:p>
      <w:pPr>
        <w:pStyle w:val="Heading2"/>
      </w:pPr>
      <w:r>
        <w:t xml:space="preserve">Use of AI / External Services</w:t>
      </w:r>
    </w:p>
    <w:p>
      <w:pPr>
        <w:pStyle w:val="FirstParagraph"/>
      </w:pPr>
      <w:r>
        <w:rPr>
          <w:b/>
          <w:bCs/>
        </w:rPr>
        <w:t xml:space="preserve">Frontier model via API:</w:t>
      </w:r>
      <w:r>
        <w:t xml:space="preserve"> </w:t>
      </w:r>
      <w:r>
        <w:t xml:space="preserve">prompts/responses transmitted without PII (session codes only); provider training opt-out enabled where available.</w:t>
      </w:r>
    </w:p>
    <w:p>
      <w:r>
        <w:pict>
          <v:rect style="width:0;height:1.5pt" o:hralign="center" o:hrstd="t" o:hr="t"/>
        </w:pict>
      </w:r>
    </w:p>
    <w:bookmarkEnd w:id="26"/>
    <w:bookmarkStart w:id="27" w:name="X8806add254b19c33cad3ebb8dadd0d6625380a4"/>
    <w:p>
      <w:pPr>
        <w:pStyle w:val="Heading2"/>
      </w:pPr>
      <w:r>
        <w:t xml:space="preserve">Funding, Conflicts, Monitoring and Timeline</w:t>
      </w:r>
    </w:p>
    <w:p>
      <w:pPr>
        <w:pStyle w:val="FirstParagraph"/>
      </w:pPr>
      <w:r>
        <w:rPr>
          <w:b/>
          <w:bCs/>
        </w:rPr>
        <w:t xml:space="preserve">Funding:</w:t>
      </w:r>
      <w:r>
        <w:t xml:space="preserve"> </w:t>
      </w:r>
      <w:r>
        <w:t xml:space="preserve">NBF Learning &amp; Teaching Grant 2026 (AUD $20,000). No conflicts declared. Monitoring: PI reviews logs after sessions; adverse events reported to HREC. Timeline: Apr-Jun 2026 preparation and piloting; Jul-Oct 2026 data collection (Semester 2); Nov 2026-Jun 2027 analysis, writing, and reporting.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HREC Narrative</dc:title>
  <dc:creator/>
  <cp:keywords/>
  <dcterms:created xsi:type="dcterms:W3CDTF">2026-03-25T04:53:31Z</dcterms:created>
  <dcterms:modified xsi:type="dcterms:W3CDTF">2026-03-25T04:53:31Z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