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 Assessment Matrix</w:t>
      </w:r>
    </w:p>
    <w:p>
      <w:pPr>
        <w:pStyle w:val="Subtitle"/>
      </w:pPr>
      <w:r>
        <w:t xml:space="preserve">Low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1777"/>
        <w:gridCol w:w="2101"/>
        <w:gridCol w:w="1131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 performance anxiety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Voluntary, non-assessed; option to pause/withdraw; supportive facilitation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breach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PII; session codes only; secure storage; minimal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coercion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Clear messaging; alternative activity; consent outside assessment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Distress due to AI errors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Facilitator support; debrief; ability to stop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Matrix</dc:title>
  <dc:creator/>
  <cp:keywords/>
  <dcterms:created xsi:type="dcterms:W3CDTF">2026-03-25T04:53:29Z</dcterms:created>
  <dcterms:modified xsi:type="dcterms:W3CDTF">2026-03-25T04:53:29Z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Low Risk</vt:lpwstr>
  </property>
  <property fmtid="{D5CDD505-2E9C-101B-9397-08002B2CF9AE}" pid="8" name="toc-title">
    <vt:lpwstr>Table of contents</vt:lpwstr>
  </property>
</Properties>
</file>