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Management Plan</w:t>
      </w:r>
    </w:p>
    <w:p>
      <w:pPr>
        <w:pStyle w:val="Subtitle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Data types:</w:t>
      </w:r>
      <w:r>
        <w:t xml:space="preserve"> </w:t>
      </w:r>
      <w:r>
        <w:t xml:space="preserve">AI chat transcripts (session ID), task outputs, exit survey responses, and equity flags (low SES; first-in-family) added by Curtin analytics and delivered de-identified. No PII collected by research team.</w:t>
      </w:r>
    </w:p>
    <w:p>
      <w:pPr>
        <w:pStyle w:val="BodyText"/>
      </w:pPr>
      <w:r>
        <w:rPr>
          <w:b/>
          <w:bCs/>
        </w:rPr>
        <w:t xml:space="preserve">Storage:</w:t>
      </w:r>
      <w:r>
        <w:t xml:space="preserve"> </w:t>
      </w:r>
      <w:r>
        <w:t xml:space="preserve">Curtin SharePoint/Network drive (restricted access, encryption at rest). Access limited to PI, named co-Is, and RA.</w:t>
      </w:r>
    </w:p>
    <w:p>
      <w:pPr>
        <w:pStyle w:val="BodyText"/>
      </w:pPr>
      <w:r>
        <w:rPr>
          <w:b/>
          <w:bCs/>
        </w:rPr>
        <w:t xml:space="preserve">Processing:</w:t>
      </w:r>
      <w:r>
        <w:t xml:space="preserve"> </w:t>
      </w:r>
      <w:r>
        <w:t xml:space="preserve">RA codes 100% of transcripts; co-Is code 20-30% calibration per unit; Cohen’s kappa computed; kappa &lt; 0.70 triggers scheme refinement.</w:t>
      </w:r>
    </w:p>
    <w:p>
      <w:pPr>
        <w:pStyle w:val="BodyText"/>
      </w:pPr>
      <w:r>
        <w:rPr>
          <w:b/>
          <w:bCs/>
        </w:rPr>
        <w:t xml:space="preserve">Sharing:</w:t>
      </w:r>
      <w:r>
        <w:t xml:space="preserve"> </w:t>
      </w:r>
      <w:r>
        <w:t xml:space="preserve">De-identified aggregates and anonymised excerpts only; no raw transcripts externalised.</w:t>
      </w:r>
    </w:p>
    <w:p>
      <w:pPr>
        <w:pStyle w:val="BodyText"/>
      </w:pPr>
      <w:r>
        <w:rPr>
          <w:b/>
          <w:bCs/>
        </w:rPr>
        <w:t xml:space="preserve">Retention and destruction:</w:t>
      </w:r>
      <w:r>
        <w:t xml:space="preserve"> </w:t>
      </w:r>
      <w:r>
        <w:t xml:space="preserve">Retain 5 years post-publication; then secure deletion. Backups per Curtin IT policy.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Management Plan</dc:title>
  <dc:creator/>
  <cp:keywords/>
  <dcterms:created xsi:type="dcterms:W3CDTF">2026-03-24T02:10:56Z</dcterms:created>
  <dcterms:modified xsi:type="dcterms:W3CDTF">2026-03-24T02:10:56Z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Summary</vt:lpwstr>
  </property>
  <property fmtid="{D5CDD505-2E9C-101B-9397-08002B2CF9AE}" pid="8" name="toc-title">
    <vt:lpwstr>Table of contents</vt:lpwstr>
  </property>
</Properties>
</file>